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xml:space="preserve">         </w:t>
      </w:r>
      <w:r>
        <w:rPr>
          <w:rFonts w:ascii="Times New Roman;serif" w:hAnsi="Times New Roman;serif"/>
          <w:b/>
          <w:color w:val="000000"/>
          <w:sz w:val="16"/>
        </w:rPr>
        <w:t>As filed with the Securities and Exchange Commission on November 4, 2025              Registration No. 333-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40" w:after="283"/>
        <w:jc w:val="center"/>
        <w:rPr>
          <w:rFonts w:ascii="Times New Roman;serif" w:hAnsi="Times New Roman;serif"/>
          <w:b/>
          <w:color w:val="000000"/>
          <w:sz w:val="32"/>
        </w:rPr>
      </w:pPr>
      <w:r>
        <w:rPr>
          <w:rFonts w:ascii="Times New Roman;serif" w:hAnsi="Times New Roman;serif"/>
          <w:b/>
          <w:color w:val="000000"/>
          <w:sz w:val="32"/>
        </w:rPr>
        <w:t>FORM S-3</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REGISTRATION STATEMENT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ACT OF 1933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40" w:after="283"/>
        <w:jc w:val="center"/>
        <w:rPr>
          <w:rFonts w:ascii="Times New Roman;serif" w:hAnsi="Times New Roman;serif"/>
          <w:b/>
          <w:color w:val="000000"/>
          <w:sz w:val="40"/>
        </w:rPr>
      </w:pPr>
      <w:r>
        <w:rPr>
          <w:rFonts w:ascii="Times New Roman;serif" w:hAnsi="Times New Roman;serif"/>
          <w:b/>
          <w:color w:val="000000"/>
          <w:sz w:val="40"/>
        </w:rPr>
        <w:t>WYNN RESORTS, LIMITED</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4511" w:type="dxa"/>
        <w:jc w:val="left"/>
        <w:tblInd w:w="0" w:type="dxa"/>
        <w:tblLayout w:type="fixed"/>
        <w:tblCellMar>
          <w:top w:w="28" w:type="dxa"/>
          <w:left w:w="28" w:type="dxa"/>
          <w:bottom w:w="28" w:type="dxa"/>
          <w:right w:w="28" w:type="dxa"/>
        </w:tblCellMar>
      </w:tblPr>
      <w:tblGrid>
        <w:gridCol w:w="859"/>
        <w:gridCol w:w="753"/>
        <w:gridCol w:w="758"/>
        <w:gridCol w:w="109"/>
        <w:gridCol w:w="109"/>
        <w:gridCol w:w="109"/>
        <w:gridCol w:w="528"/>
        <w:gridCol w:w="528"/>
        <w:gridCol w:w="758"/>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Nevada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46-0484987</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3131 Las Vegas Boulevard South</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Las Vegas, Nevada 89109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(702) 770-7555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including zip code, and telephone number, including area code, of registrant's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Jacqui Krum</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Executive Vice President, General Counsel and Secretary</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Wynn Resorts, Limited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3131 Las Vegas Boulevard South</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Las Vegas, Nevada 89109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(702) 770-7555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address, including zip code, and telephone number, including area code, of agent for service)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40" w:after="283"/>
        <w:jc w:val="center"/>
        <w:rPr>
          <w:rFonts w:ascii="Times New Roman;serif" w:hAnsi="Times New Roman;serif"/>
          <w:b/>
          <w:i/>
          <w:color w:val="000000"/>
          <w:sz w:val="16"/>
        </w:rPr>
      </w:pPr>
      <w:r>
        <w:rPr>
          <w:rFonts w:ascii="Times New Roman;serif" w:hAnsi="Times New Roman;serif"/>
          <w:b/>
          <w:i/>
          <w:color w:val="000000"/>
          <w:sz w:val="16"/>
        </w:rPr>
        <w:t>With a copy to:</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Robert M. Hayward, P.C. and Katie J. Holahan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Kirkland &amp; Ellis LLP</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333 West Wolf Point Plaza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Chicago, Illinois 60654</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(312) 862-2000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From time to time after this registration statement becomes effective.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(Approximate date of commencement of proposed sale to the public)</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40" w:after="283"/>
        <w:ind w:left="0" w:right="0" w:firstLine="360"/>
        <w:jc w:val="both"/>
        <w:rPr/>
      </w:pPr>
      <w:r>
        <w:rPr>
          <w:rFonts w:ascii="Times New Roman;serif" w:hAnsi="Times New Roman;serif"/>
          <w:b w:val="false"/>
          <w:color w:val="000000"/>
          <w:sz w:val="16"/>
        </w:rPr>
        <w:t>If the only securities being registered on this Form are being offered pursuant to dividend or interest reinvestment plans, please check the following box:  </w:t>
      </w:r>
      <w:r>
        <w:rPr>
          <w:color w:val="000000"/>
        </w:rPr>
        <w:t>☐</w:t>
      </w:r>
    </w:p>
    <w:p>
      <w:pPr>
        <w:pStyle w:val="TextBody"/>
        <w:bidi w:val="0"/>
        <w:spacing w:lineRule="auto" w:line="288" w:before="40" w:after="283"/>
        <w:ind w:left="0" w:right="0" w:firstLine="360"/>
        <w:jc w:val="both"/>
        <w:rPr/>
      </w:pPr>
      <w:r>
        <w:rPr>
          <w:rFonts w:ascii="Times New Roman;serif" w:hAnsi="Times New Roman;serif"/>
          <w:b w:val="false"/>
          <w:color w:val="000000"/>
          <w:sz w:val="16"/>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color w:val="000000"/>
        </w:rPr>
        <w:t>☒</w:t>
      </w:r>
    </w:p>
    <w:p>
      <w:pPr>
        <w:pStyle w:val="TextBody"/>
        <w:bidi w:val="0"/>
        <w:spacing w:lineRule="auto" w:line="288" w:before="40" w:after="283"/>
        <w:ind w:left="0" w:right="0" w:firstLine="360"/>
        <w:jc w:val="both"/>
        <w:rPr/>
      </w:pPr>
      <w:r>
        <w:rPr>
          <w:rFonts w:ascii="Times New Roman;serif" w:hAnsi="Times New Roman;serif"/>
          <w:b w:val="false"/>
          <w:color w:val="000000"/>
          <w:sz w:val="16"/>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color w:val="000000"/>
        </w:rPr>
        <w:t>☐</w:t>
      </w:r>
    </w:p>
    <w:p>
      <w:pPr>
        <w:pStyle w:val="TextBody"/>
        <w:bidi w:val="0"/>
        <w:spacing w:lineRule="auto" w:line="288" w:before="40" w:after="283"/>
        <w:ind w:left="0" w:right="0" w:firstLine="360"/>
        <w:jc w:val="both"/>
        <w:rPr/>
      </w:pPr>
      <w:r>
        <w:rPr>
          <w:rFonts w:ascii="Times New Roman;serif" w:hAnsi="Times New Roman;serif"/>
          <w:b w:val="false"/>
          <w:color w:val="000000"/>
          <w:sz w:val="16"/>
        </w:rPr>
        <w:t>If this Form is a post-effective amendment filed pursuant to Rule 462(c) under the Securities Act, check the following box and list the Securities Act registration statement number of the earlier effective registration statement for the same offering.  </w:t>
      </w:r>
      <w:r>
        <w:rPr>
          <w:color w:val="000000"/>
        </w:rPr>
        <w:t>☐</w:t>
      </w:r>
    </w:p>
    <w:p>
      <w:pPr>
        <w:pStyle w:val="TextBody"/>
        <w:bidi w:val="0"/>
        <w:spacing w:lineRule="auto" w:line="288" w:before="40" w:after="283"/>
        <w:ind w:left="0" w:right="0" w:firstLine="360"/>
        <w:jc w:val="both"/>
        <w:rPr/>
      </w:pPr>
      <w:r>
        <w:rPr>
          <w:rFonts w:ascii="Times New Roman;serif" w:hAnsi="Times New Roman;serif"/>
          <w:b w:val="false"/>
          <w:color w:val="000000"/>
          <w:sz w:val="16"/>
        </w:rPr>
        <w:t>If this Form is a registration statement pursuant to General Instruction I.D. or a post-effective amendment thereto that shall become effective upon filing with the Commission pursuant to Rule 462(e) under the Securities Act, check the following box.  </w:t>
      </w:r>
      <w:r>
        <w:rPr>
          <w:color w:val="00000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40" w:after="283"/>
        <w:ind w:left="0" w:right="0" w:firstLine="360"/>
        <w:jc w:val="both"/>
        <w:rPr/>
      </w:pPr>
      <w:r>
        <w:rPr>
          <w:rFonts w:ascii="Times New Roman;serif" w:hAnsi="Times New Roman;serif"/>
          <w:b w:val="false"/>
          <w:color w:val="000000"/>
          <w:sz w:val="16"/>
        </w:rPr>
        <w:t>If this Form is a post-effective amendment to a registration statement filed pursuant to General Instruction I.D. filed to register additional securities or additional classes of securities pursuant to Rule 413(b) under the Securities Act, check the following box.  </w:t>
      </w:r>
      <w:r>
        <w:rPr>
          <w:color w:val="000000"/>
        </w:rPr>
        <w:t>☐</w:t>
      </w:r>
    </w:p>
    <w:p>
      <w:pPr>
        <w:pStyle w:val="TextBody"/>
        <w:bidi w:val="0"/>
        <w:spacing w:lineRule="auto" w:line="288" w:before="40" w:after="283"/>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70"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109"/>
        <w:gridCol w:w="109"/>
        <w:gridCol w:w="109"/>
        <w:gridCol w:w="673"/>
        <w:gridCol w:w="673"/>
        <w:gridCol w:w="678"/>
        <w:gridCol w:w="109"/>
        <w:gridCol w:w="109"/>
        <w:gridCol w:w="109"/>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7(a)(2)(B) of Securities Act.  </w:t>
      </w:r>
      <w:r>
        <w:rPr>
          <w:color w:val="000000"/>
        </w:rPr>
        <w:t>☐</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before="0" w:after="0"/>
        <w:jc w:val="left"/>
        <w:rPr/>
      </w:pPr>
      <w:r>
        <w:rPr/>
      </w:r>
    </w:p>
    <w:p>
      <w:pPr>
        <w:pStyle w:val="TextBody"/>
        <w:bidi w:val="0"/>
        <w:spacing w:before="0" w:after="0"/>
        <w:jc w:val="center"/>
        <w:rPr/>
      </w:pPr>
      <w:r>
        <w:rPr/>
        <w:drawing>
          <wp:inline distT="0" distB="0" distL="0" distR="0">
            <wp:extent cx="3276600" cy="14192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3276600" cy="14192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prospectus relates to offers and sales to the public in one or more offerings from time to time of:</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shares of our common stock, par value $0.01 per share;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shares of our preferred stock, par value $0.01;</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depositary shares representing preferred stock;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debt securities.</w:t>
      </w:r>
    </w:p>
    <w:p>
      <w:pPr>
        <w:pStyle w:val="TextBody"/>
        <w:bidi w:val="0"/>
        <w:spacing w:lineRule="auto" w:line="288" w:before="360" w:after="283"/>
        <w:jc w:val="both"/>
        <w:rPr>
          <w:rFonts w:ascii="Times New Roman;serif" w:hAnsi="Times New Roman;serif"/>
          <w:b w:val="false"/>
          <w:color w:val="000000"/>
          <w:sz w:val="20"/>
        </w:rPr>
      </w:pPr>
      <w:r>
        <w:rPr>
          <w:rFonts w:ascii="Times New Roman;serif" w:hAnsi="Times New Roman;serif"/>
          <w:b w:val="false"/>
          <w:color w:val="000000"/>
          <w:sz w:val="20"/>
        </w:rPr>
        <w:t>Prospectus supplements will be filed and other offering materials may be provided at later dates that will contain specific terms of each offering of our securities.</w:t>
      </w:r>
    </w:p>
    <w:p>
      <w:pPr>
        <w:pStyle w:val="TextBody"/>
        <w:bidi w:val="0"/>
        <w:spacing w:lineRule="auto" w:line="288" w:before="360" w:after="283"/>
        <w:jc w:val="both"/>
        <w:rPr>
          <w:rFonts w:ascii="Times New Roman;serif" w:hAnsi="Times New Roman;serif"/>
          <w:b w:val="false"/>
          <w:color w:val="000000"/>
          <w:sz w:val="20"/>
        </w:rPr>
      </w:pPr>
      <w:r>
        <w:rPr>
          <w:rFonts w:ascii="Times New Roman;serif" w:hAnsi="Times New Roman;serif"/>
          <w:b w:val="false"/>
          <w:color w:val="000000"/>
          <w:sz w:val="20"/>
        </w:rPr>
        <w:t>Our common stock is quoted on the NASDAQ Global Select Market under the symbol "WYNN." Our principal executive offices are located at 3131 Las Vegas Boulevard South, Las Vegas, Nevada 89109 and the telephone number of our principal executive offices is (702) 770-7555.</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We urge you to read carefully this prospectus, any accompanying prospectus supplement and any other offering materials filed or provided by us before you make your investment decision. This prospectus may not be used to sell securities unless accompanied by a prospectus supplement.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400" w:after="283"/>
        <w:jc w:val="both"/>
        <w:rPr/>
      </w:pPr>
      <w:r>
        <w:rPr>
          <w:rFonts w:ascii="Times New Roman;serif" w:hAnsi="Times New Roman;serif"/>
          <w:b/>
          <w:color w:val="000000"/>
          <w:sz w:val="24"/>
        </w:rPr>
        <w:t>Investing in our securities involves risks. See "</w:t>
      </w:r>
      <w:hyperlink w:anchor="i9fa7d21206df48ba84f7cbc8776dfd5f_13">
        <w:r>
          <w:rPr>
            <w:rStyle w:val="InternetLink"/>
            <w:rFonts w:ascii="Times New Roman;serif" w:hAnsi="Times New Roman;serif"/>
            <w:b/>
            <w:color w:val="0000FF"/>
            <w:sz w:val="24"/>
            <w:u w:val="single"/>
          </w:rPr>
          <w:t>Risk Factors</w:t>
        </w:r>
      </w:hyperlink>
      <w:r>
        <w:rPr>
          <w:rFonts w:ascii="Times New Roman;serif" w:hAnsi="Times New Roman;serif"/>
          <w:b/>
          <w:color w:val="000000"/>
          <w:sz w:val="24"/>
        </w:rPr>
        <w:t>" on page 1 of this prospectus, as well as any risk factors contained in any prospectus supplement and the documents incorporated by reference herein and therein, before you make your investment decision.</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Neither the Securities and Exchange Commission (the "SEC") nor any state securities commission has approved or disapproved of these securities or determined if this prospectus or any accompanying prospectus supplement is truthful or complete. Any representation to the contrary is a criminal offense.</w:t>
      </w:r>
    </w:p>
    <w:p>
      <w:pPr>
        <w:pStyle w:val="TextBody"/>
        <w:bidi w:val="0"/>
        <w:spacing w:lineRule="auto" w:line="288" w:before="360" w:after="283"/>
        <w:jc w:val="both"/>
        <w:rPr>
          <w:rFonts w:ascii="Times New Roman;serif" w:hAnsi="Times New Roman;serif"/>
          <w:b w:val="false"/>
          <w:color w:val="000000"/>
          <w:sz w:val="20"/>
        </w:rPr>
      </w:pPr>
      <w:r>
        <w:rPr>
          <w:rFonts w:ascii="Times New Roman;serif" w:hAnsi="Times New Roman;serif"/>
          <w:b w:val="false"/>
          <w:color w:val="000000"/>
          <w:sz w:val="20"/>
        </w:rPr>
        <w:t>Neither the Nevada Gaming Commission, the Nevada Gaming Control Board, nor any other gaming authority has passed upon the adequacy or accuracy of this prospectus or any accompanying prospectus supplement or the investment merits of the securities offered hereby. Any representation to the contrary is unlawful.</w:t>
      </w:r>
    </w:p>
    <w:p>
      <w:pPr>
        <w:pStyle w:val="TextBody"/>
        <w:bidi w:val="0"/>
        <w:spacing w:lineRule="auto" w:line="288" w:before="400" w:after="283"/>
        <w:jc w:val="center"/>
        <w:rPr>
          <w:rFonts w:ascii="Times New Roman;serif" w:hAnsi="Times New Roman;serif"/>
          <w:b/>
          <w:color w:val="000000"/>
          <w:sz w:val="20"/>
        </w:rPr>
      </w:pPr>
      <w:r>
        <w:rPr>
          <w:rFonts w:ascii="Times New Roman;serif" w:hAnsi="Times New Roman;serif"/>
          <w:b/>
          <w:color w:val="000000"/>
          <w:sz w:val="20"/>
        </w:rPr>
        <w:t>The date of this prospectus is November 4,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4"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4557" w:type="dxa"/>
        <w:jc w:val="left"/>
        <w:tblInd w:w="0" w:type="dxa"/>
        <w:tblLayout w:type="fixed"/>
        <w:tblCellMar>
          <w:top w:w="28" w:type="dxa"/>
          <w:left w:w="28" w:type="dxa"/>
          <w:bottom w:w="28" w:type="dxa"/>
          <w:right w:w="28" w:type="dxa"/>
        </w:tblCellMar>
      </w:tblPr>
      <w:tblGrid>
        <w:gridCol w:w="1515"/>
        <w:gridCol w:w="1333"/>
        <w:gridCol w:w="1337"/>
        <w:gridCol w:w="109"/>
        <w:gridCol w:w="109"/>
        <w:gridCol w:w="154"/>
      </w:tblGrid>
      <w:tr>
        <w:trPr/>
        <w:tc>
          <w:tcPr>
            <w:tcW w:w="1515"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a7d21206df48ba84f7cbc8776dfd5f_10">
              <w:r>
                <w:rPr>
                  <w:rStyle w:val="InternetLink"/>
                  <w:rFonts w:ascii="Times New Roman;serif" w:hAnsi="Times New Roman;serif"/>
                  <w:b w:val="false"/>
                  <w:color w:val="0000FF"/>
                  <w:sz w:val="20"/>
                  <w:u w:val="single"/>
                </w:rPr>
                <w:t>ABOUT THIS PROSPECTUS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a7d21206df48ba84f7cbc8776dfd5f_10">
              <w:r>
                <w:rPr>
                  <w:rStyle w:val="InternetLink"/>
                  <w:rFonts w:ascii="Times New Roman;serif" w:hAnsi="Times New Roman;serif"/>
                  <w:b w:val="false"/>
                  <w:color w:val="0000FF"/>
                  <w:sz w:val="20"/>
                  <w:u w:val="single"/>
                </w:rPr>
                <w:t>1</w:t>
              </w:r>
            </w:hyperlink>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a7d21206df48ba84f7cbc8776dfd5f_13">
              <w:r>
                <w:rPr>
                  <w:rStyle w:val="InternetLink"/>
                  <w:rFonts w:ascii="Times New Roman;serif" w:hAnsi="Times New Roman;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a7d21206df48ba84f7cbc8776dfd5f_13">
              <w:r>
                <w:rPr>
                  <w:rStyle w:val="InternetLink"/>
                  <w:rFonts w:ascii="Times New Roman;serif" w:hAnsi="Times New Roman;serif"/>
                  <w:b w:val="false"/>
                  <w:color w:val="0000FF"/>
                  <w:sz w:val="20"/>
                  <w:u w:val="single"/>
                </w:rPr>
                <w:t>1</w:t>
              </w:r>
            </w:hyperlink>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a7d21206df48ba84f7cbc8776dfd5f_16">
              <w:r>
                <w:rPr>
                  <w:rStyle w:val="InternetLink"/>
                  <w:rFonts w:ascii="Times New Roman;serif" w:hAnsi="Times New Roman;serif"/>
                  <w:b w:val="false"/>
                  <w:color w:val="0000FF"/>
                  <w:sz w:val="20"/>
                  <w:u w:val="single"/>
                </w:rPr>
                <w:t>WHERE YOU CAN FIND MORE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a7d21206df48ba84f7cbc8776dfd5f_16">
              <w:r>
                <w:rPr>
                  <w:rStyle w:val="InternetLink"/>
                  <w:rFonts w:ascii="Times New Roman;serif" w:hAnsi="Times New Roman;serif"/>
                  <w:b w:val="false"/>
                  <w:color w:val="0000FF"/>
                  <w:sz w:val="20"/>
                  <w:u w:val="single"/>
                </w:rPr>
                <w:t>1</w:t>
              </w:r>
            </w:hyperlink>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a7d21206df48ba84f7cbc8776dfd5f_19">
              <w:r>
                <w:rPr>
                  <w:rStyle w:val="InternetLink"/>
                  <w:rFonts w:ascii="Times New Roman;serif" w:hAnsi="Times New Roman;serif"/>
                  <w:b w:val="false"/>
                  <w:color w:val="0000FF"/>
                  <w:sz w:val="20"/>
                  <w:u w:val="single"/>
                </w:rPr>
                <w:t>INCORPORATION BY REFERENCE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a7d21206df48ba84f7cbc8776dfd5f_19">
              <w:r>
                <w:rPr>
                  <w:rStyle w:val="InternetLink"/>
                  <w:rFonts w:ascii="Times New Roman;serif" w:hAnsi="Times New Roman;serif"/>
                  <w:b w:val="false"/>
                  <w:color w:val="0000FF"/>
                  <w:sz w:val="20"/>
                  <w:u w:val="single"/>
                </w:rPr>
                <w:t>1</w:t>
              </w:r>
            </w:hyperlink>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a7d21206df48ba84f7cbc8776dfd5f_22">
              <w:r>
                <w:rPr>
                  <w:rStyle w:val="InternetLink"/>
                  <w:rFonts w:ascii="Times New Roman;serif" w:hAnsi="Times New Roman;serif"/>
                  <w:b w:val="false"/>
                  <w:color w:val="0000FF"/>
                  <w:sz w:val="20"/>
                  <w:u w:val="single"/>
                </w:rPr>
                <w:t>FORWARD-LOOKING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a7d21206df48ba84f7cbc8776dfd5f_22">
              <w:r>
                <w:rPr>
                  <w:rStyle w:val="InternetLink"/>
                  <w:rFonts w:ascii="Times New Roman;serif" w:hAnsi="Times New Roman;serif"/>
                  <w:b w:val="false"/>
                  <w:color w:val="0000FF"/>
                  <w:sz w:val="20"/>
                  <w:u w:val="single"/>
                </w:rPr>
                <w:t>2</w:t>
              </w:r>
            </w:hyperlink>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a7d21206df48ba84f7cbc8776dfd5f_25">
              <w:r>
                <w:rPr>
                  <w:rStyle w:val="InternetLink"/>
                  <w:rFonts w:ascii="Times New Roman;serif" w:hAnsi="Times New Roman;serif"/>
                  <w:b w:val="false"/>
                  <w:color w:val="0000FF"/>
                  <w:sz w:val="20"/>
                  <w:u w:val="single"/>
                </w:rPr>
                <w:t>THE COMPANY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a7d21206df48ba84f7cbc8776dfd5f_25">
              <w:r>
                <w:rPr>
                  <w:rStyle w:val="InternetLink"/>
                  <w:rFonts w:ascii="Times New Roman;serif" w:hAnsi="Times New Roman;serif"/>
                  <w:b w:val="false"/>
                  <w:color w:val="0000FF"/>
                  <w:sz w:val="20"/>
                  <w:u w:val="single"/>
                </w:rPr>
                <w:t>2</w:t>
              </w:r>
            </w:hyperlink>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a7d21206df48ba84f7cbc8776dfd5f_31">
              <w:r>
                <w:rPr>
                  <w:rStyle w:val="InternetLink"/>
                  <w:rFonts w:ascii="Times New Roman;serif" w:hAnsi="Times New Roman;serif"/>
                  <w:b w:val="false"/>
                  <w:color w:val="0000FF"/>
                  <w:sz w:val="20"/>
                  <w:u w:val="single"/>
                </w:rPr>
                <w:t>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a7d21206df48ba84f7cbc8776dfd5f_31">
              <w:r>
                <w:rPr>
                  <w:rStyle w:val="InternetLink"/>
                  <w:rFonts w:ascii="Times New Roman;serif" w:hAnsi="Times New Roman;serif"/>
                  <w:b w:val="false"/>
                  <w:color w:val="0000FF"/>
                  <w:sz w:val="20"/>
                  <w:u w:val="single"/>
                </w:rPr>
                <w:t>3</w:t>
              </w:r>
            </w:hyperlink>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a7d21206df48ba84f7cbc8776dfd5f_520">
              <w:r>
                <w:rPr>
                  <w:rStyle w:val="InternetLink"/>
                  <w:rFonts w:ascii="Times New Roman;serif" w:hAnsi="Times New Roman;serif"/>
                  <w:b w:val="false"/>
                  <w:color w:val="0000FF"/>
                  <w:sz w:val="20"/>
                  <w:u w:val="single"/>
                </w:rPr>
                <w:t>PLAN OF DISTRIBUTION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a7d21206df48ba84f7cbc8776dfd5f_520">
              <w:r>
                <w:rPr>
                  <w:rStyle w:val="InternetLink"/>
                  <w:rFonts w:ascii="Times New Roman;serif" w:hAnsi="Times New Roman;serif"/>
                  <w:b w:val="false"/>
                  <w:color w:val="0000FF"/>
                  <w:sz w:val="20"/>
                  <w:u w:val="single"/>
                </w:rPr>
                <w:t>3</w:t>
              </w:r>
            </w:hyperlink>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a7d21206df48ba84f7cbc8776dfd5f_34">
              <w:r>
                <w:rPr>
                  <w:rStyle w:val="InternetLink"/>
                  <w:rFonts w:ascii="Times New Roman;serif" w:hAnsi="Times New Roman;serif"/>
                  <w:b w:val="false"/>
                  <w:color w:val="0000FF"/>
                  <w:sz w:val="20"/>
                  <w:u w:val="single"/>
                </w:rPr>
                <w:t>DESCRIPTION OF THE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a7d21206df48ba84f7cbc8776dfd5f_34">
              <w:r>
                <w:rPr>
                  <w:rStyle w:val="InternetLink"/>
                  <w:rFonts w:ascii="Times New Roman;serif" w:hAnsi="Times New Roman;serif"/>
                  <w:b w:val="false"/>
                  <w:color w:val="0000FF"/>
                  <w:sz w:val="20"/>
                  <w:u w:val="single"/>
                </w:rPr>
                <w:t>3</w:t>
              </w:r>
            </w:hyperlink>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a7d21206df48ba84f7cbc8776dfd5f_37">
              <w:r>
                <w:rPr>
                  <w:rStyle w:val="InternetLink"/>
                  <w:rFonts w:ascii="Times New Roman;serif" w:hAnsi="Times New Roman;serif"/>
                  <w:b w:val="false"/>
                  <w:color w:val="0000FF"/>
                  <w:sz w:val="20"/>
                  <w:u w:val="single"/>
                </w:rPr>
                <w:t>LEGAL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a7d21206df48ba84f7cbc8776dfd5f_37">
              <w:r>
                <w:rPr>
                  <w:rStyle w:val="InternetLink"/>
                  <w:rFonts w:ascii="Times New Roman;serif" w:hAnsi="Times New Roman;serif"/>
                  <w:b w:val="false"/>
                  <w:color w:val="0000FF"/>
                  <w:sz w:val="20"/>
                  <w:u w:val="single"/>
                </w:rPr>
                <w:t>3</w:t>
              </w:r>
            </w:hyperlink>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a7d21206df48ba84f7cbc8776dfd5f_40">
              <w:r>
                <w:rPr>
                  <w:rStyle w:val="InternetLink"/>
                  <w:rFonts w:ascii="Times New Roman;serif" w:hAnsi="Times New Roman;serif"/>
                  <w:b w:val="false"/>
                  <w:color w:val="0000FF"/>
                  <w:sz w:val="20"/>
                  <w:u w:val="single"/>
                </w:rPr>
                <w:t>EXPERTS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a7d21206df48ba84f7cbc8776dfd5f_40">
              <w:r>
                <w:rPr>
                  <w:rStyle w:val="InternetLink"/>
                  <w:rFonts w:ascii="Times New Roman;serif" w:hAnsi="Times New Roman;serif"/>
                  <w:b w:val="false"/>
                  <w:color w:val="0000FF"/>
                  <w:sz w:val="20"/>
                  <w:u w:val="single"/>
                </w:rPr>
                <w:t>4</w:t>
              </w:r>
            </w:hyperlink>
          </w:p>
        </w:tc>
      </w:tr>
    </w:tbl>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Unless the context otherwise requires or unless otherwise specified, all references in this prospectus to "Wynn Resorts," the "Company," the "Registrant," "we," "us," or "our," or similar terms, refer to Wynn Resorts, Limited, a Nevada corporation, and its consolidated subsidiaries.</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that we filed with the SEC using a "shelf" registration process. Under this shelf process, the securities described in this prospectus may be offered and sold to the public in one or more offerings from time to time. This prospectus provides you with a general description of the securities we may offer. Each time securities are offered and sold pursuant to this prospectus,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headings "Where You Can Find More Information" and "Incorporation of Documents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Investing in our securities involves risks. You are urged to read and carefully consider the information under the heading "Risk Factors" in our Annual Report on Form 10-K for the year ended December 31, 2024, as may be updated from time to time by our subsequent filings with the SEC, which is incorporated by reference into this prospectus, and in documents we file with the SEC after the date of this prospectus and which are incorporated by reference into this prospectus, as described below under the heading "Incorporation by Reference." Before making an investment decision, you should carefully consider these risks as well as other information we incorporate by reference into this prospectus. The prospectus supplement applicable to each offering of our securities will contain additional information about risks applicable to an investment in us and shares of our securities. The risks and uncertainties that we have described are not the only ones facing us and additional risks and uncertainties not currently known to us or that we currently deem immaterial may also have a material adverse effect on our business, financial condition, results of operations and cash flows.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are subject to the informational reporting requirements of the Securities Exchange Act of 1934, as amended (the "Exchange Act"), and in accordance with these requirements file reports, proxy statements and other information with the SEC. The SEC maintains an Internet site at https://www.sec.gov that contains reports, proxy, and information statements, and other information regarding issuers, like Wynn Resorts, that file electronically with the SEC. Our filings with the SEC also may be accessed through our Internet website at https://www.wynnresorts.com. Our website, and the information contained in, accessible from or connected to our website, shall not be deemed to be incorporated into, or otherwise constitute a part of, this prospectus.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prospectus is part of a registration statement we filed with the SEC. This prospectus omits some information contained in the registration statement in accordance with SEC rules and regulations. For further information with respect to us, we refer you to the registration statement and the exhibits filed as part of the registration statement.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are "incorporating by reference" specified documents that we file with the SEC, which means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incorporated documents, including exhibits and other information not included in this prospectus or a prospectus supplement, are considered part of this prospectus;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are disclosing important business and financial information to you by referring you to those documents;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information that we file in the future with the SEC automatically will update and supersede earlier information contained or incorporated by reference into this prospectus.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are incorporating by reference into this prospectus the following documents filed with the SEC:</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annual report on Form 10-K for the fiscal year ended December 31, 2024;</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quarterly reports on Form 10-Q for the fiscal quarters ended March 31, 2025 and June 30,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current reports on Form 8-K filed on February 6, 2025, February 13, 2025 (solely with respect to Item 8.01), May 2, 2025, May 6, 2025 (solely with respect to Item 8.01), June 12, 2025, July 31, 2025 (solely with respect to Item 2.03), August 7, 2025 (solely with respect to Item 8.01), and August 19,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description of our common stock set forth in our registration statement on Form 8-A, filed on October 7, 2002 (File No. 000-50028), including any amendments or reports filed for the purpose of updating the description of our common stock contained therein; and</w:t>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20"/>
        </w:rPr>
        <w:t>all other documents that we file with the SEC pursuant to Section 13(a), 13(c), 14 or 15(d) of the Exchange Act after the date of this prospectus and prior to termination of the offering of securities offered by this prospectus and any accompanying prospectus supplement.</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Notwithstanding the foregoing, information furnished under Items 2.02 and 7.01 of any current report on Form 8-K, including the related exhibits under Item 9.01, is not incorporated by reference into this prospectus.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You should rely only on the information contained or incorporated by reference into this prospectus. We have not authorized anyone to provide you with any additional information. Any statement contained in this prospectus, or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Copies of the documents incorporated by reference into this prospectus are available from us upon request. We will provide to each person, including any beneficial owner, to whom a prospectus is delivered, a copy of any or all of the information that has been incorporated by reference into this prospectus, but not delivered with this prospectus, without charge to the requester, upon written or oral request. Exhibits to information incorporated by reference into this prospectus will not be sent, however, unless those exhibits have specifically been incorporated by reference into such information. Requests for such copies should be directed to:</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Wynn Resorts, Limited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3131 Las Vegas Boulevard South</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Las Vegas, Nevada 89109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(702) 770-7555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Attention: Investor Relations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prospectus and the documents we incorporate by reference contain "forward-looking statements" within the meaning of Section 27A of the Securities Act of 1933, as amended (the "Securities Act") and Section 21E of the Exchange Act. From time to time, we may also provide oral or written forward-looking statements in other materials we release to the public. Without limiting the generality of the foregoing, in some cases you can identify forward-looking statements by terminology such as "may," "will," "should," "would," "could," "believe," "expect," "anticipate," "estimate," "intend," "plan," "continue" or the negative of these terms or similar expressions. In addition, statements that we make in this prospectus and the documents we incorporate herein by reference that are not statements of historical fact may also be forward-looking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are based on expectations and assumptions that we believe to be reasonable when made, but that may not prove to be accurate. You should not place undue reliance on any forward-looking statements, which are based only on information currently available to us. These statements are not guarantees and are subject to risks, uncertainties and changes in circumstances that are difficult to predict. Many factors could cause actual results to differ materially and adversely from these forward-looking statements. Information concerning factors that could cause actual results to differ from those in our forward-looking statements is contained under the heading "Risk-Factors" in our annual report on Form 10-K for the year ended December 31, 2024 and our other filings with the SEC. Any forward-looking statement speaks only as of the date on which it is made, and we assume no obligation to update or revise any forward-looking statement whether as a result of new information, future events or otherwise, except as required by law.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COMPANY</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a preeminent designer, developer, and operator of integrated resorts featuring luxury hotel rooms, high-end retail space, an array of dining and entertainment options, meeting and convention facilities, and gaming, all supported by an unparalleled focus on our guests, our people, and our community. We believe that our extensive design and operational experience across numerous gaming jurisdictions provides us with a distinct advantage over other gaming enterprises. Through our approximately 72% ownership of Wynn Macau, Limited, we operate two integrated resorts in the Macau Special Administrative Region of the People's Republic of China, Wynn Palace and Wynn Macau. In Las Vegas, Nevada, we operate Wynn Las Vegas and Encore at Wynn Las Vegas, and with the exception of certain retail space, own 100% of Wynn Las Vegas. In Everett, Massachusetts, we operate Encore Boston Harbor. Additionally, we have a 40% equity interest in Island 3 AMI FZ-LLC, an unconsolidated affiliate, which is constructing an integrated resort property in Ras Al Khaimah, United Arab Emirates.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Company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principal executive offices are located at 3131 Las Vegas Boulevard South, Las Vegas, Nevada 89109, telephone (702) 770-7555.</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stated in the applicable prospectus supplement, we intend to use the net proceeds of any securities sold by us for general corporate purposes, including, without limitation, repayment of debt, acquisitions, additions to working capital, capital expenditures, and/or investments in our subsidiaries.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may sell the securities offered pursuant to this prospectus in any of, or any combination of, the following ways: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directly to one or more purchasers;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through agents, dealers or brokers;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 or through underwriters;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through a combination of any of these methods of sale or by any other legally available means.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will identify the specific plan of distribution, including any underwriters, brokers, dealers, agents or direct purchasers and their compensation in a prospectus supplement.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DESCRIPTION OF THE SECURITIES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description of the specific terms of any common stock, preferred stock, depositary shares or debt securities that may be offered under this prospectus will be set forth in the applicable prospectus supplement relating to those securities. The terms of the offering of the securities, the initial offering price and the net proceeds to us will also be contained in any applicable prospectus supplement or other offering materials relating to such offer. Such materials may also add, update or change information contained in this prospectus.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Unless otherwise specified in connection with the particular offering of securities, the validity of any securities issued under this prospectus will be passed upon for us by Kirkland &amp; Ellis LLP, Chicago, Illinois, and, with respect to matters of Nevada law, by Brownstein Hyatt Farber Schreck, LLP, Las Vegas, Nevada. Any underwriters will be represented by their own legal counsel.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0520"/>
                <wp:effectExtent l="0" t="0" r="0" b="0"/>
                <wp:wrapNone/>
                <wp:docPr id="8"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and schedule of Wynn Resorts, Limited appearing in Wynn Resorts, Limited's Annual Report (Form 10-K) for the year ended December 31, 2024, and the effectiveness of Wynn Resorts, Limited's internal control over financial reporting as of December 31, 2024,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 given on the authority of such firm as experts in accounting and auditing.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INFORMATION NOT REQUIRED IN PROSPECTUS</w:t>
      </w:r>
    </w:p>
    <w:tbl>
      <w:tblPr>
        <w:tblW w:w="4679" w:type="dxa"/>
        <w:jc w:val="left"/>
        <w:tblInd w:w="0" w:type="dxa"/>
        <w:tblLayout w:type="fixed"/>
        <w:tblCellMar>
          <w:top w:w="28" w:type="dxa"/>
          <w:left w:w="28" w:type="dxa"/>
          <w:bottom w:w="28" w:type="dxa"/>
          <w:right w:w="28" w:type="dxa"/>
        </w:tblCellMar>
      </w:tblPr>
      <w:tblGrid>
        <w:gridCol w:w="293"/>
        <w:gridCol w:w="258"/>
        <w:gridCol w:w="259"/>
        <w:gridCol w:w="1133"/>
        <w:gridCol w:w="1133"/>
        <w:gridCol w:w="1603"/>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14.</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Expenses of Issuance and Distribution</w:t>
            </w:r>
          </w:p>
        </w:tc>
      </w:tr>
    </w:tbl>
    <w:p>
      <w:pPr>
        <w:pStyle w:val="TextBody"/>
        <w:bidi w:val="0"/>
        <w:spacing w:lineRule="auto" w:line="288" w:before="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fees and expenses payable by the registrant in connection with the registration and sale of the securities being registered hereby. All of such fees and expenses are estimated.</w:t>
      </w:r>
    </w:p>
    <w:tbl>
      <w:tblPr>
        <w:tblW w:w="5163" w:type="dxa"/>
        <w:jc w:val="left"/>
        <w:tblInd w:w="0" w:type="dxa"/>
        <w:tblLayout w:type="fixed"/>
        <w:tblCellMar>
          <w:top w:w="28" w:type="dxa"/>
          <w:left w:w="28" w:type="dxa"/>
          <w:bottom w:w="28" w:type="dxa"/>
          <w:right w:w="28" w:type="dxa"/>
        </w:tblCellMar>
      </w:tblPr>
      <w:tblGrid>
        <w:gridCol w:w="1382"/>
        <w:gridCol w:w="1211"/>
        <w:gridCol w:w="1217"/>
        <w:gridCol w:w="109"/>
        <w:gridCol w:w="109"/>
        <w:gridCol w:w="109"/>
        <w:gridCol w:w="109"/>
        <w:gridCol w:w="109"/>
        <w:gridCol w:w="109"/>
        <w:gridCol w:w="109"/>
        <w:gridCol w:w="109"/>
        <w:gridCol w:w="109"/>
        <w:gridCol w:w="109"/>
        <w:gridCol w:w="109"/>
        <w:gridCol w:w="154"/>
      </w:tblGrid>
      <w:tr>
        <w:trPr/>
        <w:tc>
          <w:tcPr>
            <w:tcW w:w="1382"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 registration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fees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fees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Printing fees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NASDAQ listing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agent and registrar fees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Rules 456(b) and 457(r), the registrant is deferring payment of the registration fee for the securities offered by this prospectus until the time of any particular offering of securities.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These fees cannot be estimated at this time as they are calculated based on the securities offered and the number of issuances. An estimate of the aggregate expenses in connection with the sale and distribution of the securities being offered will be included in the applicable prospectus supplement.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439" w:type="dxa"/>
        <w:jc w:val="left"/>
        <w:tblInd w:w="0" w:type="dxa"/>
        <w:tblLayout w:type="fixed"/>
        <w:tblCellMar>
          <w:top w:w="28" w:type="dxa"/>
          <w:left w:w="28" w:type="dxa"/>
          <w:bottom w:w="28" w:type="dxa"/>
          <w:right w:w="28" w:type="dxa"/>
        </w:tblCellMar>
      </w:tblPr>
      <w:tblGrid>
        <w:gridCol w:w="293"/>
        <w:gridCol w:w="258"/>
        <w:gridCol w:w="259"/>
        <w:gridCol w:w="1061"/>
        <w:gridCol w:w="1061"/>
        <w:gridCol w:w="1507"/>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15.</w:t>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Indemnification of Directors and Officers</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Nevada Revised Statutes (“NRS”) 78.7502 provides, in general, that a corporation may indemnify, pursuant to that statutory mechanism, any person who was or is a party or is threatened to be made a party to any threatened, pending or completed action, suit or proceeding, whether civil, criminal, administrative or investigative, except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or as a manager of a limited liability company, against expenses, including attorneys’ fees, judgments, fines and amounts paid in settlement actually and reasonably incurred by the person in connection with the action, suit or proceeding if the person is not liable pursuant to NRS 78.138 or acted in good faith and in a manner which he or she reasonably believed to be in or not opposed to the best interests of the corporation, and, with respect to any criminal action or proceeding, had no reasonable cause to believe the conduct was unlawful.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NRS 78.7502 also provides, in general, that a corporation may indemnify, pursuant to that statutory mechanism,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or as a manager of a limited liability company, against expenses, including amounts paid in settlement and attorneys’ fees actually and reasonably incurred by the person in connection with the defense or settlement of the action or suit if the person is not liable pursuant to NRS 78.138 or acted in good faith and in a manner which he or she reasonably believed to be in or not opposed to the best interests of the corporation; provided, however, that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Any indemnification pursuant to the statutory mechanism provided under NRS 78.7502, as described above, unless ordered by a court or advanced pursuant to NRS 78.751(2), may be made by the corporation only as authorized in the specific case upon a determination that indemnification of the director, officer, employee or agent is proper in the circumstances. The determination must be made: (a) by the stockholders; (b) by the board of directors by majority vote of a quorum consisting of directors who were not parties to the action, suit or proceeding; (c) if a majority vote of a quorum consisting of directors who were not parties to the action, suit or proceeding so orders, by independent legal counsel in a written opinion; or (d) if a quorum consisting of directors who were not parties to the action, suit or proceeding cannot be obtained, by independent legal counsel in a written opinion.</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NRS 78.751 further provides that indemnification pursuant to the statutory mechanism provided under NRS 78.7502 does not exclude any other rights to which a person seeking indemnification or advancement of expenses may be entitled under the registrant’s amended and restated articles of incorporation, or any bylaw, agreement, vote of stockholders or disinterested directors or otherwise, for either an action in the person’s official capacity or an action in another capacity while holding office, except that indemnification, unless ordered by a court pursuant to NRS 78.7502 or for the advancement of expenses, may not be made to or on behalf of any director or officer finally adjudged by a court of competent jurisdiction, after exhaustion of any appeals, to be liable for intentional misconduct, fraud or a knowing violation of law, and such misconduct, fraud or violation was material to the cause of action.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Wynn Resorts' bylaws provide that it will indemnify its directors and officers to the fullest extent permitted by Nevada law, including in circumstances in which indemnification otherwise would be discretionary under Nevada law as described above. In addition, Wynn Resorts has entered into separate indemnification agreements with certain of its directors and officers that require Wynn Resorts, among other things, to indemnify such directors and officers against certain liabilities that may arise by reason of their status or service. Wynn Resorts maintains director and officer liability insurance, if available on reasonable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1666" w:type="dxa"/>
        <w:jc w:val="left"/>
        <w:tblInd w:w="0" w:type="dxa"/>
        <w:tblLayout w:type="fixed"/>
        <w:tblCellMar>
          <w:top w:w="28" w:type="dxa"/>
          <w:left w:w="28" w:type="dxa"/>
          <w:bottom w:w="28" w:type="dxa"/>
          <w:right w:w="28" w:type="dxa"/>
        </w:tblCellMar>
      </w:tblPr>
      <w:tblGrid>
        <w:gridCol w:w="293"/>
        <w:gridCol w:w="258"/>
        <w:gridCol w:w="259"/>
        <w:gridCol w:w="250"/>
        <w:gridCol w:w="250"/>
        <w:gridCol w:w="356"/>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16.</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Exhibits</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documents are filed with or incorporated by reference into this registration statement: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1"/>
        <w:gridCol w:w="241"/>
        <w:gridCol w:w="244"/>
        <w:gridCol w:w="109"/>
        <w:gridCol w:w="109"/>
        <w:gridCol w:w="109"/>
        <w:gridCol w:w="2647"/>
        <w:gridCol w:w="2647"/>
        <w:gridCol w:w="3778"/>
      </w:tblGrid>
      <w:tr>
        <w:trPr/>
        <w:tc>
          <w:tcPr>
            <w:tcW w:w="3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3778"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Third Amended and Restated Articles of Incorporation of the Registrant. (Incorporated by reference from the Quarterly Report on Form 10-Q filed by the Registrant on May 8, 2015.)</w:t>
              </w:r>
            </w:hyperlink>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80"/>
                  <w:sz w:val="20"/>
                  <w:u w:val="single"/>
                </w:rPr>
                <w:t xml:space="preserve">Ninth Amended and Restated Bylaws of the Registrant. (Incorporated by reference from the </w:t>
              </w:r>
            </w:hyperlink>
            <w:hyperlink r:id="rId5">
              <w:r>
                <w:rPr>
                  <w:rStyle w:val="InternetLink"/>
                  <w:rFonts w:ascii="Times New Roman;serif" w:hAnsi="Times New Roman;serif"/>
                  <w:b w:val="false"/>
                  <w:color w:val="000080"/>
                  <w:sz w:val="20"/>
                  <w:u w:val="single"/>
                </w:rPr>
                <w:t>Annual</w:t>
              </w:r>
            </w:hyperlink>
            <w:hyperlink r:id="rId6">
              <w:r>
                <w:rPr>
                  <w:rStyle w:val="InternetLink"/>
                  <w:rFonts w:ascii="Times New Roman;serif" w:hAnsi="Times New Roman;serif"/>
                  <w:b w:val="false"/>
                  <w:color w:val="000080"/>
                  <w:sz w:val="20"/>
                  <w:u w:val="single"/>
                </w:rPr>
                <w:t xml:space="preserve"> Report on Form 10-</w:t>
              </w:r>
            </w:hyperlink>
            <w:hyperlink r:id="rId7">
              <w:r>
                <w:rPr>
                  <w:rStyle w:val="InternetLink"/>
                  <w:rFonts w:ascii="Times New Roman;serif" w:hAnsi="Times New Roman;serif"/>
                  <w:b w:val="false"/>
                  <w:color w:val="000080"/>
                  <w:sz w:val="20"/>
                  <w:u w:val="single"/>
                </w:rPr>
                <w:t>K</w:t>
              </w:r>
            </w:hyperlink>
            <w:hyperlink r:id="rId8">
              <w:r>
                <w:rPr>
                  <w:rStyle w:val="InternetLink"/>
                  <w:rFonts w:ascii="Times New Roman;serif" w:hAnsi="Times New Roman;serif"/>
                  <w:b w:val="false"/>
                  <w:color w:val="000080"/>
                  <w:sz w:val="20"/>
                  <w:u w:val="single"/>
                </w:rPr>
                <w:t xml:space="preserve"> filed by the Registrant on February 28, 2020.)</w:t>
              </w:r>
            </w:hyperlink>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erif" w:hAnsi="Times New Roman;serif"/>
                  <w:b w:val="false"/>
                  <w:color w:val="000080"/>
                  <w:sz w:val="20"/>
                  <w:u w:val="single"/>
                </w:rPr>
                <w:t xml:space="preserve">Specimen certificate for shares of common stock, $0.01 par value per share, of the Registrant. (Incorporated by reference to Exhibit 4.1 to Amendment No. 4 to the </w:t>
              </w:r>
            </w:hyperlink>
            <w:hyperlink r:id="rId10">
              <w:r>
                <w:rPr>
                  <w:rStyle w:val="InternetLink"/>
                  <w:rFonts w:ascii="Times New Roman;serif" w:hAnsi="Times New Roman;serif"/>
                  <w:b w:val="false"/>
                  <w:color w:val="000080"/>
                  <w:sz w:val="20"/>
                  <w:u w:val="single"/>
                </w:rPr>
                <w:t xml:space="preserve">Registration Statement on </w:t>
              </w:r>
            </w:hyperlink>
            <w:hyperlink r:id="rId11">
              <w:r>
                <w:rPr>
                  <w:rStyle w:val="InternetLink"/>
                  <w:rFonts w:ascii="Times New Roman;serif" w:hAnsi="Times New Roman;serif"/>
                  <w:b w:val="false"/>
                  <w:color w:val="000080"/>
                  <w:sz w:val="20"/>
                  <w:u w:val="single"/>
                </w:rPr>
                <w:t>Form S-1 filed by the registrant on October 7, 2002 (File No. 333-90600).)</w:t>
              </w:r>
            </w:hyperlink>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lineRule="auto" w:line="240" w:before="100" w:after="100"/>
              <w:jc w:val="both"/>
              <w:rPr/>
            </w:pPr>
            <w:hyperlink r:id="rId12">
              <w:r>
                <w:rPr>
                  <w:rStyle w:val="InternetLink"/>
                  <w:rFonts w:ascii="Times New Roman;serif" w:hAnsi="Times New Roman;serif"/>
                  <w:b w:val="false"/>
                  <w:color w:val="0000FF"/>
                  <w:sz w:val="20"/>
                  <w:u w:val="single"/>
                </w:rPr>
                <w:t>Indenture, dated as of March 29, 2004, between the registrant and U.S. Bank National Association, as indenture trustee. (Incorporated by reference to the Registration Statement on Form S-3 filed by the Registrant on March 30, 2004 (File No. 333-114022).)</w:t>
              </w:r>
            </w:hyperlink>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erif" w:hAnsi="Times New Roman;serif"/>
                  <w:b w:val="false"/>
                  <w:color w:val="0000FF"/>
                  <w:sz w:val="20"/>
                  <w:u w:val="single"/>
                </w:rPr>
                <w:t>Form of Deposit Agreement. (Incorporated by reference to Exhibit 4.5 to the Registration Statement on Form S-3 filed by the Registrant on March 30, 2004 (File No. 333-114022).)</w:t>
              </w:r>
            </w:hyperlink>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erif" w:hAnsi="Times New Roman;serif"/>
                  <w:b w:val="false"/>
                  <w:color w:val="0000FF"/>
                  <w:sz w:val="20"/>
                  <w:u w:val="single"/>
                </w:rPr>
                <w:t>Form of Depositary Share (included in Exhibit 4.5)</w:t>
              </w:r>
            </w:hyperlink>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51-opinionofkirklandelli.htm">
              <w:r>
                <w:rPr>
                  <w:rStyle w:val="InternetLink"/>
                  <w:rFonts w:ascii="Times New Roman;serif" w:hAnsi="Times New Roman;serif"/>
                  <w:b w:val="false"/>
                  <w:color w:val="0000FF"/>
                  <w:sz w:val="20"/>
                  <w:u w:val="single"/>
                </w:rPr>
                <w:t>Opinion of Kirkland &amp; Ellis LLP</w:t>
              </w:r>
            </w:hyperlink>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5.2*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52-opinionofbrownsteinhy.htm">
              <w:r>
                <w:rPr>
                  <w:rStyle w:val="InternetLink"/>
                  <w:rFonts w:ascii="Times New Roman;serif" w:hAnsi="Times New Roman;serif"/>
                  <w:b w:val="false"/>
                  <w:color w:val="0000FF"/>
                  <w:sz w:val="20"/>
                  <w:u w:val="single"/>
                </w:rPr>
                <w:t>Opinion of Brownstein Hyatt Farber Schreck, LLP</w:t>
              </w:r>
            </w:hyperlink>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231-consentofernstyoungl.htm">
              <w:r>
                <w:rPr>
                  <w:rStyle w:val="InternetLink"/>
                  <w:rFonts w:ascii="Times New Roman;serif" w:hAnsi="Times New Roman;serif"/>
                  <w:b w:val="false"/>
                  <w:color w:val="0000FF"/>
                  <w:sz w:val="20"/>
                  <w:u w:val="single"/>
                </w:rPr>
                <w:t>Consent of Ernst &amp; Young LLP, Independent Registered Public Accounting Firm</w:t>
              </w:r>
            </w:hyperlink>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51-opinionofkirklandelli.htm">
              <w:r>
                <w:rPr>
                  <w:rStyle w:val="InternetLink"/>
                  <w:rFonts w:ascii="Times New Roman;serif" w:hAnsi="Times New Roman;serif"/>
                  <w:b w:val="false"/>
                  <w:color w:val="0000FF"/>
                  <w:sz w:val="20"/>
                  <w:u w:val="single"/>
                </w:rPr>
                <w:t>Consent of Kirkland &amp; Ellis LLP (included in Exhibit 5.1)</w:t>
              </w:r>
            </w:hyperlink>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23.3*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52-opinionofbrownsteinhy.htm">
              <w:r>
                <w:rPr>
                  <w:rStyle w:val="InternetLink"/>
                  <w:rFonts w:ascii="Times New Roman;serif" w:hAnsi="Times New Roman;serif"/>
                  <w:b w:val="false"/>
                  <w:color w:val="0000FF"/>
                  <w:sz w:val="20"/>
                  <w:u w:val="single"/>
                </w:rPr>
                <w:t>Consent of Brownstein Hyatt Farber Schreck, LLP (included in Exhibit 5.2)</w:t>
              </w:r>
            </w:hyperlink>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9fa7d21206df48ba84f7cbc8776dfd5f_55">
              <w:r>
                <w:rPr>
                  <w:rStyle w:val="InternetLink"/>
                  <w:rFonts w:ascii="Times New Roman;serif" w:hAnsi="Times New Roman;serif"/>
                  <w:b w:val="false"/>
                  <w:color w:val="0000FF"/>
                  <w:sz w:val="20"/>
                  <w:u w:val="single"/>
                </w:rPr>
                <w:t>Powers of Attorney of officers and directors of Wynn Resorts, Limited (included on signature page of this registration statement)</w:t>
              </w:r>
            </w:hyperlink>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072" w:type="dxa"/>
            <w:gridSpan w:val="3"/>
            <w:tcBorders/>
            <w:tcMar>
              <w:top w:w="0" w:type="dxa"/>
              <w:left w:w="0" w:type="dxa"/>
              <w:bottom w:w="0" w:type="dxa"/>
              <w:right w:w="0" w:type="dxa"/>
            </w:tcMar>
            <w:vAlign w:val="center"/>
          </w:tcPr>
          <w:p>
            <w:pPr>
              <w:pStyle w:val="TableContents"/>
              <w:bidi w:val="0"/>
              <w:spacing w:lineRule="auto" w:line="240" w:before="100" w:after="100"/>
              <w:jc w:val="both"/>
              <w:rPr/>
            </w:pPr>
            <w:hyperlink w:anchor="ex25-statementofeligibilit.htm">
              <w:r>
                <w:rPr>
                  <w:rStyle w:val="InternetLink"/>
                  <w:rFonts w:ascii="Times New Roman;serif" w:hAnsi="Times New Roman;serif"/>
                  <w:b w:val="false"/>
                  <w:color w:val="0000FF"/>
                  <w:sz w:val="20"/>
                  <w:u w:val="single"/>
                </w:rPr>
                <w:t>Statement of Eligibility on Form T-1 under the Trust Indenture Act of 1939, as amended, of U.S. Bank National Association, trustee under the Indenture, with respect to the Debt Securities</w:t>
              </w:r>
            </w:hyperlink>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7filingfeetable.htm">
              <w:r>
                <w:rPr>
                  <w:rStyle w:val="InternetLink"/>
                  <w:rFonts w:ascii="Times New Roman;serif" w:hAnsi="Times New Roman;serif"/>
                  <w:b w:val="false"/>
                  <w:color w:val="0000FF"/>
                  <w:sz w:val="20"/>
                  <w:u w:val="single"/>
                </w:rPr>
                <w:t>Filing Fee Table</w:t>
              </w:r>
            </w:hyperlink>
          </w:p>
        </w:tc>
      </w:tr>
    </w:tbl>
    <w:tbl>
      <w:tblPr>
        <w:tblW w:w="1466" w:type="dxa"/>
        <w:jc w:val="left"/>
        <w:tblInd w:w="0" w:type="dxa"/>
        <w:tblLayout w:type="fixed"/>
        <w:tblCellMar>
          <w:top w:w="28" w:type="dxa"/>
          <w:left w:w="28" w:type="dxa"/>
          <w:bottom w:w="28" w:type="dxa"/>
          <w:right w:w="28" w:type="dxa"/>
        </w:tblCellMar>
      </w:tblPr>
      <w:tblGrid>
        <w:gridCol w:w="124"/>
        <w:gridCol w:w="109"/>
        <w:gridCol w:w="109"/>
        <w:gridCol w:w="328"/>
        <w:gridCol w:w="328"/>
        <w:gridCol w:w="4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herein</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101" w:type="dxa"/>
        <w:jc w:val="left"/>
        <w:tblInd w:w="0" w:type="dxa"/>
        <w:tblLayout w:type="fixed"/>
        <w:tblCellMar>
          <w:top w:w="28" w:type="dxa"/>
          <w:left w:w="28" w:type="dxa"/>
          <w:bottom w:w="28" w:type="dxa"/>
          <w:right w:w="28" w:type="dxa"/>
        </w:tblCellMar>
      </w:tblPr>
      <w:tblGrid>
        <w:gridCol w:w="293"/>
        <w:gridCol w:w="258"/>
        <w:gridCol w:w="259"/>
        <w:gridCol w:w="378"/>
        <w:gridCol w:w="378"/>
        <w:gridCol w:w="535"/>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17.</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Undertakings</w:t>
            </w:r>
          </w:p>
        </w:tc>
      </w:tr>
    </w:tbl>
    <w:p>
      <w:pPr>
        <w:pStyle w:val="TextBody"/>
        <w:bidi w:val="0"/>
        <w:spacing w:lineRule="auto" w:line="288" w:before="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The undersigned registrant hereby undertakes: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(1) To file, during any period in which offers or sales are being made, a post-effective amendment to this registration statement:</w:t>
      </w:r>
    </w:p>
    <w:p>
      <w:pPr>
        <w:pStyle w:val="TextBody"/>
        <w:bidi w:val="0"/>
        <w:spacing w:lineRule="auto" w:line="288" w:before="120" w:after="283"/>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(i) To include any prospectus required by Section 10(a)(3) of the Securities Act;</w:t>
      </w:r>
    </w:p>
    <w:p>
      <w:pPr>
        <w:pStyle w:val="TextBody"/>
        <w:bidi w:val="0"/>
        <w:spacing w:lineRule="auto" w:line="288" w:before="120" w:after="283"/>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maximum aggregate offering price set forth in the "Calculation of Registration Fee" table in the effective registration statement; and</w:t>
      </w:r>
    </w:p>
    <w:p>
      <w:pPr>
        <w:pStyle w:val="TextBody"/>
        <w:bidi w:val="0"/>
        <w:spacing w:lineRule="auto" w:line="288" w:before="120" w:after="283"/>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88" w:before="120" w:after="283"/>
        <w:ind w:left="0" w:right="0" w:firstLine="495"/>
        <w:jc w:val="both"/>
        <w:rPr/>
      </w:pP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paragraphs (a)(1)(i), (a)(1)(ii) and (a)(1)(iii) above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(3) To remove from registration by means of a post-effective amendment any of the securities being registered which remain unsold at the termination of the offering.</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(4) That, for the purpose of determining liability under the Securities Act to any purchaser:</w:t>
      </w:r>
    </w:p>
    <w:p>
      <w:pPr>
        <w:pStyle w:val="TextBody"/>
        <w:bidi w:val="0"/>
        <w:spacing w:lineRule="auto" w:line="288" w:before="120" w:after="283"/>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(A)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lineRule="auto" w:line="288" w:before="120" w:after="283"/>
        <w:ind w:left="0" w:right="0" w:firstLine="990"/>
        <w:jc w:val="both"/>
        <w:rPr/>
      </w:pPr>
      <w:r>
        <w:rPr>
          <w:rFonts w:ascii="Times New Roman;serif" w:hAnsi="Times New Roman;serif"/>
          <w:b w:val="false"/>
          <w:color w:val="000000"/>
          <w:sz w:val="20"/>
        </w:rPr>
        <w:t xml:space="preserve">(B)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serif" w:hAnsi="Times New Roman;serif"/>
          <w:b w:val="false"/>
          <w:i/>
          <w:color w:val="000000"/>
          <w:sz w:val="20"/>
        </w:rPr>
        <w:t>Provided, however,</w:t>
      </w:r>
      <w:r>
        <w:rPr>
          <w:color w:val="000000"/>
        </w:rPr>
        <w:t xml:space="preserve"> </w:t>
      </w:r>
      <w:r>
        <w:rPr>
          <w:rFonts w:ascii="Times New Roman;serif" w:hAnsi="Times New Roman;serif"/>
          <w:b w:val="false"/>
          <w:color w:val="000000"/>
          <w:sz w:val="20"/>
        </w:rPr>
        <w:t>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(5) That, for the purpose of determining liability of the registrant under the Securities Act to any purchaser in the initial distribution of the securities: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lineRule="auto" w:line="288" w:before="120" w:after="283"/>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(i) Any preliminary prospectus or prospectus of the undersigned registrant relating to the offering required to be filed pursuant to Rule 424;</w:t>
      </w:r>
    </w:p>
    <w:p>
      <w:pPr>
        <w:pStyle w:val="TextBody"/>
        <w:bidi w:val="0"/>
        <w:spacing w:lineRule="auto" w:line="288" w:before="120" w:after="283"/>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(ii) Any free writing prospectus relating to the offering prepared by or on behalf of the undersigned registrant or used or referred to by the undersigned registrant;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lineRule="auto" w:line="288" w:before="120" w:after="283"/>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(iv) Any other communication that is an offer in the offering made by the undersigned registrant to the purchaser.</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(b) The undersigned registrant hereby further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Las Vegas, State of Nevada, on this 4th day of November, 2025.</w:t>
      </w:r>
    </w:p>
    <w:tbl>
      <w:tblPr>
        <w:tblW w:w="5384" w:type="dxa"/>
        <w:jc w:val="right"/>
        <w:tblInd w:w="0" w:type="dxa"/>
        <w:tblLayout w:type="fixed"/>
        <w:tblCellMar>
          <w:top w:w="28" w:type="dxa"/>
          <w:left w:w="28" w:type="dxa"/>
          <w:bottom w:w="28" w:type="dxa"/>
          <w:right w:w="28" w:type="dxa"/>
        </w:tblCellMar>
      </w:tblPr>
      <w:tblGrid>
        <w:gridCol w:w="299"/>
        <w:gridCol w:w="264"/>
        <w:gridCol w:w="264"/>
        <w:gridCol w:w="264"/>
        <w:gridCol w:w="264"/>
        <w:gridCol w:w="264"/>
        <w:gridCol w:w="1083"/>
        <w:gridCol w:w="1083"/>
        <w:gridCol w:w="1599"/>
      </w:tblGrid>
      <w:tr>
        <w:trPr/>
        <w:tc>
          <w:tcPr>
            <w:tcW w:w="29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WYNN RESORTS, LIMITED</w:t>
            </w:r>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Julie Cameron-Doe</w:t>
            </w:r>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Julie Cameron-Doe</w:t>
            </w:r>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lineRule="auto" w:line="288" w:before="380" w:after="283"/>
        <w:jc w:val="center"/>
        <w:rPr>
          <w:rFonts w:ascii="Times New Roman;serif" w:hAnsi="Times New Roman;serif"/>
          <w:b/>
          <w:color w:val="000000"/>
          <w:sz w:val="20"/>
        </w:rPr>
      </w:pPr>
      <w:r>
        <w:rPr>
          <w:rFonts w:ascii="Times New Roman;serif" w:hAnsi="Times New Roman;serif"/>
          <w:b/>
          <w:color w:val="000000"/>
          <w:sz w:val="20"/>
        </w:rPr>
        <w:t>POWERS OF ATTORNEY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constitutes and appoints Craig S. Billings, Julie Cameron-Doe, and Jacqui Krum, and each of them acting individually, with full power to act without the others, as his or her true and lawful attorney-in-fact with full power of substitution and resubstitution, for him or her and in his or her name, place and stead, in any and all capacities, to sign any or all amendments to this registration statement (including post-effective amendments, or any abbreviated registration statement and any amendments thereto filed pursuant to Rule 462 under the Securities Act of 1933 and otherwise), and to file the same, with all exhibits thereto, and other documents in connection therewith, with the Securities and Exchange Commission, granting unto each said attorney-in-fact full power and authority to do and perform each and every act and thing requisite and necessary to be done in and about the premises, as fully to all intents and purposes as he or she might or could do in person, hereby ratifying and confirming all that each said attorney-in-fact or his or her substitute or substitutes, may lawfully do or cause to be done by virtue hereof.</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by the following persons in the capacities and on the dates indicated.</w:t>
      </w:r>
    </w:p>
    <w:p>
      <w:pPr>
        <w:pStyle w:val="TextBody"/>
        <w:bidi w:val="0"/>
        <w:spacing w:lineRule="auto" w:line="288"/>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10178" w:type="dxa"/>
        <w:jc w:val="left"/>
        <w:tblInd w:w="0" w:type="dxa"/>
        <w:tblLayout w:type="fixed"/>
        <w:tblCellMar>
          <w:top w:w="28" w:type="dxa"/>
          <w:left w:w="28" w:type="dxa"/>
          <w:bottom w:w="28" w:type="dxa"/>
          <w:right w:w="28" w:type="dxa"/>
        </w:tblCellMar>
      </w:tblPr>
      <w:tblGrid>
        <w:gridCol w:w="815"/>
        <w:gridCol w:w="715"/>
        <w:gridCol w:w="720"/>
        <w:gridCol w:w="109"/>
        <w:gridCol w:w="109"/>
        <w:gridCol w:w="109"/>
        <w:gridCol w:w="1867"/>
        <w:gridCol w:w="1867"/>
        <w:gridCol w:w="1890"/>
        <w:gridCol w:w="109"/>
        <w:gridCol w:w="109"/>
        <w:gridCol w:w="109"/>
        <w:gridCol w:w="481"/>
        <w:gridCol w:w="481"/>
        <w:gridCol w:w="688"/>
      </w:tblGrid>
      <w:tr>
        <w:trPr/>
        <w:tc>
          <w:tcPr>
            <w:tcW w:w="8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Date</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S. Billings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Chief Executive Officer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4, 2025</w:t>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S. Billings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Julie Cameron-Doe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4, 2025</w:t>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Julie Cameron-Doe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Philip G. Satre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Non-Executive Chair of the Board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4, 2025</w:t>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G. Satre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Betsy S. Atkins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4, 2025</w:t>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Betsy S. Atkins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Richard J. Byrne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4, 2025</w:t>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J. Byrne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A. Liu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4, 2025</w:t>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A. Liu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Patricia Mulroy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4, 2025</w:t>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Patricia Mulroy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Anthony M. Sanfilippo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4, 2025</w:t>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Anthony M. Sanfilippo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Darnell Strom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4, 2025</w:t>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Darnell Strom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Winifred Webb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4, 2025</w:t>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Winifred Webb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0520"/>
                <wp:effectExtent l="0" t="0" r="0" b="0"/>
                <wp:wrapNone/>
                <wp:docPr id="15" name="Frame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5.1</w:t>
      </w:r>
    </w:p>
    <w:p>
      <w:pPr>
        <w:pStyle w:val="TextBody"/>
        <w:bidi w:val="0"/>
        <w:spacing w:before="0" w:after="240"/>
        <w:jc w:val="center"/>
        <w:rPr/>
      </w:pPr>
      <w:r>
        <w:rPr/>
        <w:drawing>
          <wp:inline distT="0" distB="0" distL="0" distR="0">
            <wp:extent cx="2247900" cy="295275"/>
            <wp:effectExtent l="0" t="0" r="0" b="0"/>
            <wp:docPr id="1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 descr=""/>
                    <pic:cNvPicPr>
                      <a:picLocks noChangeAspect="1" noChangeArrowheads="1"/>
                    </pic:cNvPicPr>
                  </pic:nvPicPr>
                  <pic:blipFill>
                    <a:blip r:embed="rId15"/>
                    <a:stretch>
                      <a:fillRect/>
                    </a:stretch>
                  </pic:blipFill>
                  <pic:spPr bwMode="auto">
                    <a:xfrm>
                      <a:off x="0" y="0"/>
                      <a:ext cx="2247900" cy="295275"/>
                    </a:xfrm>
                    <a:prstGeom prst="rect">
                      <a:avLst/>
                    </a:prstGeom>
                  </pic:spPr>
                </pic:pic>
              </a:graphicData>
            </a:graphic>
          </wp:inline>
        </w:drawing>
      </w:r>
    </w:p>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333 West Wolf Point Plaza</w:t>
      </w:r>
    </w:p>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xml:space="preserve">Chicago, Illinois 60654 </w:t>
      </w:r>
    </w:p>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(312) 862-2000</w:t>
      </w:r>
    </w:p>
    <w:p>
      <w:pPr>
        <w:pStyle w:val="TextBody"/>
        <w:bidi w:val="0"/>
        <w:spacing w:before="0" w:after="0"/>
        <w:jc w:val="center"/>
        <w:rPr/>
      </w:pPr>
      <w:r>
        <w:rPr/>
      </w:r>
    </w:p>
    <w:p>
      <w:pPr>
        <w:pStyle w:val="TextBody"/>
        <w:bidi w:val="0"/>
        <w:spacing w:lineRule="auto" w:line="333" w:before="0" w:after="100"/>
        <w:jc w:val="center"/>
        <w:rPr>
          <w:rFonts w:ascii="Arial;sans-serif" w:hAnsi="Arial;sans-serif"/>
          <w:b w:val="false"/>
          <w:color w:val="000000"/>
          <w:sz w:val="16"/>
        </w:rPr>
      </w:pPr>
      <w:r>
        <w:rPr>
          <w:rFonts w:ascii="Arial;sans-serif" w:hAnsi="Arial;sans-serif"/>
          <w:b w:val="false"/>
          <w:color w:val="000000"/>
          <w:sz w:val="16"/>
        </w:rPr>
        <w:t>www.kirkland.com</w:t>
      </w:r>
    </w:p>
    <w:tbl>
      <w:tblPr>
        <w:tblW w:w="259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373"/>
        <w:gridCol w:w="373"/>
        <w:gridCol w:w="5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Facsimile: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(312) 862-2200</w:t>
            </w:r>
          </w:p>
        </w:tc>
      </w:tr>
    </w:tbl>
    <w:p>
      <w:pPr>
        <w:pStyle w:val="TextBody"/>
        <w:bidi w:val="0"/>
        <w:spacing w:lineRule="auto" w:line="333" w:before="0" w:after="0"/>
        <w:jc w:val="right"/>
        <w:rPr>
          <w:color w:val="000000"/>
        </w:rPr>
      </w:pPr>
      <w:r>
        <w:rPr>
          <w:color w:val="000000"/>
        </w:rPr>
        <w:t>                    </w:t>
      </w:r>
    </w:p>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November 4, 2025</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Wynn Resorts, Limited </w:t>
      </w:r>
    </w:p>
    <w:p>
      <w:pPr>
        <w:pStyle w:val="TextBody"/>
        <w:bidi w:val="0"/>
        <w:spacing w:lineRule="auto" w:line="312"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3131 Las Vegas Boulevard South </w:t>
      </w:r>
    </w:p>
    <w:p>
      <w:pPr>
        <w:pStyle w:val="TextBody"/>
        <w:bidi w:val="0"/>
        <w:spacing w:lineRule="auto" w:line="312"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Las Vegas, Nevada 89109 </w:t>
      </w:r>
    </w:p>
    <w:p>
      <w:pPr>
        <w:pStyle w:val="TextBody"/>
        <w:bidi w:val="0"/>
        <w:spacing w:lineRule="auto" w:line="312"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(702) 770-7555 </w:t>
      </w:r>
    </w:p>
    <w:p>
      <w:pPr>
        <w:pStyle w:val="TextBody"/>
        <w:bidi w:val="0"/>
        <w:spacing w:before="0" w:after="0"/>
        <w:jc w:val="left"/>
        <w:rPr/>
      </w:pPr>
      <w:r>
        <w:rPr/>
      </w:r>
    </w:p>
    <w:p>
      <w:pPr>
        <w:pStyle w:val="TextBody"/>
        <w:bidi w:val="0"/>
        <w:spacing w:lineRule="auto" w:line="312" w:before="0" w:after="0"/>
        <w:ind w:left="0" w:right="0" w:firstLine="720"/>
        <w:jc w:val="left"/>
        <w:rPr/>
      </w:pPr>
      <w:r>
        <w:rPr>
          <w:rFonts w:ascii="Times New Roman;serif" w:hAnsi="Times New Roman;serif"/>
          <w:b w:val="false"/>
          <w:color w:val="000000"/>
          <w:sz w:val="22"/>
        </w:rPr>
        <w:t xml:space="preserve">Re: </w:t>
      </w:r>
      <w:r>
        <w:rPr>
          <w:rFonts w:ascii="Times New Roman;serif" w:hAnsi="Times New Roman;serif"/>
          <w:b w:val="false"/>
          <w:color w:val="000000"/>
          <w:sz w:val="22"/>
          <w:u w:val="single"/>
        </w:rPr>
        <w:t>Registration Statement of Wynn Resorts, Limited on Form S-3ASR</w:t>
      </w:r>
    </w:p>
    <w:p>
      <w:pPr>
        <w:pStyle w:val="TextBody"/>
        <w:bidi w:val="0"/>
        <w:spacing w:before="0" w:after="0"/>
        <w:ind w:left="0" w:right="0" w:firstLine="720"/>
        <w:jc w:val="left"/>
        <w:rPr/>
      </w:pPr>
      <w:r>
        <w:rPr/>
      </w:r>
    </w:p>
    <w:p>
      <w:pPr>
        <w:pStyle w:val="TextBody"/>
        <w:bidi w:val="0"/>
        <w:spacing w:lineRule="auto" w:line="312" w:before="0" w:after="0"/>
        <w:jc w:val="left"/>
        <w:rPr>
          <w:rFonts w:ascii="Times New Roman;serif" w:hAnsi="Times New Roman;serif"/>
          <w:b w:val="false"/>
          <w:color w:val="000000"/>
          <w:sz w:val="22"/>
        </w:rPr>
      </w:pPr>
      <w:r>
        <w:rPr>
          <w:rFonts w:ascii="Times New Roman;serif" w:hAnsi="Times New Roman;serif"/>
          <w:b w:val="false"/>
          <w:color w:val="000000"/>
          <w:sz w:val="22"/>
        </w:rPr>
        <w:t>Ladies and Gentlemen:</w:t>
      </w:r>
    </w:p>
    <w:p>
      <w:pPr>
        <w:pStyle w:val="TextBody"/>
        <w:bidi w:val="0"/>
        <w:spacing w:before="0" w:after="0"/>
        <w:jc w:val="left"/>
        <w:rPr/>
      </w:pPr>
      <w:r>
        <w:rPr/>
      </w:r>
    </w:p>
    <w:p>
      <w:pPr>
        <w:pStyle w:val="TextBody"/>
        <w:bidi w:val="0"/>
        <w:spacing w:lineRule="auto" w:line="312" w:before="0" w:after="0"/>
        <w:ind w:left="0" w:right="0" w:firstLine="720"/>
        <w:jc w:val="both"/>
        <w:rPr/>
      </w:pPr>
      <w:r>
        <w:rPr>
          <w:rFonts w:ascii="Times New Roman;serif" w:hAnsi="Times New Roman;serif"/>
          <w:b w:val="false"/>
          <w:color w:val="000000"/>
          <w:sz w:val="22"/>
        </w:rPr>
        <w:t>We have examined the Registration Statement on Form S-3ASR (the “</w:t>
      </w:r>
      <w:r>
        <w:rPr>
          <w:rFonts w:ascii="Times New Roman;serif" w:hAnsi="Times New Roman;serif"/>
          <w:b w:val="false"/>
          <w:color w:val="000000"/>
          <w:sz w:val="22"/>
          <w:u w:val="single"/>
        </w:rPr>
        <w:t>Registration Statement</w:t>
      </w:r>
      <w:r>
        <w:rPr>
          <w:color w:val="000000"/>
        </w:rPr>
        <w:t>”</w:t>
      </w:r>
      <w:r>
        <w:rPr>
          <w:rFonts w:ascii="Times New Roman;serif" w:hAnsi="Times New Roman;serif"/>
          <w:b w:val="false"/>
          <w:color w:val="000000"/>
          <w:sz w:val="22"/>
        </w:rPr>
        <w:t>) to be filed with the Securities and Exchange Commission (the “</w:t>
      </w:r>
      <w:r>
        <w:rPr>
          <w:rFonts w:ascii="Times New Roman;serif" w:hAnsi="Times New Roman;serif"/>
          <w:b w:val="false"/>
          <w:color w:val="000000"/>
          <w:sz w:val="22"/>
          <w:u w:val="single"/>
        </w:rPr>
        <w:t>Commission</w:t>
      </w:r>
      <w:r>
        <w:rPr>
          <w:color w:val="000000"/>
        </w:rPr>
        <w:t>”</w:t>
      </w:r>
      <w:r>
        <w:rPr>
          <w:rFonts w:ascii="Times New Roman;serif" w:hAnsi="Times New Roman;serif"/>
          <w:b w:val="false"/>
          <w:color w:val="000000"/>
          <w:sz w:val="22"/>
        </w:rPr>
        <w:t>) by Wynn Resorts, Limited, a Nevada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to register the following securities: (a) senior debt securities, senior subordinated debt securities, subordinated debt securities and junior subordinated debt securities of the Company (collectively, the “</w:t>
      </w:r>
      <w:r>
        <w:rPr>
          <w:rFonts w:ascii="Times New Roman;serif" w:hAnsi="Times New Roman;serif"/>
          <w:b w:val="false"/>
          <w:color w:val="000000"/>
          <w:sz w:val="22"/>
          <w:u w:val="single"/>
        </w:rPr>
        <w:t>Debt Securities</w:t>
      </w:r>
      <w:r>
        <w:rPr>
          <w:color w:val="000000"/>
        </w:rPr>
        <w:t>”</w:t>
      </w:r>
      <w:r>
        <w:rPr>
          <w:rFonts w:ascii="Times New Roman;serif" w:hAnsi="Times New Roman;serif"/>
          <w:b w:val="false"/>
          <w:color w:val="000000"/>
          <w:sz w:val="22"/>
        </w:rPr>
        <w:t>), (b) shares of common stock, par value $0.01 per share, of the Company (the “</w:t>
      </w:r>
      <w:r>
        <w:rPr>
          <w:rFonts w:ascii="Times New Roman;serif" w:hAnsi="Times New Roman;serif"/>
          <w:b w:val="false"/>
          <w:color w:val="000000"/>
          <w:sz w:val="22"/>
          <w:u w:val="single"/>
        </w:rPr>
        <w:t>Common Stock</w:t>
      </w:r>
      <w:r>
        <w:rPr>
          <w:color w:val="000000"/>
        </w:rPr>
        <w:t>”</w:t>
      </w:r>
      <w:r>
        <w:rPr>
          <w:rFonts w:ascii="Times New Roman;serif" w:hAnsi="Times New Roman;serif"/>
          <w:b w:val="false"/>
          <w:color w:val="000000"/>
          <w:sz w:val="22"/>
        </w:rPr>
        <w:t>), (c) shares of preferred stock, par value $0.01 per share, of the Company (the “</w:t>
      </w:r>
      <w:r>
        <w:rPr>
          <w:rFonts w:ascii="Times New Roman;serif" w:hAnsi="Times New Roman;serif"/>
          <w:b w:val="false"/>
          <w:color w:val="000000"/>
          <w:sz w:val="22"/>
          <w:u w:val="single"/>
        </w:rPr>
        <w:t>Preferred Stock</w:t>
      </w:r>
      <w:r>
        <w:rPr>
          <w:color w:val="000000"/>
        </w:rPr>
        <w:t>”</w:t>
      </w:r>
      <w:r>
        <w:rPr>
          <w:rFonts w:ascii="Times New Roman;serif" w:hAnsi="Times New Roman;serif"/>
          <w:b w:val="false"/>
          <w:color w:val="000000"/>
          <w:sz w:val="22"/>
        </w:rPr>
        <w:t>), and (d) depositary shares representing preferred stock of the Company (the “</w:t>
      </w:r>
      <w:r>
        <w:rPr>
          <w:rFonts w:ascii="Times New Roman;serif" w:hAnsi="Times New Roman;serif"/>
          <w:b w:val="false"/>
          <w:color w:val="000000"/>
          <w:sz w:val="22"/>
          <w:u w:val="single"/>
        </w:rPr>
        <w:t>Depositary Shares</w:t>
      </w:r>
      <w:r>
        <w:rPr>
          <w:color w:val="000000"/>
        </w:rPr>
        <w:t>”</w:t>
      </w:r>
      <w:r>
        <w:rPr>
          <w:rFonts w:ascii="Times New Roman;serif" w:hAnsi="Times New Roman;serif"/>
          <w:b w:val="false"/>
          <w:color w:val="000000"/>
          <w:sz w:val="22"/>
        </w:rPr>
        <w:t>); all of which securities may be issued in one or more offerings from time to time on a delayed or continuous basis pursuant to Rule 415 under the Securities Act of 1933, as amended (the “</w:t>
      </w:r>
      <w:r>
        <w:rPr>
          <w:rFonts w:ascii="Times New Roman;serif" w:hAnsi="Times New Roman;serif"/>
          <w:b w:val="false"/>
          <w:color w:val="000000"/>
          <w:sz w:val="22"/>
          <w:u w:val="single"/>
        </w:rPr>
        <w:t>Securities Act</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312" w:before="0" w:after="0"/>
        <w:ind w:left="0" w:right="0" w:firstLine="720"/>
        <w:jc w:val="both"/>
        <w:rPr/>
      </w:pPr>
      <w:r>
        <w:rPr>
          <w:rFonts w:ascii="Times New Roman;serif" w:hAnsi="Times New Roman;serif"/>
          <w:b w:val="false"/>
          <w:color w:val="000000"/>
          <w:sz w:val="22"/>
        </w:rPr>
        <w:t>You have advised us that: (i) the Depositary Shares will be issued pursuant to one or more deposit agreements (including a form of depositary receipt evidencing the Depositary Shares) (each, a “</w:t>
      </w:r>
      <w:r>
        <w:rPr>
          <w:rFonts w:ascii="Times New Roman;serif" w:hAnsi="Times New Roman;serif"/>
          <w:b w:val="false"/>
          <w:color w:val="000000"/>
          <w:sz w:val="22"/>
          <w:u w:val="single"/>
        </w:rPr>
        <w:t>Deposit Agreement</w:t>
      </w:r>
      <w:r>
        <w:rPr>
          <w:color w:val="000000"/>
        </w:rPr>
        <w:t>”</w:t>
      </w:r>
      <w:r>
        <w:rPr>
          <w:rFonts w:ascii="Times New Roman;serif" w:hAnsi="Times New Roman;serif"/>
          <w:b w:val="false"/>
          <w:color w:val="000000"/>
          <w:sz w:val="22"/>
        </w:rPr>
        <w:t>), by and between the Company and a depositary, in a form that will be filed as an exhibit to the Registration Statement or incorporated by reference therein; and (ii) the Debt Securities will be issued under the indenture filed as an exhibit to the Registration Statement (including any amendments or supplements thereto, the “</w:t>
      </w:r>
      <w:r>
        <w:rPr>
          <w:rFonts w:ascii="Times New Roman;serif" w:hAnsi="Times New Roman;serif"/>
          <w:b w:val="false"/>
          <w:color w:val="000000"/>
          <w:sz w:val="22"/>
          <w:u w:val="single"/>
        </w:rPr>
        <w:t>Indenture</w:t>
      </w:r>
      <w:r>
        <w:rPr>
          <w:color w:val="000000"/>
        </w:rPr>
        <w:t>”</w:t>
      </w:r>
      <w:r>
        <w:rPr>
          <w:rFonts w:ascii="Times New Roman;serif" w:hAnsi="Times New Roman;serif"/>
          <w:b w:val="false"/>
          <w:color w:val="000000"/>
          <w:sz w:val="22"/>
        </w:rPr>
        <w:t>), dated as of March 29, 2004, between the Company and U.S. Bank National Association, as indenture trustee. The Indenture and each Deposit Agreement shall be referred to herein as a “</w:t>
      </w:r>
      <w:r>
        <w:rPr>
          <w:rFonts w:ascii="Times New Roman;serif" w:hAnsi="Times New Roman;serif"/>
          <w:b w:val="false"/>
          <w:color w:val="000000"/>
          <w:sz w:val="22"/>
          <w:u w:val="single"/>
        </w:rPr>
        <w:t>Governing Document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31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For purposes of this opinion, we have assumed the authenticity of all documents submitted to us as originals, the conformity to the originals of all documents submitted to us as copies and the authenticity of the originals of all documents submitted to us as copies. We have also assumed the legal capacity of all natural persons, the genuineness of the signatures of persons signing all documents in connection with which this opinion is rendered, the authority of such persons signing on behalf of the parties thereto and the due authorization, execution and delivery of all documents by the parties thereto. We have assumed further that the Company is a corporation duly organized, validly existing and in good standing under the laws of the State of Nevada and has all legal right,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87630"/>
                <wp:effectExtent l="0" t="0" r="0" b="0"/>
                <wp:wrapNone/>
                <wp:docPr id="17" name="Frame15"/>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312" w:before="0" w:after="0"/>
                              <w:jc w:val="center"/>
                              <w:rPr>
                                <w:rFonts w:ascii="Arial;sans-serif" w:hAnsi="Arial;sans-serif"/>
                                <w:b w:val="false"/>
                                <w:color w:val="000000"/>
                                <w:sz w:val="12"/>
                              </w:rPr>
                            </w:pPr>
                            <w:r>
                              <w:rPr>
                                <w:rFonts w:ascii="Arial;sans-serif" w:hAnsi="Arial;sans-serif"/>
                                <w:b w:val="false"/>
                                <w:color w:val="000000"/>
                                <w:sz w:val="12"/>
                              </w:rPr>
                              <w:t>Austin Bay Area Beijing Boston Brussels Chicago Dallas Hong Kong Houston London Los Angeles Miami Munich New York Paris Salt Lake City Shanghai Washington, D.C.</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0"/>
                        <w:jc w:val="center"/>
                        <w:rPr>
                          <w:rFonts w:ascii="Arial;sans-serif" w:hAnsi="Arial;sans-serif"/>
                          <w:b w:val="false"/>
                          <w:color w:val="000000"/>
                          <w:sz w:val="12"/>
                        </w:rPr>
                      </w:pPr>
                      <w:r>
                        <w:rPr>
                          <w:rFonts w:ascii="Arial;sans-serif" w:hAnsi="Arial;sans-serif"/>
                          <w:b w:val="false"/>
                          <w:color w:val="000000"/>
                          <w:sz w:val="12"/>
                        </w:rPr>
                        <w:t>Austin Bay Area Beijing Boston Brussels Chicago Dallas Hong Kong Houston London Los Angeles Miami Munich New York Paris Salt Lake City Shanghai Washington, D.C.</w:t>
                      </w:r>
                    </w:p>
                  </w:txbxContent>
                </v:textbox>
                <w10:wrap type="none"/>
              </v:rect>
            </w:pict>
          </mc:Fallback>
        </mc:AlternateContent>
      </w:r>
    </w:p>
    <w:p>
      <w:pPr>
        <w:pStyle w:val="TextBody"/>
        <w:bidi w:val="0"/>
        <w:spacing w:lineRule="auto" w:line="312"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power and authority to execute, deliver and perform its obligations under the offered securities and the Governing Documents. We note that you are relying with respect to all matters of Nevada law and Company authority on an opinion of Brownstein Hyatt Farber Schreck, LLP, dated as of the date hereof, which opinion is filed as Exhibit 5.2 to the Registration Statement. We have not independently established or verified any facts relevant to the opinions expressed herein, but have relied upon statements and representations of the officers and other representatives of the Company and others as to factual matters.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connection with this opinion, we have assumed that (a) the Registration Statement, and any amendments thereto (including post-effective amendments), relating to the offered securities will have become effective under the Securities Act and will comply with all applicable laws; (b) a prospectus supplement will have been prepared and filed with the Commission describing the securities offered thereby and will comply with all applicable laws; (c) all offered securities will be issued and sold in compliance with applicable federal and state securities laws and in the manner and for the consideration stated in the Registration Statement and the appropriate prospectus supplement; (d) all legally required consents, approvals, authorizations and other orders of the Commission and any other regulatory authorities necessary to issue and sell the securities offered and to execute and deliver the applicable Governing Document will have been obtained; (e)  the securities offered as well as the terms of the applicable Governing Document, as executed and delivered, will have complied with all requirements and restrictions, if any, applicable to the Company, whether imposed by any court or governmental or regulatory body having jurisdiction over the Company; (f) a definitive purchase, underwriting, sales agency or similar agreement with respect to the offered securities will have been duly authorized and validly executed and delivered by the Company and the other parties thereto; (g) any applicable indenture and indenture trustee will have been qualified under the Trust Indenture Act of 1939, as amended; and (h) that the Company will receive at least par value for any equity security issued.</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Based upon and subject to the foregoing qualifications, assumptions and limitations, and having regard for such legal considerations as we have deemed relevant, we are of the opinion that:</w:t>
      </w:r>
    </w:p>
    <w:p>
      <w:pPr>
        <w:pStyle w:val="TextBody"/>
        <w:bidi w:val="0"/>
        <w:spacing w:before="0" w:after="0"/>
        <w:ind w:left="0" w:right="0" w:firstLine="720"/>
        <w:jc w:val="both"/>
        <w:rPr/>
      </w:pPr>
      <w:r>
        <w:rPr/>
      </w:r>
    </w:p>
    <w:p>
      <w:pPr>
        <w:pStyle w:val="TextBody"/>
        <w:bidi w:val="0"/>
        <w:spacing w:lineRule="auto" w:line="312"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1.When the Debt Securities and the Indenture have been authorized by appropriate corporate authorization in accordance with applicable law and the Indenture has been duly executed by the parties thereto, and the Debt Securities have been executed, attested, issued, and delivered by duly authorized officers in accordance with the Indenture against payment therefore and authenticated by the trustee, the Debt Securities will be validly issued and the Debt Securities will constitute binding obligations of the Company enforceable against the Company in accordance with their terms, in each case subject to bankruptcy, insolvency, fraudulent transfer, reorganization, moratorium and similar laws of general applicability relating to or affecting creditors’ rights and to general equity principles.</w:t>
      </w:r>
    </w:p>
    <w:p>
      <w:pPr>
        <w:pStyle w:val="TextBody"/>
        <w:bidi w:val="0"/>
        <w:spacing w:lineRule="auto" w:line="312"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2.When the specific terms of any offering of Common Stock have been duly authorized by appropriate corporate authorization and in accordance with provisions of any applicable purchase agreement so as not to violate any applicable law or agreement or instrument then binding on the Company, and when certificates representing the shares of Common Stock have been duly executed, countersigned, registered and delivered against payment therefor in accordance with the applicable purchase agreement (which shall be in an amount at least equal to the par value of the shares of Common Stock being issued and sold) or upon exchange in accordance with the terms of any other security that has been duly authorized, issued, paid for and delivered, such shares will be validly issued, fully paid, and non-assessable. </w:t>
      </w:r>
    </w:p>
    <w:p>
      <w:pPr>
        <w:pStyle w:val="TextBody"/>
        <w:bidi w:val="0"/>
        <w:spacing w:lineRule="auto" w:line="312"/>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3.When the designation of the preferences and relative, participating, optional and other special rights, and qualifications, limitations or restrictions, of any series of Preferred Stock have been duly authorized by appropriate corporate authorization and proper filing with the Secretary of State of the State of Nevada of a certificate of designations relating to such series of Preferred Stock, and when all necessary corporate action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87630"/>
                <wp:effectExtent l="0" t="0" r="0" b="0"/>
                <wp:wrapNone/>
                <wp:docPr id="18" name="Frame16"/>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312" w:before="0" w:after="0"/>
                              <w:jc w:val="center"/>
                              <w:rPr>
                                <w:rFonts w:ascii="Arial;sans-serif" w:hAnsi="Arial;sans-serif"/>
                                <w:b w:val="false"/>
                                <w:color w:val="000000"/>
                                <w:sz w:val="12"/>
                              </w:rPr>
                            </w:pPr>
                            <w:r>
                              <w:rPr>
                                <w:rFonts w:ascii="Arial;sans-serif" w:hAnsi="Arial;sans-serif"/>
                                <w:b w:val="false"/>
                                <w:color w:val="000000"/>
                                <w:sz w:val="12"/>
                              </w:rPr>
                              <w:t>Austin Bay Area Beijing Boston Brussels Chicago Dallas Hong Kong Houston London Los Angeles Miami Munich New York Paris Salt Lake City Shanghai Washington, D.C.</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0"/>
                        <w:jc w:val="center"/>
                        <w:rPr>
                          <w:rFonts w:ascii="Arial;sans-serif" w:hAnsi="Arial;sans-serif"/>
                          <w:b w:val="false"/>
                          <w:color w:val="000000"/>
                          <w:sz w:val="12"/>
                        </w:rPr>
                      </w:pPr>
                      <w:r>
                        <w:rPr>
                          <w:rFonts w:ascii="Arial;sans-serif" w:hAnsi="Arial;sans-serif"/>
                          <w:b w:val="false"/>
                          <w:color w:val="000000"/>
                          <w:sz w:val="12"/>
                        </w:rPr>
                        <w:t>Austin Bay Area Beijing Boston Brussels Chicago Dallas Hong Kong Houston London Los Angeles Miami Munich New York Paris Salt Lake City Shanghai Washington, D.C.</w:t>
                      </w:r>
                    </w:p>
                  </w:txbxContent>
                </v:textbox>
                <w10:wrap type="none"/>
              </v:rect>
            </w:pict>
          </mc:Fallback>
        </mc:AlternateContent>
      </w:r>
    </w:p>
    <w:p>
      <w:pPr>
        <w:pStyle w:val="TextBody"/>
        <w:bidi w:val="0"/>
        <w:spacing w:lineRule="auto" w:line="312" w:before="0" w:after="0"/>
        <w:jc w:val="left"/>
        <w:rPr>
          <w:rFonts w:ascii="Times New Roman;serif" w:hAnsi="Times New Roman;serif"/>
          <w:b w:val="false"/>
          <w:color w:val="000000"/>
          <w:sz w:val="22"/>
        </w:rPr>
      </w:pPr>
      <w:r>
        <w:rPr>
          <w:rFonts w:ascii="Times New Roman;serif" w:hAnsi="Times New Roman;serif"/>
          <w:b w:val="false"/>
          <w:color w:val="000000"/>
          <w:sz w:val="22"/>
        </w:rPr>
        <w:t>on the part of the Company will have been taken to authorize the issuance and sale of such series of Preferred Stock proposed to be sold by the Company, and when certificates representing the shares of Preferred Stock have been duly executed, countersigned, registered and delivered against payment therefor in accordance with the applicable purchase agreement (which shall be in an amount at least equal to the par value of the shares being issued and sold) or upon exchange in accordance with the terms of any other security that has been duly authorized, issued, paid for and delivered, such shares will be validly issued, fully paid and non-assessable.</w:t>
      </w:r>
    </w:p>
    <w:p>
      <w:pPr>
        <w:pStyle w:val="TextBody"/>
        <w:bidi w:val="0"/>
        <w:spacing w:lineRule="auto" w:line="312"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4.When the Depositary Shares have been duly authorized by appropriate corporate authorization and duly established in accordance with the applicable Deposit Agreements and applicable law, the Preferred Stock represented by the Depositary Shares has been duly delivered to the depositary under the applicable Deposit Agreement, and the depositary receipts evidencing the Depositary Shares have been duly executed, attested, issued and delivered by duly authorized officers, such Depositary Shares will be validly issued and will entitle the holders thereof to the rights specified in the applicable Deposit Agreement.       </w:t>
      </w:r>
    </w:p>
    <w:p>
      <w:pPr>
        <w:pStyle w:val="TextBody"/>
        <w:bidi w:val="0"/>
        <w:spacing w:lineRule="auto" w:line="312" w:before="0" w:after="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Our opinion expressed above is subject to the qualifications that we express no opinion as to the applicability of, compliance with, or effect of (i) any bankruptcy, insolvency, reorganization, fraudulent transfer, fraudulent conveyance, moratorium or other similar law affecting the enforcement of creditors’ rights generally; (ii) general principles of equity (regardless of whether enforcement is considered in a proceeding in equity or at law); and (iii) public policy considerations which may limit the rights of parties to obtain certain remedies. This opinion does not cover the law of any jurisdiction other than the law of the State of New York. We did not find it necessary for the purposes of this opinion, and accordingly we do not purport to cover herein, the application of the securities or “Blue Sky” laws of the various states. We undertake no responsibility to update or supplement this opinion in response to changes in law or future events or other circumstances. The opinion expressed herein concerns only the effect of the law (excluding the principles of conflicts of law) of the State of New York as currently in effect.</w:t>
      </w:r>
    </w:p>
    <w:p>
      <w:pPr>
        <w:pStyle w:val="TextBody"/>
        <w:bidi w:val="0"/>
        <w:spacing w:before="0" w:after="0"/>
        <w:ind w:left="0" w:right="0" w:firstLine="360"/>
        <w:jc w:val="left"/>
        <w:rPr/>
      </w:pPr>
      <w:r>
        <w:rPr/>
      </w:r>
    </w:p>
    <w:p>
      <w:pPr>
        <w:pStyle w:val="TextBody"/>
        <w:bidi w:val="0"/>
        <w:spacing w:lineRule="auto" w:line="312" w:before="0" w:after="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We express no opinion with respect to the enforceability of (i) consents to, or restrictions upon, judicial relief or jurisdiction or venue; (ii) waivers of rights or defenses with respect to stay, extension or usury laws; (iii) advance waivers of claims, defenses, rights granted by law, or notice, opportunity for hearing, evidentiary requirements, statutes of limitation, trial by jury or at law, or other procedural rights; (iv) waivers of broadly or vaguely stated rights; (v) provisions for exclusivity, election or cumulation of rights or remedies; (vi) provisions authorizing or validating conclusive or discretionary determinations; (vii) grants of setoff rights; (viii) provisions for the payment of attorneys’ fees where such payment is contrary to law or public policy; (ix) proxies, powers and trusts; (x) restrictions upon non-written modifications and waivers; (xi) provisions prohibiting, restricting, or requiring consent to assignment or transfer of any right or property; (xii) any provision to the extent it requires any party to indemnify any other person against loss in obtaining the currency due following a court judgment in another currency; and (xiii) provisions for liquidated damages, default interest, late charges, monetary penalties, makeiums or other economic remedies to the extent such provisions are deemed to constitute a penalty. In addition, we express no opinion with respect to (i) whether acceleration of the Debt Securities may affect the collectability of that portion of the stated principal amount thereof that might be determined to constitute unearned interest thereon, (ii) compliance with laws relating to permissible rates of interest or (iii) the creation, validity, perfection or priority of any security interest or lien.</w:t>
      </w:r>
    </w:p>
    <w:p>
      <w:pPr>
        <w:pStyle w:val="TextBody"/>
        <w:bidi w:val="0"/>
        <w:spacing w:before="0" w:after="0"/>
        <w:ind w:left="0" w:right="0" w:firstLine="360"/>
        <w:jc w:val="left"/>
        <w:rPr/>
      </w:pPr>
      <w:r>
        <w:rPr/>
      </w:r>
    </w:p>
    <w:p>
      <w:pPr>
        <w:pStyle w:val="TextBody"/>
        <w:bidi w:val="0"/>
        <w:spacing w:lineRule="auto" w:line="312"/>
        <w:ind w:left="0" w:right="0" w:firstLine="36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To the extent that the obligations of the Company under the Governing Documents may be dependent on such matters, we assume for purposes of this opinion that the applicable Governing Document counterparty is duly organized, validly existing and in good standing under the laws of its jurisdiction of organization; that the applicable Governing Document counterparty is duly qualified to engage in the activities contemplated by the applicable Governing Document; that the applicable Governing Document has been duly authorized, executed and delivered by the applicable Governing Document counterparty and constitutes the legally valid and binding obligations of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87630"/>
                <wp:effectExtent l="0" t="0" r="0" b="0"/>
                <wp:wrapNone/>
                <wp:docPr id="19" name="Frame17"/>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312" w:before="0" w:after="0"/>
                              <w:jc w:val="center"/>
                              <w:rPr>
                                <w:rFonts w:ascii="Arial;sans-serif" w:hAnsi="Arial;sans-serif"/>
                                <w:b w:val="false"/>
                                <w:color w:val="000000"/>
                                <w:sz w:val="12"/>
                              </w:rPr>
                            </w:pPr>
                            <w:r>
                              <w:rPr>
                                <w:rFonts w:ascii="Arial;sans-serif" w:hAnsi="Arial;sans-serif"/>
                                <w:b w:val="false"/>
                                <w:color w:val="000000"/>
                                <w:sz w:val="12"/>
                              </w:rPr>
                              <w:t>Austin Bay Area Beijing Boston Brussels Chicago Dallas Hong Kong Houston London Los Angeles Miami Munich New York Paris Salt Lake City Shanghai Washington, D.C.</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0"/>
                        <w:jc w:val="center"/>
                        <w:rPr>
                          <w:rFonts w:ascii="Arial;sans-serif" w:hAnsi="Arial;sans-serif"/>
                          <w:b w:val="false"/>
                          <w:color w:val="000000"/>
                          <w:sz w:val="12"/>
                        </w:rPr>
                      </w:pPr>
                      <w:r>
                        <w:rPr>
                          <w:rFonts w:ascii="Arial;sans-serif" w:hAnsi="Arial;sans-serif"/>
                          <w:b w:val="false"/>
                          <w:color w:val="000000"/>
                          <w:sz w:val="12"/>
                        </w:rPr>
                        <w:t>Austin Bay Area Beijing Boston Brussels Chicago Dallas Hong Kong Houston London Los Angeles Miami Munich New York Paris Salt Lake City Shanghai Washington, D.C.</w:t>
                      </w:r>
                    </w:p>
                  </w:txbxContent>
                </v:textbox>
                <w10:wrap type="none"/>
              </v:rect>
            </w:pict>
          </mc:Fallback>
        </mc:AlternateContent>
      </w:r>
    </w:p>
    <w:p>
      <w:pPr>
        <w:pStyle w:val="TextBody"/>
        <w:bidi w:val="0"/>
        <w:spacing w:lineRule="auto" w:line="312"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such Governing Document counterparty enforceable against such Governing Document counterparty in accordance with its terms; that the applicable Governing Document counterparty is in compliance, generally and with respect to acting as trustee, depositary or other counterparty, as the case may be, under the applicable Governing Document, with all applicable laws and regulations; and that the applicable Governing Document counterparty, has the requisite organizational and legal power and authority to perform its obligations under the applicable Governing Document. </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opinion is being furnished in accordance with the requirements of Item 601 of Regulation S-K promulgated under the Securities Act, and no opinion is expressed herein as to any matter pertaining to the contents of the Registration Statement, other than as to the specific issues addressed herein, and no opinion may be inferred or implied beyond that expressly stated herein.</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opinion is rendered solely for your benefit and may not be used, circulated, quoted relied upon or otherwise referred to by any other person for any other purpose without our prior written consent.</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have relied as to certain matters on information obtained from public officials, officers of the Company and other sources believed by us to be responsible.</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hereby consent to the filing of this opinion as an exhibit to the Registration Statement and to the reference to this opinion in the Registration Statement in the section “Legal Matters.” In giving this consent, we do not thereby admit that we are “experts” within the meaning of the Securities Act.</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Sincerely, </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/s/ KIRKLAND &amp; ELLIS LLP</w:t>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KIRKLAND &amp; ELLIS LLP</w:t>
      </w:r>
    </w:p>
    <w:p>
      <w:pPr>
        <w:pStyle w:val="TextBody"/>
        <w:bidi w:val="0"/>
        <w:spacing w:before="0" w:after="0"/>
        <w:jc w:val="center"/>
        <w:rPr/>
      </w:pPr>
      <w:r>
        <w:rPr/>
      </w:r>
    </w:p>
    <w:p>
      <w:pPr>
        <w:pStyle w:val="TextBody"/>
        <w:bidi w:val="0"/>
        <w:spacing w:before="24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600"/>
        <w:jc w:val="right"/>
        <w:rPr>
          <w:rFonts w:ascii="Times New Roman;serif" w:hAnsi="Times New Roman;serif"/>
          <w:b/>
          <w:color w:val="000000"/>
          <w:sz w:val="20"/>
        </w:rPr>
      </w:pPr>
      <w:r>
        <w:rPr>
          <w:rFonts w:ascii="Times New Roman;serif" w:hAnsi="Times New Roman;serif"/>
          <w:b/>
          <w:color w:val="000000"/>
          <w:sz w:val="20"/>
        </w:rPr>
        <w:t>Exhibit 5.2</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87630"/>
                <wp:effectExtent l="0" t="0" r="0" b="0"/>
                <wp:wrapNone/>
                <wp:docPr id="20" name="Frame18"/>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312" w:before="0" w:after="0"/>
                              <w:jc w:val="center"/>
                              <w:rPr>
                                <w:rFonts w:ascii="Arial;sans-serif" w:hAnsi="Arial;sans-serif"/>
                                <w:b w:val="false"/>
                                <w:color w:val="000000"/>
                                <w:sz w:val="12"/>
                              </w:rPr>
                            </w:pPr>
                            <w:r>
                              <w:rPr>
                                <w:rFonts w:ascii="Arial;sans-serif" w:hAnsi="Arial;sans-serif"/>
                                <w:b w:val="false"/>
                                <w:color w:val="000000"/>
                                <w:sz w:val="12"/>
                              </w:rPr>
                              <w:t>Austin Bay Area Beijing Boston Brussels Chicago Dallas Hong Kong Houston London Los Angeles Miami Munich New York Paris Salt Lake City Shanghai Washington, D.C.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312" w:before="0" w:after="0"/>
                        <w:jc w:val="center"/>
                        <w:rPr>
                          <w:rFonts w:ascii="Arial;sans-serif" w:hAnsi="Arial;sans-serif"/>
                          <w:b w:val="false"/>
                          <w:color w:val="000000"/>
                          <w:sz w:val="12"/>
                        </w:rPr>
                      </w:pPr>
                      <w:r>
                        <w:rPr>
                          <w:rFonts w:ascii="Arial;sans-serif" w:hAnsi="Arial;sans-serif"/>
                          <w:b w:val="false"/>
                          <w:color w:val="000000"/>
                          <w:sz w:val="12"/>
                        </w:rPr>
                        <w:t>Austin Bay Area Beijing Boston Brussels Chicago Dallas Hong Kong Houston London Los Angeles Miami Munich New York Paris Salt Lake City Shanghai Washington, D.C.</w:t>
                      </w:r>
                    </w:p>
                  </w:txbxContent>
                </v:textbox>
                <w10:wrap type="none"/>
              </v:rect>
            </w:pict>
          </mc:Fallback>
        </mc:AlternateContent>
      </w:r>
    </w:p>
    <w:p>
      <w:pPr>
        <w:pStyle w:val="TextBody"/>
        <w:bidi w:val="0"/>
        <w:spacing w:before="0" w:after="600"/>
        <w:jc w:val="left"/>
        <w:rPr/>
      </w:pPr>
      <w:r>
        <w:rPr/>
        <w:drawing>
          <wp:inline distT="0" distB="0" distL="0" distR="0">
            <wp:extent cx="6019800" cy="571500"/>
            <wp:effectExtent l="0" t="0" r="0" b="0"/>
            <wp:docPr id="2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3" descr=""/>
                    <pic:cNvPicPr>
                      <a:picLocks noChangeAspect="1" noChangeArrowheads="1"/>
                    </pic:cNvPicPr>
                  </pic:nvPicPr>
                  <pic:blipFill>
                    <a:blip r:embed="rId16"/>
                    <a:stretch>
                      <a:fillRect/>
                    </a:stretch>
                  </pic:blipFill>
                  <pic:spPr bwMode="auto">
                    <a:xfrm>
                      <a:off x="0" y="0"/>
                      <a:ext cx="6019800" cy="571500"/>
                    </a:xfrm>
                    <a:prstGeom prst="rect">
                      <a:avLst/>
                    </a:prstGeom>
                  </pic:spPr>
                </pic:pic>
              </a:graphicData>
            </a:graphic>
          </wp:inline>
        </w:drawing>
      </w:r>
    </w:p>
    <w:p>
      <w:pPr>
        <w:pStyle w:val="TextBody"/>
        <w:bidi w:val="0"/>
        <w:spacing w:before="0" w:after="600"/>
        <w:jc w:val="left"/>
        <w:rPr/>
      </w:pPr>
      <w:r>
        <w:rPr/>
      </w:r>
    </w:p>
    <w:p>
      <w:pPr>
        <w:pStyle w:val="TextBody"/>
        <w:bidi w:val="0"/>
        <w:spacing w:lineRule="auto" w:line="240" w:before="0" w:after="0"/>
        <w:jc w:val="left"/>
        <w:rPr>
          <w:rFonts w:ascii="sans-serif" w:hAnsi="sans-serif"/>
          <w:b w:val="false"/>
          <w:color w:val="000000"/>
          <w:sz w:val="23"/>
        </w:rPr>
      </w:pPr>
      <w:r>
        <w:rPr>
          <w:rFonts w:ascii="sans-serif" w:hAnsi="sans-serif"/>
          <w:b w:val="false"/>
          <w:color w:val="000000"/>
          <w:sz w:val="23"/>
        </w:rPr>
        <w:t>November 4,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3"/>
        </w:rPr>
      </w:pPr>
      <w:r>
        <w:rPr>
          <w:rFonts w:ascii="sans-serif" w:hAnsi="sans-serif"/>
          <w:b w:val="false"/>
          <w:color w:val="000000"/>
          <w:sz w:val="23"/>
        </w:rPr>
        <w:t>Wynn Resorts, Limited</w:t>
      </w:r>
    </w:p>
    <w:p>
      <w:pPr>
        <w:pStyle w:val="TextBody"/>
        <w:bidi w:val="0"/>
        <w:spacing w:lineRule="auto" w:line="288" w:before="0" w:after="240"/>
        <w:jc w:val="left"/>
        <w:rPr>
          <w:rFonts w:ascii="sans-serif" w:hAnsi="sans-serif"/>
          <w:b w:val="false"/>
          <w:color w:val="000000"/>
          <w:sz w:val="23"/>
        </w:rPr>
      </w:pPr>
      <w:r>
        <w:rPr>
          <w:rFonts w:ascii="sans-serif" w:hAnsi="sans-serif"/>
          <w:b w:val="false"/>
          <w:color w:val="000000"/>
          <w:sz w:val="23"/>
        </w:rPr>
        <w:t>3131 Las Vegas Boulevard South</w:t>
        <w:br/>
        <w:t>Las Vegas, Nevada 89109</w:t>
      </w:r>
    </w:p>
    <w:p>
      <w:pPr>
        <w:pStyle w:val="TextBody"/>
        <w:bidi w:val="0"/>
        <w:spacing w:lineRule="auto" w:line="288" w:before="0" w:after="240"/>
        <w:jc w:val="left"/>
        <w:rPr>
          <w:rFonts w:ascii="sans-serif" w:hAnsi="sans-serif"/>
          <w:b w:val="false"/>
          <w:color w:val="000000"/>
          <w:sz w:val="23"/>
        </w:rPr>
      </w:pPr>
      <w:r>
        <w:rPr>
          <w:rFonts w:ascii="sans-serif" w:hAnsi="sans-serif"/>
          <w:b w:val="false"/>
          <w:color w:val="000000"/>
          <w:sz w:val="23"/>
        </w:rPr>
        <w:t>To the addressee set forth above:</w:t>
      </w:r>
    </w:p>
    <w:p>
      <w:pPr>
        <w:pStyle w:val="TextBody"/>
        <w:bidi w:val="0"/>
        <w:spacing w:lineRule="auto" w:line="288" w:before="0" w:after="240"/>
        <w:ind w:left="0" w:right="0" w:firstLine="720"/>
        <w:jc w:val="left"/>
        <w:rPr/>
      </w:pPr>
      <w:r>
        <w:rPr>
          <w:rFonts w:ascii="sans-serif" w:hAnsi="sans-serif"/>
          <w:b w:val="false"/>
          <w:color w:val="000000"/>
          <w:sz w:val="23"/>
        </w:rPr>
        <w:t>We have acted as local Nevada counsel to Wynn Resorts, Limited, a Nevada corporation (the “</w:t>
      </w:r>
      <w:r>
        <w:rPr>
          <w:rFonts w:ascii="sans-serif" w:hAnsi="sans-serif"/>
          <w:b w:val="false"/>
          <w:color w:val="000000"/>
          <w:sz w:val="23"/>
          <w:u w:val="single"/>
        </w:rPr>
        <w:t>Company</w:t>
      </w:r>
      <w:r>
        <w:rPr>
          <w:color w:val="000000"/>
        </w:rPr>
        <w:t>”</w:t>
      </w:r>
      <w:r>
        <w:rPr>
          <w:rFonts w:ascii="sans-serif" w:hAnsi="sans-serif"/>
          <w:b w:val="false"/>
          <w:color w:val="000000"/>
          <w:sz w:val="23"/>
        </w:rPr>
        <w:t>), in connection with the filing by the Company of a Registration Statement on Form S-3 (including the prospectus contained therein, the “</w:t>
      </w:r>
      <w:r>
        <w:rPr>
          <w:rFonts w:ascii="sans-serif" w:hAnsi="sans-serif"/>
          <w:b w:val="false"/>
          <w:color w:val="000000"/>
          <w:sz w:val="23"/>
          <w:u w:val="single"/>
        </w:rPr>
        <w:t>Registration Statement</w:t>
      </w:r>
      <w:r>
        <w:rPr>
          <w:color w:val="000000"/>
        </w:rPr>
        <w:t>”</w:t>
      </w:r>
      <w:r>
        <w:rPr>
          <w:rFonts w:ascii="sans-serif" w:hAnsi="sans-serif"/>
          <w:b w:val="false"/>
          <w:color w:val="000000"/>
          <w:sz w:val="23"/>
        </w:rPr>
        <w:t>) with the Securities and Exchange Commission (the “</w:t>
      </w:r>
      <w:r>
        <w:rPr>
          <w:rFonts w:ascii="sans-serif" w:hAnsi="sans-serif"/>
          <w:b w:val="false"/>
          <w:color w:val="000000"/>
          <w:sz w:val="23"/>
          <w:u w:val="single"/>
        </w:rPr>
        <w:t>Commission</w:t>
      </w:r>
      <w:r>
        <w:rPr>
          <w:color w:val="000000"/>
        </w:rPr>
        <w:t>”</w:t>
      </w:r>
      <w:r>
        <w:rPr>
          <w:rFonts w:ascii="sans-serif" w:hAnsi="sans-serif"/>
          <w:b w:val="false"/>
          <w:color w:val="000000"/>
          <w:sz w:val="23"/>
        </w:rPr>
        <w:t>) under the Securities Act of 1933, as amended (the “</w:t>
      </w:r>
      <w:r>
        <w:rPr>
          <w:rFonts w:ascii="sans-serif" w:hAnsi="sans-serif"/>
          <w:b w:val="false"/>
          <w:color w:val="000000"/>
          <w:sz w:val="23"/>
          <w:u w:val="single"/>
        </w:rPr>
        <w:t>Act</w:t>
      </w:r>
      <w:r>
        <w:rPr>
          <w:color w:val="000000"/>
        </w:rPr>
        <w:t>”</w:t>
      </w:r>
      <w:r>
        <w:rPr>
          <w:rFonts w:ascii="sans-serif" w:hAnsi="sans-serif"/>
          <w:b w:val="false"/>
          <w:color w:val="000000"/>
          <w:sz w:val="23"/>
        </w:rPr>
        <w:t>), relating to the registration for offering and sale from time to time by the Company of an indeterminate number of the following securities of the Company: (i) shares (the “</w:t>
      </w:r>
      <w:r>
        <w:rPr>
          <w:rFonts w:ascii="sans-serif" w:hAnsi="sans-serif"/>
          <w:b w:val="false"/>
          <w:color w:val="000000"/>
          <w:sz w:val="23"/>
          <w:u w:val="single"/>
        </w:rPr>
        <w:t>Common Shares</w:t>
      </w:r>
      <w:r>
        <w:rPr>
          <w:color w:val="000000"/>
        </w:rPr>
        <w:t>”</w:t>
      </w:r>
      <w:r>
        <w:rPr>
          <w:rFonts w:ascii="sans-serif" w:hAnsi="sans-serif"/>
          <w:b w:val="false"/>
          <w:color w:val="000000"/>
          <w:sz w:val="23"/>
        </w:rPr>
        <w:t>) of the Company’s common stock, par value $0.01 per share (the “</w:t>
      </w:r>
      <w:r>
        <w:rPr>
          <w:rFonts w:ascii="sans-serif" w:hAnsi="sans-serif"/>
          <w:b w:val="false"/>
          <w:color w:val="000000"/>
          <w:sz w:val="23"/>
          <w:u w:val="single"/>
        </w:rPr>
        <w:t>Common Stock</w:t>
      </w:r>
      <w:r>
        <w:rPr>
          <w:color w:val="000000"/>
        </w:rPr>
        <w:t>”</w:t>
      </w:r>
      <w:r>
        <w:rPr>
          <w:rFonts w:ascii="sans-serif" w:hAnsi="sans-serif"/>
          <w:b w:val="false"/>
          <w:color w:val="000000"/>
          <w:sz w:val="23"/>
        </w:rPr>
        <w:t>); (ii) shares (the “</w:t>
      </w:r>
      <w:r>
        <w:rPr>
          <w:rFonts w:ascii="sans-serif" w:hAnsi="sans-serif"/>
          <w:b w:val="false"/>
          <w:color w:val="000000"/>
          <w:sz w:val="23"/>
          <w:u w:val="single"/>
        </w:rPr>
        <w:t>Preferred Shares</w:t>
      </w:r>
      <w:r>
        <w:rPr>
          <w:color w:val="000000"/>
        </w:rPr>
        <w:t>”</w:t>
      </w:r>
      <w:r>
        <w:rPr>
          <w:rFonts w:ascii="sans-serif" w:hAnsi="sans-serif"/>
          <w:b w:val="false"/>
          <w:color w:val="000000"/>
          <w:sz w:val="23"/>
        </w:rPr>
        <w:t>, and together with the Common Shares, the “</w:t>
      </w:r>
      <w:r>
        <w:rPr>
          <w:rFonts w:ascii="sans-serif" w:hAnsi="sans-serif"/>
          <w:b w:val="false"/>
          <w:color w:val="000000"/>
          <w:sz w:val="23"/>
          <w:u w:val="single"/>
        </w:rPr>
        <w:t>Shares</w:t>
      </w:r>
      <w:r>
        <w:rPr>
          <w:color w:val="000000"/>
        </w:rPr>
        <w:t>”</w:t>
      </w:r>
      <w:r>
        <w:rPr>
          <w:rFonts w:ascii="sans-serif" w:hAnsi="sans-serif"/>
          <w:b w:val="false"/>
          <w:color w:val="000000"/>
          <w:sz w:val="23"/>
        </w:rPr>
        <w:t>) of the Company’s preferred stock, par value $0.01 per share (the “</w:t>
      </w:r>
      <w:r>
        <w:rPr>
          <w:rFonts w:ascii="sans-serif" w:hAnsi="sans-serif"/>
          <w:b w:val="false"/>
          <w:color w:val="000000"/>
          <w:sz w:val="23"/>
          <w:u w:val="single"/>
        </w:rPr>
        <w:t>Preferred Stock</w:t>
      </w:r>
      <w:r>
        <w:rPr>
          <w:color w:val="000000"/>
        </w:rPr>
        <w:t>”</w:t>
      </w:r>
      <w:r>
        <w:rPr>
          <w:rFonts w:ascii="sans-serif" w:hAnsi="sans-serif"/>
          <w:b w:val="false"/>
          <w:color w:val="000000"/>
          <w:sz w:val="23"/>
        </w:rPr>
        <w:t>) in one or more series; (iii) depositary shares representing fractional interests in shares of Preferred Stock (the “</w:t>
      </w:r>
      <w:r>
        <w:rPr>
          <w:rFonts w:ascii="sans-serif" w:hAnsi="sans-serif"/>
          <w:b w:val="false"/>
          <w:color w:val="000000"/>
          <w:sz w:val="23"/>
          <w:u w:val="single"/>
        </w:rPr>
        <w:t>Depositary Shares</w:t>
      </w:r>
      <w:r>
        <w:rPr>
          <w:color w:val="000000"/>
        </w:rPr>
        <w:t>”</w:t>
      </w:r>
      <w:r>
        <w:rPr>
          <w:rFonts w:ascii="sans-serif" w:hAnsi="sans-serif"/>
          <w:b w:val="false"/>
          <w:color w:val="000000"/>
          <w:sz w:val="23"/>
        </w:rPr>
        <w:t>) to be issued pursuant to a deposit agreement (each, a “</w:t>
      </w:r>
      <w:r>
        <w:rPr>
          <w:rFonts w:ascii="sans-serif" w:hAnsi="sans-serif"/>
          <w:b w:val="false"/>
          <w:color w:val="000000"/>
          <w:sz w:val="23"/>
          <w:u w:val="single"/>
        </w:rPr>
        <w:t>Deposit Agreement</w:t>
      </w:r>
      <w:r>
        <w:rPr>
          <w:color w:val="000000"/>
        </w:rPr>
        <w:t>”</w:t>
      </w:r>
      <w:r>
        <w:rPr>
          <w:rFonts w:ascii="sans-serif" w:hAnsi="sans-serif"/>
          <w:b w:val="false"/>
          <w:color w:val="000000"/>
          <w:sz w:val="23"/>
        </w:rPr>
        <w:t>); and (iv) senior debt securities, senior subordinated debt securities, subordinated debt securities and junior subordinated debt securities (collectively, the “</w:t>
      </w:r>
      <w:r>
        <w:rPr>
          <w:rFonts w:ascii="sans-serif" w:hAnsi="sans-serif"/>
          <w:b w:val="false"/>
          <w:color w:val="000000"/>
          <w:sz w:val="23"/>
          <w:u w:val="single"/>
        </w:rPr>
        <w:t>Debt Securities</w:t>
      </w:r>
      <w:r>
        <w:rPr>
          <w:color w:val="000000"/>
        </w:rPr>
        <w:t>”</w:t>
      </w:r>
      <w:r>
        <w:rPr>
          <w:rFonts w:ascii="sans-serif" w:hAnsi="sans-serif"/>
          <w:b w:val="false"/>
          <w:color w:val="000000"/>
          <w:sz w:val="23"/>
        </w:rPr>
        <w:t>, and together with the Depositary Shares and the Shares, the “</w:t>
      </w:r>
      <w:r>
        <w:rPr>
          <w:rFonts w:ascii="sans-serif" w:hAnsi="sans-serif"/>
          <w:b w:val="false"/>
          <w:color w:val="000000"/>
          <w:sz w:val="23"/>
          <w:u w:val="single"/>
        </w:rPr>
        <w:t>Securities</w:t>
      </w:r>
      <w:r>
        <w:rPr>
          <w:color w:val="000000"/>
        </w:rPr>
        <w:t>”</w:t>
      </w:r>
      <w:r>
        <w:rPr>
          <w:rFonts w:ascii="sans-serif" w:hAnsi="sans-serif"/>
          <w:b w:val="false"/>
          <w:color w:val="000000"/>
          <w:sz w:val="23"/>
        </w:rPr>
        <w:t>) to be issued pursuant to the Indenture, dated as of March 29, 2004 (the “</w:t>
      </w:r>
      <w:r>
        <w:rPr>
          <w:rFonts w:ascii="sans-serif" w:hAnsi="sans-serif"/>
          <w:b w:val="false"/>
          <w:color w:val="000000"/>
          <w:sz w:val="23"/>
          <w:u w:val="single"/>
        </w:rPr>
        <w:t>Indenture</w:t>
      </w:r>
      <w:r>
        <w:rPr>
          <w:color w:val="000000"/>
        </w:rPr>
        <w:t>”</w:t>
      </w:r>
      <w:r>
        <w:rPr>
          <w:rFonts w:ascii="sans-serif" w:hAnsi="sans-serif"/>
          <w:b w:val="false"/>
          <w:color w:val="000000"/>
          <w:sz w:val="23"/>
        </w:rPr>
        <w:t>), by and between the Company and U.S. Bank National Association, as trustee. This opinion letter is being furnished at your request in accordance with the requirements of Item 601(b)(5) of Regulation S-K under the Act.</w:t>
      </w:r>
    </w:p>
    <w:p>
      <w:pPr>
        <w:pStyle w:val="TextBody"/>
        <w:bidi w:val="0"/>
        <w:spacing w:lineRule="auto" w:line="288" w:before="0" w:after="240"/>
        <w:ind w:left="0" w:right="0" w:firstLine="720"/>
        <w:jc w:val="left"/>
        <w:rPr>
          <w:rFonts w:ascii="sans-serif" w:hAnsi="sans-serif"/>
          <w:b w:val="false"/>
          <w:color w:val="000000"/>
          <w:sz w:val="23"/>
        </w:rPr>
      </w:pPr>
      <w:r>
        <w:rPr>
          <w:rFonts w:ascii="sans-serif" w:hAnsi="sans-serif"/>
          <w:b w:val="false"/>
          <w:color w:val="000000"/>
          <w:sz w:val="23"/>
        </w:rPr>
        <w:t>In our capacity as such counsel, we are familiar with the proceedings taken and proposed to be taken by the Company in connection with the registration of the Securities described in the Registration Statement. For purposes of this opinion letter, and except to the extent set forth in the opinions below, we have assumed all such proceedings have been or will be timely completed in the manner presently proposed in the Registration Statement.</w:t>
      </w:r>
    </w:p>
    <w:p>
      <w:pPr>
        <w:pStyle w:val="TextBody"/>
        <w:bidi w:val="0"/>
        <w:spacing w:lineRule="auto" w:line="288" w:before="0" w:after="240"/>
        <w:ind w:left="0" w:right="0" w:firstLine="720"/>
        <w:jc w:val="left"/>
        <w:rPr/>
      </w:pPr>
      <w:r>
        <w:rPr>
          <w:rFonts w:ascii="sans-serif" w:hAnsi="sans-serif"/>
          <w:b w:val="false"/>
          <w:color w:val="000000"/>
          <w:sz w:val="23"/>
        </w:rPr>
        <w:t>For purposes of issuing this opinion letter, (a) we have made such legal and factual examinations and inquiries, including an examination of originals or copies certified or otherwise identified to our satisfaction as being true copies of (i) the Registration Statement, including the form of Deposit Agreement and the form of Receipt (as defined therein) incorporated by reference as exhibits thereto, (ii) the Indenture, (iii) the articles of incorporation and bylaws of the Company, each as amended to date (collectively, the “</w:t>
      </w:r>
      <w:r>
        <w:rPr>
          <w:rFonts w:ascii="sans-serif" w:hAnsi="sans-serif"/>
          <w:b w:val="false"/>
          <w:color w:val="000000"/>
          <w:sz w:val="23"/>
          <w:u w:val="single"/>
        </w:rPr>
        <w:t>Governing Documents</w:t>
      </w:r>
      <w:r>
        <w:rPr>
          <w:color w:val="000000"/>
        </w:rPr>
        <w:t>”</w:t>
      </w:r>
      <w:r>
        <w:rPr>
          <w:rFonts w:ascii="sans-serif" w:hAnsi="sans-serif"/>
          <w:b w:val="false"/>
          <w:color w:val="000000"/>
          <w:sz w:val="23"/>
        </w:rPr>
        <w:t xml:space="preserve">) and (iv) such other agreements, instruments, corporate records (including, without limitation, resolutions of the board of directors </w:t>
      </w:r>
    </w:p>
    <w:p>
      <w:pPr>
        <w:pStyle w:val="TextBody"/>
        <w:bidi w:val="0"/>
        <w:spacing w:lineRule="auto" w:line="288" w:before="0" w:after="0"/>
        <w:jc w:val="left"/>
        <w:rPr>
          <w:rFonts w:ascii="sans-serif" w:hAnsi="sans-serif"/>
          <w:b w:val="false"/>
          <w:color w:val="929292"/>
          <w:sz w:val="23"/>
        </w:rPr>
      </w:pPr>
      <w:r>
        <w:rPr>
          <w:rFonts w:ascii="sans-serif" w:hAnsi="sans-serif"/>
          <w:b w:val="false"/>
          <w:color w:val="929292"/>
          <w:sz w:val="23"/>
        </w:rPr>
        <w:t>Wynn Resorts, Limited</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28650"/>
                <wp:effectExtent l="0" t="0" r="0" b="0"/>
                <wp:wrapNone/>
                <wp:docPr id="22" name="Frame1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sans-serif" w:hAnsi="sans-serif"/>
          <w:b w:val="false"/>
          <w:color w:val="929292"/>
          <w:sz w:val="23"/>
        </w:rPr>
      </w:pPr>
      <w:r>
        <w:rPr>
          <w:rFonts w:ascii="sans-serif" w:hAnsi="sans-serif"/>
          <w:b w:val="false"/>
          <w:color w:val="929292"/>
          <w:sz w:val="23"/>
        </w:rPr>
        <w:t>November 4, 2025</w:t>
      </w:r>
    </w:p>
    <w:p>
      <w:pPr>
        <w:pStyle w:val="TextBody"/>
        <w:bidi w:val="0"/>
        <w:spacing w:lineRule="auto" w:line="288" w:before="0" w:after="0"/>
        <w:jc w:val="left"/>
        <w:rPr>
          <w:rFonts w:ascii="sans-serif" w:hAnsi="sans-serif"/>
          <w:b w:val="false"/>
          <w:color w:val="929292"/>
          <w:sz w:val="23"/>
        </w:rPr>
      </w:pPr>
      <w:r>
        <w:rPr>
          <w:rFonts w:ascii="sans-serif" w:hAnsi="sans-serif"/>
          <w:b w:val="false"/>
          <w:color w:val="929292"/>
          <w:sz w:val="23"/>
        </w:rPr>
        <w:t>Page 2</w:t>
      </w:r>
    </w:p>
    <w:p>
      <w:pPr>
        <w:pStyle w:val="TextBody"/>
        <w:bidi w:val="0"/>
        <w:spacing w:lineRule="auto" w:line="288" w:before="0" w:after="240"/>
        <w:jc w:val="left"/>
        <w:rPr>
          <w:rFonts w:ascii="sans-serif" w:hAnsi="sans-serif"/>
          <w:b w:val="false"/>
          <w:color w:val="000000"/>
          <w:sz w:val="23"/>
        </w:rPr>
      </w:pPr>
      <w:r>
        <w:rPr>
          <w:rFonts w:ascii="sans-serif" w:hAnsi="sans-serif"/>
          <w:b w:val="false"/>
          <w:color w:val="000000"/>
          <w:sz w:val="23"/>
        </w:rPr>
        <w:t>and any committee thereof) and documents, or forms thereof, as we have deemed necessary or appropriate, and (b) we have obtained from officers and other representatives and agents of the Company, and from public officials, and have relied upon, such certificates, representations and assurances, and public filings, as we have deemed necessary or appropriate.</w:t>
      </w:r>
    </w:p>
    <w:p>
      <w:pPr>
        <w:pStyle w:val="TextBody"/>
        <w:bidi w:val="0"/>
        <w:spacing w:lineRule="auto" w:line="288" w:before="0" w:after="240"/>
        <w:ind w:left="0" w:right="0" w:firstLine="720"/>
        <w:jc w:val="left"/>
        <w:rPr/>
      </w:pPr>
      <w:r>
        <w:rPr>
          <w:rFonts w:ascii="sans-serif" w:hAnsi="sans-serif"/>
          <w:b w:val="false"/>
          <w:color w:val="000000"/>
          <w:sz w:val="23"/>
        </w:rPr>
        <w:t>Without limiting the generality of the foregoing, we have, with your permission, assumed without independent verification, that: (i) each agreement, instrument and other document (or form thereof) we have reviewed or which is referenced herein or therein has been or will be duly executed and delivered by the parties thereto to the extent due execution and delivery are prerequisites to the effectiveness thereof; (ii) the statements of fact and representations and warranties set forth in the documents we have reviewed are, or at all relevant times will be, true and correct as to factual matters; (iii) each natural person executing a document has or will have sufficient legal capacity to do so; (iv) all documents submitted to us as originals are authentic, the signatures on all documents that we have examined are genuine, and any documents submitted to us as certified, conformed, photostatic, electronic or facsimile copies conform to the original documents; (v) all corporate records made available to us by the Company, and all public records we have reviewed, are accurate and complete; (vi) any and all agreements, instruments and other documents relating to the offering, issuance, registration or sale of any Securities, including, without limitation, the Indenture (including any officer’s certificate(s) or supplemental indenture(s) relating thereto), and any and all Deposit Agreements and Receipts (collectively, the “</w:t>
      </w:r>
      <w:r>
        <w:rPr>
          <w:rFonts w:ascii="sans-serif" w:hAnsi="sans-serif"/>
          <w:b w:val="false"/>
          <w:color w:val="000000"/>
          <w:sz w:val="23"/>
          <w:u w:val="single"/>
        </w:rPr>
        <w:t>Securities Documents</w:t>
      </w:r>
      <w:r>
        <w:rPr>
          <w:color w:val="000000"/>
        </w:rPr>
        <w:t>”</w:t>
      </w:r>
      <w:r>
        <w:rPr>
          <w:rFonts w:ascii="sans-serif" w:hAnsi="sans-serif"/>
          <w:b w:val="false"/>
          <w:color w:val="000000"/>
          <w:sz w:val="23"/>
        </w:rPr>
        <w:t>), have been or will be duly authorized, executed and delivered by the Company and the other parties thereto; (vii) each of the Securities Documents, the form of which has been filed as an exhibit to the Registration Statement, has been or will be executed in substantially the form of such exhibit; (viii) the obligations of each party set forth in the Securities Documents are or will be its valid and binding obligations, enforceable in accordance with their respective terms; (ix) no Securities have been or will be offered, issued or sold in violation, contravention or breach of, nor will any such offering, issuance or sale result in a default under, the Governing Documents, any agreement, certificate, document or other instrument that is binding upon the Company, any requirement or restriction imposed by any court or governmental or regulatory agency, authority or body; (x) (a) the Company has taken or will take all corporate action required in connection with the authorization, offering, issuance and sale of any Securities (including, without limitation, any Securities or other securities of the Company underlying, or issued or sold pursuant to or upon conversion, exchange or exercise of, any Securities or any other agreement, plan or arrangement), (b) all Securities will be offered, issued and sold in compliance with all applicable laws (including, without limitation, gaming laws and regulations), the Governing Documents and the relevant Securities Documents in effect at all relevant times, (c) any and all certificates evidencing the issuance of Shares are or will be properly signed, registered and delivered, as necessary, in accordance with all applicable laws, the Governing Documents and the relevant Securities Documents, and (d) the voting rights, designations, preferences, limitations, restrictions, privileges and relative rights of each series of Preferred Stock (including the Preferred Shares) have been or will be fixed and set forth in a certificate of designation relating to such series (each, a “</w:t>
      </w:r>
      <w:r>
        <w:rPr>
          <w:rFonts w:ascii="sans-serif" w:hAnsi="sans-serif"/>
          <w:b w:val="false"/>
          <w:color w:val="000000"/>
          <w:sz w:val="23"/>
          <w:u w:val="single"/>
        </w:rPr>
        <w:t>Certificate of Designation</w:t>
      </w:r>
      <w:r>
        <w:rPr>
          <w:color w:val="000000"/>
        </w:rPr>
        <w:t>”</w:t>
      </w:r>
      <w:r>
        <w:rPr>
          <w:rFonts w:ascii="sans-serif" w:hAnsi="sans-serif"/>
          <w:b w:val="false"/>
          <w:color w:val="000000"/>
          <w:sz w:val="23"/>
        </w:rPr>
        <w:t xml:space="preserve">), prepared in the form prescribed by applicable law, duly authorized by the board of directors of the Company, duly signed by an officer of the Company and properly filed with the Nevada Secretary of State (romanettes (x)(a)-(x)(d) are collectively referred to herein as the </w:t>
      </w:r>
    </w:p>
    <w:p>
      <w:pPr>
        <w:pStyle w:val="TextBody"/>
        <w:bidi w:val="0"/>
        <w:spacing w:lineRule="auto" w:line="288" w:before="0" w:after="0"/>
        <w:jc w:val="left"/>
        <w:rPr>
          <w:rFonts w:ascii="sans-serif" w:hAnsi="sans-serif"/>
          <w:b w:val="false"/>
          <w:color w:val="929292"/>
          <w:sz w:val="23"/>
        </w:rPr>
      </w:pPr>
      <w:r>
        <w:rPr>
          <w:rFonts w:ascii="sans-serif" w:hAnsi="sans-serif"/>
          <w:b w:val="false"/>
          <w:color w:val="929292"/>
          <w:sz w:val="23"/>
        </w:rPr>
        <w:t>Wynn Resorts, Limited</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28650"/>
                <wp:effectExtent l="0" t="0" r="0" b="0"/>
                <wp:wrapNone/>
                <wp:docPr id="23" name="Frame2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sans-serif" w:hAnsi="sans-serif"/>
          <w:b w:val="false"/>
          <w:color w:val="929292"/>
          <w:sz w:val="23"/>
        </w:rPr>
      </w:pPr>
      <w:r>
        <w:rPr>
          <w:rFonts w:ascii="sans-serif" w:hAnsi="sans-serif"/>
          <w:b w:val="false"/>
          <w:color w:val="929292"/>
          <w:sz w:val="23"/>
        </w:rPr>
        <w:t>November 4, 2025</w:t>
      </w:r>
    </w:p>
    <w:p>
      <w:pPr>
        <w:pStyle w:val="TextBody"/>
        <w:bidi w:val="0"/>
        <w:spacing w:lineRule="auto" w:line="288" w:before="0" w:after="0"/>
        <w:jc w:val="left"/>
        <w:rPr>
          <w:rFonts w:ascii="sans-serif" w:hAnsi="sans-serif"/>
          <w:b w:val="false"/>
          <w:color w:val="929292"/>
          <w:sz w:val="23"/>
        </w:rPr>
      </w:pPr>
      <w:r>
        <w:rPr>
          <w:rFonts w:ascii="sans-serif" w:hAnsi="sans-serif"/>
          <w:b w:val="false"/>
          <w:color w:val="929292"/>
          <w:sz w:val="23"/>
        </w:rPr>
        <w:t>Page 3</w:t>
      </w:r>
    </w:p>
    <w:p>
      <w:pPr>
        <w:pStyle w:val="TextBody"/>
        <w:bidi w:val="0"/>
        <w:spacing w:lineRule="auto" w:line="288" w:before="0" w:after="240"/>
        <w:jc w:val="left"/>
        <w:rPr/>
      </w:pPr>
      <w:r>
        <w:rPr>
          <w:color w:val="000000"/>
        </w:rPr>
        <w:t>“</w:t>
      </w:r>
      <w:r>
        <w:rPr>
          <w:rFonts w:ascii="sans-serif" w:hAnsi="sans-serif"/>
          <w:b w:val="false"/>
          <w:color w:val="000000"/>
          <w:sz w:val="23"/>
          <w:u w:val="single"/>
        </w:rPr>
        <w:t>Corporate Proceedings</w:t>
      </w:r>
      <w:r>
        <w:rPr>
          <w:color w:val="000000"/>
        </w:rPr>
        <w:t>”</w:t>
      </w:r>
      <w:r>
        <w:rPr>
          <w:rFonts w:ascii="sans-serif" w:hAnsi="sans-serif"/>
          <w:b w:val="false"/>
          <w:color w:val="000000"/>
          <w:sz w:val="23"/>
        </w:rPr>
        <w:t>); (xi) after any issuance of Common Shares, the total number of issued and outstanding shares of Common Stock, together with the total number of shares of Common Stock then reserved for issuance or obligated to be issued by the Company pursuant to any agreement, plan or arrangement (including pursuant to the terms of any Securities), or otherwise, will not exceed the total number of shares of Common Stock then authorized under the Company’s articles of incorporation; (xii) at no time will the total number of shares of Preferred Stock designated pursuant to all then-effective Certificates of Designation exceed the total number of shares of Preferred Stock then authorized under the Company’s articles of incorporation; and (xiii) after any issuance of Preferred Shares, the total number of issued and outstanding shares of each series thereof, together with the total number of shares of such series then reserved for issuance or obligated to be issued by the Company pursuant to any agreement, plan or arrangement (including pursuant to the terms of any Securities), or otherwise, will not exceed the total number of shares of such series then designated under the articles of incorporation or the Certificate of Designation for such series.</w:t>
      </w:r>
    </w:p>
    <w:p>
      <w:pPr>
        <w:pStyle w:val="TextBody"/>
        <w:bidi w:val="0"/>
        <w:spacing w:lineRule="auto" w:line="288" w:before="0" w:after="240"/>
        <w:ind w:left="0" w:right="0" w:firstLine="720"/>
        <w:jc w:val="left"/>
        <w:rPr>
          <w:rFonts w:ascii="sans-serif" w:hAnsi="sans-serif"/>
          <w:b w:val="false"/>
          <w:color w:val="000000"/>
          <w:sz w:val="23"/>
        </w:rPr>
      </w:pPr>
      <w:r>
        <w:rPr>
          <w:rFonts w:ascii="sans-serif" w:hAnsi="sans-serif"/>
          <w:b w:val="false"/>
          <w:color w:val="000000"/>
          <w:sz w:val="23"/>
        </w:rPr>
        <w:t>We are qualified to practice law in the State of Nevada. The opinions set forth herein are expressly limited to and based exclusively on the general corporate laws of the State of Nevada, and we do not purport to be experts on, or to express any opinion with respect to the applicability thereto or the effect thereon of, the laws of any other jurisdiction. We express no opinion concerning, and we assume no responsibility as to laws or judicial decisions related to, or any orders, consents or other authorizations or approvals as may be required by, any federal laws, rules or regulations, including, without limitation, any federal securities laws, rules or regulations, or any state securities or “blue sky” laws, rules or regulations.</w:t>
      </w:r>
    </w:p>
    <w:p>
      <w:pPr>
        <w:pStyle w:val="TextBody"/>
        <w:bidi w:val="0"/>
        <w:spacing w:lineRule="auto" w:line="288" w:before="0" w:after="240"/>
        <w:ind w:left="0" w:right="0" w:firstLine="720"/>
        <w:jc w:val="left"/>
        <w:rPr>
          <w:rFonts w:ascii="sans-serif" w:hAnsi="sans-serif"/>
          <w:b w:val="false"/>
          <w:color w:val="000000"/>
          <w:sz w:val="23"/>
        </w:rPr>
      </w:pPr>
      <w:r>
        <w:rPr>
          <w:rFonts w:ascii="sans-serif" w:hAnsi="sans-serif"/>
          <w:b w:val="false"/>
          <w:color w:val="000000"/>
          <w:sz w:val="23"/>
        </w:rPr>
        <w:t>Based upon the foregoing and in reliance thereon, and having regard to legal considerations and other information that we deem relevant, we are of the opinion that:</w:t>
      </w:r>
    </w:p>
    <w:p>
      <w:pPr>
        <w:pStyle w:val="TextBody"/>
        <w:bidi w:val="0"/>
        <w:spacing w:lineRule="auto" w:line="288" w:before="0" w:after="240"/>
        <w:ind w:left="0" w:right="0" w:firstLine="720"/>
        <w:jc w:val="left"/>
        <w:rPr/>
      </w:pPr>
      <w:r>
        <w:rPr>
          <w:rFonts w:ascii="sans-serif" w:hAnsi="sans-serif"/>
          <w:b w:val="false"/>
          <w:color w:val="000000"/>
          <w:sz w:val="23"/>
        </w:rPr>
        <w:t>1.</w:t>
      </w:r>
      <w:r>
        <w:rPr>
          <w:rFonts w:ascii="sans-serif" w:hAnsi="sans-serif"/>
          <w:b w:val="false"/>
          <w:color w:val="000000"/>
          <w:sz w:val="23"/>
        </w:rPr>
        <w:t>If and when all Corporate Proceedings have been taken and completed in respect of any offering, issuance or sale of Shares, and to the extent such Shares have been issued in accordance with all applicable terms and conditions set forth in the relevant Securities Documents, Securities and Certificates of Designation, as applicable, including proper conversion, exchange or exercise of any relevant Securities and payment in full of all consideration required therefor as authorized by such Corporate Proceedings and prescribed by such Securities Documents, Securities and Certificates of Designation, as applicable, such Shares will be duly authorized, validly issued, fully paid and nonassessable.</w:t>
      </w:r>
    </w:p>
    <w:p>
      <w:pPr>
        <w:pStyle w:val="TextBody"/>
        <w:bidi w:val="0"/>
        <w:spacing w:lineRule="auto" w:line="288" w:before="0" w:after="240"/>
        <w:ind w:left="0" w:right="0" w:firstLine="720"/>
        <w:jc w:val="left"/>
        <w:rPr/>
      </w:pPr>
      <w:r>
        <w:rPr>
          <w:rFonts w:ascii="sans-serif" w:hAnsi="sans-serif"/>
          <w:b w:val="false"/>
          <w:color w:val="000000"/>
          <w:sz w:val="23"/>
        </w:rPr>
        <w:t>2.</w:t>
      </w:r>
      <w:r>
        <w:rPr>
          <w:rFonts w:ascii="sans-serif" w:hAnsi="sans-serif"/>
          <w:b w:val="false"/>
          <w:color w:val="000000"/>
          <w:sz w:val="23"/>
        </w:rPr>
        <w:t>If and when all Corporate Proceedings have been taken and completed in respect of any offering, issuance or sale of Depositary Shares or Debt Securities, such Securities will be duly authorized.</w:t>
      </w:r>
    </w:p>
    <w:p>
      <w:pPr>
        <w:pStyle w:val="TextBody"/>
        <w:bidi w:val="0"/>
        <w:spacing w:lineRule="auto" w:line="288" w:before="0" w:after="240"/>
        <w:ind w:left="0" w:right="0" w:firstLine="720"/>
        <w:jc w:val="left"/>
        <w:rPr>
          <w:rFonts w:ascii="sans-serif" w:hAnsi="sans-serif"/>
          <w:b w:val="false"/>
          <w:color w:val="000000"/>
          <w:sz w:val="23"/>
        </w:rPr>
      </w:pPr>
      <w:r>
        <w:rPr>
          <w:rFonts w:ascii="sans-serif" w:hAnsi="sans-serif"/>
          <w:b w:val="false"/>
          <w:color w:val="000000"/>
          <w:sz w:val="23"/>
        </w:rPr>
        <w:t xml:space="preserve">The opinions expressed herein are based upon the applicable laws of the State of Nevada and the facts in existence on the date hereof. In delivering this opinion letter to you, we disclaim any obligation to update or supplement the opinions set forth herein or to apprise you of any changes in such laws or facts after such time as the Registration Statement is declared effective. No opinion is </w:t>
      </w:r>
    </w:p>
    <w:p>
      <w:pPr>
        <w:pStyle w:val="TextBody"/>
        <w:bidi w:val="0"/>
        <w:spacing w:lineRule="auto" w:line="288" w:before="0" w:after="0"/>
        <w:jc w:val="left"/>
        <w:rPr>
          <w:rFonts w:ascii="sans-serif" w:hAnsi="sans-serif"/>
          <w:b w:val="false"/>
          <w:color w:val="929292"/>
          <w:sz w:val="23"/>
        </w:rPr>
      </w:pPr>
      <w:r>
        <w:rPr>
          <w:rFonts w:ascii="sans-serif" w:hAnsi="sans-serif"/>
          <w:b w:val="false"/>
          <w:color w:val="929292"/>
          <w:sz w:val="23"/>
        </w:rPr>
        <w:t>Wynn Resorts, Limited</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28650"/>
                <wp:effectExtent l="0" t="0" r="0" b="0"/>
                <wp:wrapNone/>
                <wp:docPr id="24" name="Frame2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sans-serif" w:hAnsi="sans-serif"/>
          <w:b w:val="false"/>
          <w:color w:val="929292"/>
          <w:sz w:val="23"/>
        </w:rPr>
      </w:pPr>
      <w:r>
        <w:rPr>
          <w:rFonts w:ascii="sans-serif" w:hAnsi="sans-serif"/>
          <w:b w:val="false"/>
          <w:color w:val="929292"/>
          <w:sz w:val="23"/>
        </w:rPr>
        <w:t>November 4, 2025</w:t>
      </w:r>
    </w:p>
    <w:p>
      <w:pPr>
        <w:pStyle w:val="TextBody"/>
        <w:bidi w:val="0"/>
        <w:spacing w:lineRule="auto" w:line="288" w:before="0" w:after="0"/>
        <w:jc w:val="left"/>
        <w:rPr>
          <w:rFonts w:ascii="sans-serif" w:hAnsi="sans-serif"/>
          <w:b w:val="false"/>
          <w:color w:val="929292"/>
          <w:sz w:val="23"/>
        </w:rPr>
      </w:pPr>
      <w:r>
        <w:rPr>
          <w:rFonts w:ascii="sans-serif" w:hAnsi="sans-serif"/>
          <w:b w:val="false"/>
          <w:color w:val="929292"/>
          <w:sz w:val="23"/>
        </w:rPr>
        <w:t>Page 4</w:t>
      </w:r>
    </w:p>
    <w:p>
      <w:pPr>
        <w:pStyle w:val="TextBody"/>
        <w:bidi w:val="0"/>
        <w:spacing w:lineRule="auto" w:line="288" w:before="0" w:after="240"/>
        <w:jc w:val="left"/>
        <w:rPr>
          <w:rFonts w:ascii="sans-serif" w:hAnsi="sans-serif"/>
          <w:b w:val="false"/>
          <w:color w:val="000000"/>
          <w:sz w:val="23"/>
        </w:rPr>
      </w:pPr>
      <w:r>
        <w:rPr>
          <w:rFonts w:ascii="sans-serif" w:hAnsi="sans-serif"/>
          <w:b w:val="false"/>
          <w:color w:val="000000"/>
          <w:sz w:val="23"/>
        </w:rPr>
        <w:t>offered or implied as to any matter, and no inference may be drawn, beyond the strict scope of the specific issues expressly addressed by the opinions set forth herein.</w:t>
      </w:r>
    </w:p>
    <w:p>
      <w:pPr>
        <w:pStyle w:val="TextBody"/>
        <w:bidi w:val="0"/>
        <w:spacing w:lineRule="auto" w:line="288" w:before="0" w:after="240"/>
        <w:ind w:left="0" w:right="0" w:firstLine="720"/>
        <w:jc w:val="left"/>
        <w:rPr>
          <w:rFonts w:ascii="sans-serif" w:hAnsi="sans-serif"/>
          <w:b w:val="false"/>
          <w:color w:val="000000"/>
          <w:sz w:val="23"/>
        </w:rPr>
      </w:pPr>
      <w:r>
        <w:rPr>
          <w:rFonts w:ascii="sans-serif" w:hAnsi="sans-serif"/>
          <w:b w:val="false"/>
          <w:color w:val="000000"/>
          <w:sz w:val="23"/>
        </w:rPr>
        <w:t>We consent to your filing this opinion letter as an exhibit to the Registration Statement and to the reference to our firm therein under the heading “Legal Matters”. In giving such consent, we do not admit that we are within the category of persons whose consent is required under Section 7 of the Act or the rules and regulations of the Commission promulgated thereunder.</w:t>
      </w:r>
    </w:p>
    <w:p>
      <w:pPr>
        <w:pStyle w:val="TextBody"/>
        <w:bidi w:val="0"/>
        <w:spacing w:lineRule="auto" w:line="288" w:before="0" w:after="240"/>
        <w:jc w:val="left"/>
        <w:rPr>
          <w:rFonts w:ascii="sans-serif" w:hAnsi="sans-serif"/>
          <w:b w:val="false"/>
          <w:color w:val="000000"/>
          <w:sz w:val="23"/>
        </w:rPr>
      </w:pPr>
      <w:r>
        <w:rPr>
          <w:rFonts w:ascii="sans-serif" w:hAnsi="sans-serif"/>
          <w:b w:val="false"/>
          <w:color w:val="000000"/>
          <w:sz w:val="23"/>
        </w:rPr>
        <w:t>Very truly yours,</w:t>
      </w:r>
    </w:p>
    <w:p>
      <w:pPr>
        <w:pStyle w:val="TextBody"/>
        <w:bidi w:val="0"/>
        <w:spacing w:lineRule="auto" w:line="288" w:before="0" w:after="0"/>
        <w:jc w:val="left"/>
        <w:rPr>
          <w:rFonts w:ascii="sans-serif" w:hAnsi="sans-serif"/>
          <w:b w:val="false"/>
          <w:color w:val="000000"/>
          <w:sz w:val="23"/>
        </w:rPr>
      </w:pPr>
      <w:r>
        <w:rPr>
          <w:rFonts w:ascii="sans-serif" w:hAnsi="sans-serif"/>
          <w:b w:val="false"/>
          <w:color w:val="000000"/>
          <w:sz w:val="23"/>
        </w:rPr>
        <w:t>/s/ Brownstein Hyatt Farber Schreck,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28650"/>
                <wp:effectExtent l="0" t="0" r="0" b="0"/>
                <wp:wrapNone/>
                <wp:docPr id="25" name="Frame2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reference to our firm under the caption "Experts" in this Registration Statement (Form S-3) and related Prospectus of Wynn Resorts, Limited for the registration of common stock, preferred stock, depositary shares representing preferred stock and debt securities and to the incorporation by reference therein of our reports dated February 13, 2025, with respect to the consolidated financial statements and financial statement schedule of Wynn Resorts, Limited, and the effectiveness of internal control over financial reporting of Wynn Resorts, Limited, included in its Annual Report (Form 10-K) for the year ended December 31, 2024, filed with the Securities and Exchange Commission.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Las Vegas, Nevada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November 4, 2025</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25</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6"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_____________________________________________________________________________</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T-1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STATEMENT OF ELIGIBILITY UNDER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THE TRUST INDENTURE ACT OF 1939 OF A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CORPORATION DESIGNATED TO ACT AS TRUSTEE</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Check if an Application to Determine Eligibility of</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 Trustee Pursuant to Section 305(b)(2)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U.S. BANK TRUST COMPANY, NATIONAL ASSOCIATION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Trustee as specified in its charter)</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91-1821036</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p>
      <w:pPr>
        <w:pStyle w:val="TextBody"/>
        <w:bidi w:val="0"/>
        <w:spacing w:before="0" w:after="0"/>
        <w:jc w:val="left"/>
        <w:rPr/>
      </w:pPr>
      <w:r>
        <w:rPr/>
      </w:r>
    </w:p>
    <w:tbl>
      <w:tblPr>
        <w:tblW w:w="3853" w:type="dxa"/>
        <w:jc w:val="left"/>
        <w:tblInd w:w="0" w:type="dxa"/>
        <w:tblLayout w:type="fixed"/>
        <w:tblCellMar>
          <w:top w:w="28" w:type="dxa"/>
          <w:left w:w="28" w:type="dxa"/>
          <w:bottom w:w="28" w:type="dxa"/>
          <w:right w:w="28" w:type="dxa"/>
        </w:tblCellMar>
      </w:tblPr>
      <w:tblGrid>
        <w:gridCol w:w="1059"/>
        <w:gridCol w:w="931"/>
        <w:gridCol w:w="934"/>
        <w:gridCol w:w="272"/>
        <w:gridCol w:w="272"/>
        <w:gridCol w:w="38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800 Nicollet Mall</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Minneapolis, Minnesota</w:t>
            </w:r>
          </w:p>
        </w:tc>
        <w:tc>
          <w:tcPr>
            <w:tcW w:w="9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55402</w:t>
            </w:r>
          </w:p>
        </w:tc>
      </w:tr>
      <w:tr>
        <w:trPr/>
        <w:tc>
          <w:tcPr>
            <w:tcW w:w="292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92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Joshua A. Hahn</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U.S. Bank Trust Company, National Association</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 Livingston Avenue</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St. Paul, MN 55107</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(651) 466-6309</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(Name, address and telephone number of agent for service)</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Wynn Resorts, Limited</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(Issuer with respect to the Securities)</w:t>
      </w:r>
    </w:p>
    <w:tbl>
      <w:tblPr>
        <w:tblW w:w="7035" w:type="dxa"/>
        <w:jc w:val="left"/>
        <w:tblInd w:w="0" w:type="dxa"/>
        <w:tblLayout w:type="fixed"/>
        <w:tblCellMar>
          <w:top w:w="28" w:type="dxa"/>
          <w:left w:w="28" w:type="dxa"/>
          <w:bottom w:w="28" w:type="dxa"/>
          <w:right w:w="28" w:type="dxa"/>
        </w:tblCellMar>
      </w:tblPr>
      <w:tblGrid>
        <w:gridCol w:w="1564"/>
        <w:gridCol w:w="1370"/>
        <w:gridCol w:w="1386"/>
        <w:gridCol w:w="795"/>
        <w:gridCol w:w="795"/>
        <w:gridCol w:w="1125"/>
      </w:tblGrid>
      <w:tr>
        <w:trPr/>
        <w:tc>
          <w:tcPr>
            <w:tcW w:w="1564"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Nevada</w:t>
            </w:r>
          </w:p>
        </w:tc>
        <w:tc>
          <w:tcPr>
            <w:tcW w:w="271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46-0484987</w:t>
            </w:r>
          </w:p>
        </w:tc>
      </w:tr>
      <w:tr>
        <w:trPr/>
        <w:tc>
          <w:tcPr>
            <w:tcW w:w="432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271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4320"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4259" w:type="dxa"/>
        <w:jc w:val="left"/>
        <w:tblInd w:w="0" w:type="dxa"/>
        <w:tblLayout w:type="fixed"/>
        <w:tblCellMar>
          <w:top w:w="28" w:type="dxa"/>
          <w:left w:w="28" w:type="dxa"/>
          <w:bottom w:w="28" w:type="dxa"/>
          <w:right w:w="28" w:type="dxa"/>
        </w:tblCellMar>
      </w:tblPr>
      <w:tblGrid>
        <w:gridCol w:w="1205"/>
        <w:gridCol w:w="1061"/>
        <w:gridCol w:w="1064"/>
        <w:gridCol w:w="272"/>
        <w:gridCol w:w="272"/>
        <w:gridCol w:w="385"/>
      </w:tblGrid>
      <w:tr>
        <w:trPr/>
        <w:tc>
          <w:tcPr>
            <w:tcW w:w="120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3131 Las Vegas Boulevard South</w:t>
            </w:r>
          </w:p>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Las Vegas, NV</w:t>
            </w:r>
          </w:p>
        </w:tc>
        <w:tc>
          <w:tcPr>
            <w:tcW w:w="9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89109</w:t>
            </w:r>
          </w:p>
        </w:tc>
      </w:tr>
      <w:tr>
        <w:trPr/>
        <w:tc>
          <w:tcPr>
            <w:tcW w:w="333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92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Debt Securities</w:t>
      </w:r>
    </w:p>
    <w:p>
      <w:pPr>
        <w:pStyle w:val="TextBody"/>
        <w:bidi w:val="0"/>
        <w:spacing w:lineRule="auto" w:line="288" w:before="0" w:after="0"/>
        <w:ind w:left="0" w:right="0" w:hanging="2070"/>
        <w:jc w:val="center"/>
        <w:rPr>
          <w:rFonts w:ascii="Times New Roman;serif" w:hAnsi="Times New Roman;serif"/>
          <w:b/>
          <w:color w:val="000000"/>
          <w:sz w:val="18"/>
        </w:rPr>
      </w:pPr>
      <w:r>
        <w:rPr>
          <w:rFonts w:ascii="Times New Roman;serif" w:hAnsi="Times New Roman;serif"/>
          <w:b/>
          <w:color w:val="000000"/>
          <w:sz w:val="18"/>
        </w:rPr>
        <w:t>(Title of the Indenture Securities)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7"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FORM T-1</w:t>
      </w:r>
    </w:p>
    <w:p>
      <w:pPr>
        <w:pStyle w:val="TextBody"/>
        <w:bidi w:val="0"/>
        <w:spacing w:before="0" w:after="0"/>
        <w:jc w:val="left"/>
        <w:rPr/>
      </w:pPr>
      <w:r>
        <w:rPr/>
      </w:r>
    </w:p>
    <w:p>
      <w:pPr>
        <w:pStyle w:val="TextBody"/>
        <w:bidi w:val="0"/>
        <w:spacing w:lineRule="auto" w:line="288" w:before="0" w:after="0"/>
        <w:ind w:left="0" w:right="0" w:hanging="504"/>
        <w:jc w:val="left"/>
        <w:rPr/>
      </w:pPr>
      <w:r>
        <w:rPr>
          <w:rFonts w:ascii="Times New Roman;serif" w:hAnsi="Times New Roman;serif"/>
          <w:b/>
          <w:color w:val="000000"/>
          <w:sz w:val="24"/>
        </w:rPr>
        <w:t>Item 1.</w:t>
      </w:r>
      <w:r>
        <w:rPr>
          <w:color w:val="000000"/>
        </w:rPr>
        <w:t xml:space="preserve"> </w:t>
      </w:r>
      <w:r>
        <w:rPr>
          <w:rFonts w:ascii="Times New Roman;serif" w:hAnsi="Times New Roman;serif"/>
          <w:b/>
          <w:color w:val="000000"/>
          <w:sz w:val="24"/>
        </w:rPr>
        <w:t>GENERAL INFORMATION</w:t>
      </w:r>
      <w:r>
        <w:rPr>
          <w:rFonts w:ascii="Times New Roman;serif" w:hAnsi="Times New Roman;serif"/>
          <w:b/>
          <w:i/>
          <w:color w:val="000000"/>
          <w:sz w:val="24"/>
        </w:rPr>
        <w:t>.</w:t>
      </w:r>
      <w:r>
        <w:rPr>
          <w:color w:val="000000"/>
        </w:rPr>
        <w:t xml:space="preserve"> </w:t>
      </w:r>
      <w:r>
        <w:rPr>
          <w:rFonts w:ascii="Times New Roman;serif" w:hAnsi="Times New Roman;serif"/>
          <w:b w:val="false"/>
          <w:color w:val="000000"/>
          <w:sz w:val="24"/>
        </w:rPr>
        <w:t>Furnish the following information as to the Trustee.</w:t>
      </w:r>
    </w:p>
    <w:p>
      <w:pPr>
        <w:pStyle w:val="TextBody"/>
        <w:bidi w:val="0"/>
        <w:spacing w:before="0" w:after="0"/>
        <w:ind w:left="0" w:right="0" w:hanging="504"/>
        <w:jc w:val="left"/>
        <w:rPr/>
      </w:pPr>
      <w:r>
        <w:rPr/>
      </w:r>
    </w:p>
    <w:p>
      <w:pPr>
        <w:pStyle w:val="TextBody"/>
        <w:bidi w:val="0"/>
        <w:spacing w:lineRule="auto" w:line="288" w:before="0" w:after="0"/>
        <w:ind w:left="0" w:right="0" w:hanging="504"/>
        <w:jc w:val="left"/>
        <w:rPr/>
      </w:pPr>
      <w:r>
        <w:rPr>
          <w:rFonts w:ascii="Times New Roman;serif" w:hAnsi="Times New Roman;serif"/>
          <w:b w:val="false"/>
          <w:color w:val="000000"/>
          <w:sz w:val="24"/>
        </w:rPr>
        <w:t>a)    </w:t>
      </w:r>
      <w:r>
        <w:rPr>
          <w:rFonts w:ascii="Times New Roman;serif" w:hAnsi="Times New Roman;serif"/>
          <w:b w:val="false"/>
          <w:i/>
          <w:color w:val="000000"/>
          <w:sz w:val="24"/>
        </w:rPr>
        <w:t>Name and address of each examining or supervising authority to which it is subject.</w:t>
      </w:r>
    </w:p>
    <w:p>
      <w:pPr>
        <w:pStyle w:val="TextBody"/>
        <w:bidi w:val="0"/>
        <w:spacing w:lineRule="auto" w:line="288" w:before="0" w:after="0"/>
        <w:ind w:left="0" w:right="0" w:hanging="720"/>
        <w:jc w:val="left"/>
        <w:rPr>
          <w:color w:val="000000"/>
        </w:rPr>
      </w:pPr>
      <w:r>
        <w:rPr>
          <w:color w:val="000000"/>
        </w:rPr>
        <w:t>            </w:t>
      </w:r>
      <w:r>
        <w:rPr>
          <w:rFonts w:ascii="Times New Roman;serif" w:hAnsi="Times New Roman;serif"/>
          <w:b w:val="false"/>
          <w:color w:val="000000"/>
          <w:sz w:val="24"/>
        </w:rPr>
        <w:t>Comptroller of the Currency</w:t>
      </w:r>
    </w:p>
    <w:p>
      <w:pPr>
        <w:pStyle w:val="TextBody"/>
        <w:bidi w:val="0"/>
        <w:spacing w:lineRule="auto" w:line="288" w:before="0" w:after="0"/>
        <w:ind w:left="0" w:right="0" w:hanging="720"/>
        <w:jc w:val="left"/>
        <w:rPr>
          <w:color w:val="000000"/>
        </w:rPr>
      </w:pPr>
      <w:r>
        <w:rPr>
          <w:color w:val="000000"/>
        </w:rPr>
        <w:t>            </w:t>
      </w:r>
      <w:r>
        <w:rPr>
          <w:rFonts w:ascii="Times New Roman;serif" w:hAnsi="Times New Roman;serif"/>
          <w:b w:val="false"/>
          <w:color w:val="000000"/>
          <w:sz w:val="24"/>
        </w:rPr>
        <w:t>Washington, D.C.</w:t>
      </w:r>
    </w:p>
    <w:p>
      <w:pPr>
        <w:pStyle w:val="TextBody"/>
        <w:bidi w:val="0"/>
        <w:spacing w:before="0" w:after="0"/>
        <w:ind w:left="0" w:right="0" w:hanging="504"/>
        <w:jc w:val="left"/>
        <w:rPr/>
      </w:pPr>
      <w:r>
        <w:rPr/>
      </w:r>
    </w:p>
    <w:p>
      <w:pPr>
        <w:pStyle w:val="TextBody"/>
        <w:bidi w:val="0"/>
        <w:spacing w:lineRule="auto" w:line="288" w:before="0" w:after="0"/>
        <w:ind w:left="0" w:right="0" w:hanging="504"/>
        <w:jc w:val="left"/>
        <w:rPr/>
      </w:pPr>
      <w:r>
        <w:rPr>
          <w:color w:val="000000"/>
        </w:rPr>
        <w:t>        </w:t>
      </w:r>
      <w:r>
        <w:rPr>
          <w:rFonts w:ascii="Times New Roman;serif" w:hAnsi="Times New Roman;serif"/>
          <w:b w:val="false"/>
          <w:color w:val="000000"/>
          <w:sz w:val="24"/>
        </w:rPr>
        <w:t>b)    </w:t>
      </w:r>
      <w:r>
        <w:rPr>
          <w:rFonts w:ascii="Times New Roman;serif" w:hAnsi="Times New Roman;serif"/>
          <w:b w:val="false"/>
          <w:i/>
          <w:color w:val="000000"/>
          <w:sz w:val="24"/>
        </w:rPr>
        <w:t>Whether it is authorized to exercise corporate trust powers.</w:t>
      </w:r>
      <w:r>
        <w:rPr>
          <w:color w:val="000000"/>
        </w:rPr>
        <w:t xml:space="preserve"> </w:t>
      </w:r>
    </w:p>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24"/>
        </w:rPr>
        <w:t>Yes</w:t>
      </w:r>
    </w:p>
    <w:p>
      <w:pPr>
        <w:pStyle w:val="TextBody"/>
        <w:bidi w:val="0"/>
        <w:spacing w:before="0" w:after="0"/>
        <w:ind w:left="0" w:right="0" w:hanging="504"/>
        <w:jc w:val="left"/>
        <w:rPr/>
      </w:pPr>
      <w:r>
        <w:rPr/>
      </w:r>
    </w:p>
    <w:p>
      <w:pPr>
        <w:pStyle w:val="TextBody"/>
        <w:bidi w:val="0"/>
        <w:spacing w:lineRule="auto" w:line="288" w:before="0" w:after="0"/>
        <w:ind w:left="0" w:right="0" w:hanging="1080"/>
        <w:jc w:val="left"/>
        <w:rPr/>
      </w:pPr>
      <w:r>
        <w:rPr>
          <w:rFonts w:ascii="Times New Roman;serif" w:hAnsi="Times New Roman;serif"/>
          <w:b/>
          <w:color w:val="000000"/>
          <w:sz w:val="24"/>
        </w:rPr>
        <w:t xml:space="preserve">Item 2. AFFILIATIONS WITH THE OBLIGOR. </w:t>
      </w:r>
      <w:r>
        <w:rPr>
          <w:rFonts w:ascii="Times New Roman;serif" w:hAnsi="Times New Roman;serif"/>
          <w:b w:val="false"/>
          <w:i/>
          <w:color w:val="000000"/>
          <w:sz w:val="24"/>
        </w:rPr>
        <w:t>If the obligor is an affiliate of the Trustee, describe each such affiliation.</w:t>
      </w:r>
    </w:p>
    <w:p>
      <w:pPr>
        <w:pStyle w:val="TextBody"/>
        <w:bidi w:val="0"/>
        <w:spacing w:lineRule="auto" w:line="288" w:before="0" w:after="0"/>
        <w:ind w:left="0" w:right="0" w:hanging="720"/>
        <w:jc w:val="left"/>
        <w:rPr>
          <w:color w:val="000000"/>
        </w:rPr>
      </w:pPr>
      <w:r>
        <w:rPr>
          <w:color w:val="000000"/>
        </w:rPr>
        <w:t>        </w:t>
      </w:r>
      <w:r>
        <w:rPr>
          <w:rFonts w:ascii="Times New Roman;serif" w:hAnsi="Times New Roman;serif"/>
          <w:b w:val="false"/>
          <w:color w:val="000000"/>
          <w:sz w:val="24"/>
        </w:rPr>
        <w:t>None</w:t>
      </w:r>
    </w:p>
    <w:p>
      <w:pPr>
        <w:pStyle w:val="TextBody"/>
        <w:bidi w:val="0"/>
        <w:spacing w:before="0" w:after="0"/>
        <w:ind w:left="0" w:right="0" w:hanging="504"/>
        <w:jc w:val="left"/>
        <w:rPr/>
      </w:pPr>
      <w:r>
        <w:rPr/>
      </w:r>
    </w:p>
    <w:p>
      <w:pPr>
        <w:pStyle w:val="TextBody"/>
        <w:bidi w:val="0"/>
        <w:spacing w:lineRule="auto" w:line="288" w:before="0" w:after="0"/>
        <w:ind w:left="0" w:right="0" w:hanging="1440"/>
        <w:jc w:val="left"/>
        <w:rPr/>
      </w:pPr>
      <w:r>
        <w:rPr>
          <w:rFonts w:ascii="Times New Roman;serif" w:hAnsi="Times New Roman;serif"/>
          <w:b/>
          <w:color w:val="000000"/>
          <w:sz w:val="24"/>
        </w:rPr>
        <w:t>Items 3-15    </w:t>
      </w:r>
      <w:r>
        <w:rPr>
          <w:rFonts w:ascii="Times New Roman;serif" w:hAnsi="Times New Roman;serif"/>
          <w:b w:val="false"/>
          <w:i/>
          <w:color w:val="000000"/>
          <w:sz w:val="24"/>
        </w:rPr>
        <w:t>Items 3-15 are not applicable because to the best of the Trustee's knowledge, the obligor is not in default under any Indenture for which the Trustee acts as Trustee.</w:t>
      </w:r>
    </w:p>
    <w:p>
      <w:pPr>
        <w:pStyle w:val="TextBody"/>
        <w:bidi w:val="0"/>
        <w:spacing w:lineRule="auto" w:line="288" w:before="0" w:after="0"/>
        <w:ind w:left="0" w:right="0" w:hanging="504"/>
        <w:jc w:val="left"/>
        <w:rPr>
          <w:color w:val="000000"/>
        </w:rPr>
      </w:pPr>
      <w:r>
        <w:rPr>
          <w:color w:val="000000"/>
        </w:rPr>
        <w:t>    </w:t>
      </w:r>
    </w:p>
    <w:p>
      <w:pPr>
        <w:pStyle w:val="TextBody"/>
        <w:bidi w:val="0"/>
        <w:spacing w:lineRule="auto" w:line="288" w:before="0" w:after="0"/>
        <w:ind w:left="0" w:right="0" w:hanging="1080"/>
        <w:jc w:val="left"/>
        <w:rPr/>
      </w:pPr>
      <w:r>
        <w:rPr>
          <w:rFonts w:ascii="Times New Roman;serif" w:hAnsi="Times New Roman;serif"/>
          <w:b/>
          <w:color w:val="000000"/>
          <w:sz w:val="24"/>
        </w:rPr>
        <w:t>Item 16. LIST OF EXHIBITS:</w:t>
      </w:r>
      <w:r>
        <w:rPr>
          <w:color w:val="000000"/>
        </w:rPr>
        <w:t xml:space="preserve"> </w:t>
      </w:r>
      <w:r>
        <w:rPr>
          <w:rFonts w:ascii="Times New Roman;serif" w:hAnsi="Times New Roman;serif"/>
          <w:b w:val="false"/>
          <w:i/>
          <w:color w:val="000000"/>
          <w:sz w:val="24"/>
        </w:rPr>
        <w:t xml:space="preserve">List below all exhibits filed as a part of this statement of eligibility and qualification. </w:t>
      </w:r>
    </w:p>
    <w:p>
      <w:pPr>
        <w:pStyle w:val="TextBody"/>
        <w:bidi w:val="0"/>
        <w:spacing w:before="0" w:after="0"/>
        <w:ind w:left="0" w:right="0" w:hanging="1080"/>
        <w:jc w:val="left"/>
        <w:rPr/>
      </w:pPr>
      <w:r>
        <w:rPr/>
      </w:r>
    </w:p>
    <w:p>
      <w:pPr>
        <w:pStyle w:val="TextBody"/>
        <w:bidi w:val="0"/>
        <w:spacing w:lineRule="auto" w:line="288" w:before="0" w:after="0"/>
        <w:ind w:left="0" w:right="0" w:hanging="1440"/>
        <w:jc w:val="left"/>
        <w:rPr>
          <w:color w:val="000000"/>
        </w:rPr>
      </w:pPr>
      <w:r>
        <w:rPr>
          <w:color w:val="000000"/>
        </w:rPr>
        <w:t>    </w:t>
      </w:r>
      <w:r>
        <w:rPr>
          <w:rFonts w:ascii="Times New Roman;serif" w:hAnsi="Times New Roman;serif"/>
          <w:b w:val="false"/>
          <w:color w:val="000000"/>
          <w:sz w:val="24"/>
        </w:rPr>
        <w:t>1. A copy of the Articles of Association of the Trustee, attached as Exhibit 1.</w:t>
      </w:r>
    </w:p>
    <w:p>
      <w:pPr>
        <w:pStyle w:val="TextBody"/>
        <w:bidi w:val="0"/>
        <w:spacing w:before="0" w:after="0"/>
        <w:ind w:left="0" w:right="0" w:hanging="720"/>
        <w:jc w:val="left"/>
        <w:rPr/>
      </w:pPr>
      <w:r>
        <w:rPr/>
      </w:r>
    </w:p>
    <w:p>
      <w:pPr>
        <w:pStyle w:val="TextBody"/>
        <w:bidi w:val="0"/>
        <w:spacing w:lineRule="auto" w:line="288" w:before="0" w:after="0"/>
        <w:ind w:left="0" w:right="0" w:hanging="1440"/>
        <w:jc w:val="left"/>
        <w:rPr>
          <w:color w:val="000000"/>
        </w:rPr>
      </w:pPr>
      <w:r>
        <w:rPr>
          <w:color w:val="000000"/>
        </w:rPr>
        <w:t>    </w:t>
      </w:r>
      <w:r>
        <w:rPr>
          <w:rFonts w:ascii="Times New Roman;serif" w:hAnsi="Times New Roman;serif"/>
          <w:b w:val="false"/>
          <w:color w:val="000000"/>
          <w:sz w:val="24"/>
        </w:rPr>
        <w:t xml:space="preserve">2. A copy of the certificate of authority of the Trustee to commence business, attached as Exhibit 2. </w:t>
      </w:r>
    </w:p>
    <w:p>
      <w:pPr>
        <w:pStyle w:val="TextBody"/>
        <w:bidi w:val="0"/>
        <w:spacing w:lineRule="auto" w:line="288" w:before="0" w:after="0"/>
        <w:ind w:left="0" w:right="0" w:hanging="1440"/>
        <w:jc w:val="left"/>
        <w:rPr>
          <w:color w:val="000000"/>
        </w:rPr>
      </w:pPr>
      <w:r>
        <w:rPr>
          <w:color w:val="000000"/>
        </w:rPr>
        <w:t>    </w:t>
      </w:r>
    </w:p>
    <w:p>
      <w:pPr>
        <w:pStyle w:val="TextBody"/>
        <w:bidi w:val="0"/>
        <w:spacing w:lineRule="auto" w:line="288" w:before="0" w:after="0"/>
        <w:ind w:left="0" w:right="0" w:hanging="1440"/>
        <w:jc w:val="left"/>
        <w:rPr>
          <w:color w:val="000000"/>
        </w:rPr>
      </w:pPr>
      <w:r>
        <w:rPr>
          <w:color w:val="000000"/>
        </w:rPr>
        <w:t>    </w:t>
      </w:r>
      <w:r>
        <w:rPr>
          <w:rFonts w:ascii="Times New Roman;serif" w:hAnsi="Times New Roman;serif"/>
          <w:b w:val="false"/>
          <w:color w:val="000000"/>
          <w:sz w:val="24"/>
        </w:rPr>
        <w:t>3. A copy of the authorization of the Trustee to exercise corporate trust powers, included as Exhibit 2.</w:t>
      </w:r>
    </w:p>
    <w:p>
      <w:pPr>
        <w:pStyle w:val="TextBody"/>
        <w:bidi w:val="0"/>
        <w:spacing w:before="0" w:after="0"/>
        <w:ind w:left="0" w:right="0" w:hanging="720"/>
        <w:jc w:val="left"/>
        <w:rPr/>
      </w:pPr>
      <w:r>
        <w:rPr/>
      </w:r>
    </w:p>
    <w:p>
      <w:pPr>
        <w:pStyle w:val="TextBody"/>
        <w:bidi w:val="0"/>
        <w:spacing w:lineRule="auto" w:line="288" w:before="0" w:after="0"/>
        <w:ind w:left="0" w:right="0" w:hanging="1440"/>
        <w:jc w:val="left"/>
        <w:rPr>
          <w:color w:val="000000"/>
        </w:rPr>
      </w:pPr>
      <w:r>
        <w:rPr>
          <w:color w:val="000000"/>
        </w:rPr>
        <w:t>        </w:t>
      </w:r>
      <w:r>
        <w:rPr>
          <w:rFonts w:ascii="Times New Roman;serif" w:hAnsi="Times New Roman;serif"/>
          <w:b w:val="false"/>
          <w:color w:val="000000"/>
          <w:sz w:val="24"/>
        </w:rPr>
        <w:t>4.    A copy of the existing bylaws of the Trustee, attached as Exhibit 4.</w:t>
      </w:r>
    </w:p>
    <w:p>
      <w:pPr>
        <w:pStyle w:val="TextBody"/>
        <w:bidi w:val="0"/>
        <w:spacing w:lineRule="auto" w:line="288" w:before="0" w:after="0"/>
        <w:ind w:left="0" w:right="0" w:hanging="1440"/>
        <w:jc w:val="left"/>
        <w:rPr>
          <w:color w:val="000000"/>
        </w:rPr>
      </w:pPr>
      <w:r>
        <w:rPr>
          <w:color w:val="000000"/>
        </w:rPr>
        <w:t>    </w:t>
      </w:r>
      <w:r>
        <w:rPr>
          <w:rFonts w:ascii="Times New Roman;serif" w:hAnsi="Times New Roman;serif"/>
          <w:b w:val="false"/>
          <w:color w:val="000000"/>
          <w:sz w:val="24"/>
        </w:rPr>
        <w:t>5.    A copy of each Indenture referred to in Item 4. Not applicable.</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0" w:after="0"/>
        <w:ind w:left="0" w:right="0" w:hanging="1440"/>
        <w:jc w:val="left"/>
        <w:rPr>
          <w:color w:val="000000"/>
        </w:rPr>
      </w:pPr>
      <w:r>
        <w:rPr>
          <w:color w:val="000000"/>
        </w:rPr>
        <w:t>    </w:t>
      </w:r>
      <w:r>
        <w:rPr>
          <w:rFonts w:ascii="Times New Roman;serif" w:hAnsi="Times New Roman;serif"/>
          <w:b w:val="false"/>
          <w:color w:val="000000"/>
          <w:sz w:val="24"/>
        </w:rPr>
        <w:t>6.    The consent of the Trustee required by Section 321(b) of the Trust Indenture Act of 1939, attached as Exhibit 6.</w:t>
      </w:r>
    </w:p>
    <w:p>
      <w:pPr>
        <w:pStyle w:val="TextBody"/>
        <w:bidi w:val="0"/>
        <w:spacing w:before="0" w:after="0"/>
        <w:jc w:val="left"/>
        <w:rPr/>
      </w:pPr>
      <w:r>
        <w:rPr/>
      </w:r>
    </w:p>
    <w:p>
      <w:pPr>
        <w:pStyle w:val="TextBody"/>
        <w:bidi w:val="0"/>
        <w:spacing w:lineRule="auto" w:line="288" w:before="0" w:after="0"/>
        <w:ind w:left="0" w:right="0" w:hanging="1440"/>
        <w:jc w:val="left"/>
        <w:rPr>
          <w:color w:val="000000"/>
        </w:rPr>
      </w:pPr>
      <w:r>
        <w:rPr>
          <w:color w:val="000000"/>
        </w:rPr>
        <w:t>    </w:t>
      </w:r>
      <w:r>
        <w:rPr>
          <w:rFonts w:ascii="Times New Roman;serif" w:hAnsi="Times New Roman;serif"/>
          <w:b w:val="false"/>
          <w:color w:val="000000"/>
          <w:sz w:val="24"/>
        </w:rPr>
        <w:t>7.    Report of Condition of the Trustee as of June 30, 2025, published pursuant to law or the requirements of its supervising or examining authority, attached as Exhibit 7.</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color w:val="000000"/>
        </w:rPr>
      </w:pPr>
      <w:r>
        <w:rPr>
          <w:color w:val="000000"/>
        </w:rPr>
        <w:t>    </w:t>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color w:val="000000"/>
        </w:rPr>
      </w:pPr>
      <w:r>
        <w:rPr>
          <w:color w:val="000000"/>
        </w:rPr>
        <w:t>    </w:t>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8"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before="0" w:after="0"/>
        <w:ind w:left="0" w:right="0" w:hanging="720"/>
        <w:jc w:val="center"/>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Pursuant to the requirements of the Trust Indenture Act of 1939, as amended, the Trustee, U.S. BANK TRUST COMPANY, NATIONAL ASSOCIATION</w:t>
      </w:r>
      <w:r>
        <w:rPr>
          <w:rFonts w:ascii="Times New Roman;serif" w:hAnsi="Times New Roman;serif"/>
          <w:b w:val="false"/>
          <w:color w:val="000000"/>
          <w:sz w:val="20"/>
        </w:rPr>
        <w:t xml:space="preserve">, </w:t>
      </w:r>
      <w:r>
        <w:rPr>
          <w:rFonts w:ascii="Times New Roman;serif" w:hAnsi="Times New Roman;serif"/>
          <w:b w:val="false"/>
          <w:color w:val="000000"/>
          <w:sz w:val="24"/>
        </w:rPr>
        <w:t>a national banking association organized and existing under the laws of the United States of America, has duly caused this statement of eligibility and qualification to be signed on its behalf by the undersigned, thereunto duly authorized, all in the City of St. Paul, State of Minnesota on the 29th of September,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Joshua A. Hahn</w:t>
      </w:r>
      <w:r>
        <w:rPr>
          <w:color w:val="000000"/>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Joshua A. Hahn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Vice President </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left"/>
        <w:rPr/>
      </w:pPr>
      <w:r>
        <w:rPr/>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29"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1</w:t>
      </w:r>
    </w:p>
    <w:p>
      <w:pPr>
        <w:pStyle w:val="TextBody"/>
        <w:bidi w:val="0"/>
        <w:spacing w:lineRule="auto" w:line="295" w:before="65" w:after="283"/>
        <w:ind w:left="0" w:right="0" w:hanging="1560"/>
        <w:jc w:val="center"/>
        <w:rPr>
          <w:rFonts w:ascii="Times New Roman;serif" w:hAnsi="Times New Roman;serif"/>
          <w:b/>
          <w:color w:val="000000"/>
          <w:sz w:val="23"/>
        </w:rPr>
      </w:pPr>
      <w:r>
        <w:rPr>
          <w:rFonts w:ascii="Times New Roman;serif" w:hAnsi="Times New Roman;serif"/>
          <w:b/>
          <w:color w:val="000000"/>
          <w:sz w:val="23"/>
        </w:rPr>
        <w:t>ARTICLES OF ASSOCIATION OF</w:t>
      </w:r>
    </w:p>
    <w:p>
      <w:pPr>
        <w:pStyle w:val="TextBody"/>
        <w:bidi w:val="0"/>
        <w:spacing w:lineRule="atLeast" w:line="259" w:before="0" w:after="0"/>
        <w:jc w:val="center"/>
        <w:rPr>
          <w:rFonts w:ascii="Times New Roman;serif" w:hAnsi="Times New Roman;serif"/>
          <w:b/>
          <w:color w:val="000000"/>
          <w:sz w:val="23"/>
        </w:rPr>
      </w:pPr>
      <w:r>
        <w:rPr>
          <w:rFonts w:ascii="Times New Roman;serif" w:hAnsi="Times New Roman;serif"/>
          <w:b/>
          <w:color w:val="000000"/>
          <w:sz w:val="23"/>
        </w:rPr>
        <w:t>U. S. BANK TRUST COMPANY, NATIONAL ASSOCIATION</w:t>
      </w:r>
    </w:p>
    <w:p>
      <w:pPr>
        <w:pStyle w:val="TextBody"/>
        <w:bidi w:val="0"/>
        <w:spacing w:before="10" w:after="283"/>
        <w:jc w:val="both"/>
        <w:rPr/>
      </w:pPr>
      <w:r>
        <w:rPr/>
      </w:r>
    </w:p>
    <w:p>
      <w:pPr>
        <w:pStyle w:val="TextBody"/>
        <w:bidi w:val="0"/>
        <w:spacing w:lineRule="auto" w:line="288" w:before="1" w:after="283"/>
        <w:ind w:left="0" w:right="0" w:firstLine="4"/>
        <w:jc w:val="both"/>
        <w:rPr/>
      </w:pPr>
      <w:r>
        <w:rPr>
          <w:rFonts w:ascii="Times New Roman;serif" w:hAnsi="Times New Roman;serif"/>
          <w:b w:val="false"/>
          <w:color w:val="000000"/>
          <w:sz w:val="24"/>
        </w:rPr>
        <w:t>For the purpose of organizing an association (the “Association”) to perform any lawful activities of national banks, the undersigned enter into the following Articles of</w:t>
      </w:r>
      <w:r>
        <w:rPr>
          <w:color w:val="000000"/>
        </w:rPr>
        <w:t xml:space="preserve"> </w:t>
      </w:r>
      <w:r>
        <w:rPr>
          <w:rFonts w:ascii="Times New Roman;serif" w:hAnsi="Times New Roman;serif"/>
          <w:b w:val="false"/>
          <w:color w:val="000000"/>
          <w:sz w:val="24"/>
        </w:rPr>
        <w:t>Association:</w:t>
      </w:r>
    </w:p>
    <w:p>
      <w:pPr>
        <w:pStyle w:val="TextBody"/>
        <w:bidi w:val="0"/>
        <w:spacing w:before="8" w:after="283"/>
        <w:jc w:val="both"/>
        <w:rPr/>
      </w:pPr>
      <w:r>
        <w:rPr/>
      </w:r>
    </w:p>
    <w:p>
      <w:pPr>
        <w:pStyle w:val="TextBody"/>
        <w:bidi w:val="0"/>
        <w:spacing w:lineRule="auto" w:line="288" w:before="0" w:after="0"/>
        <w:ind w:left="0" w:right="0" w:hanging="1"/>
        <w:jc w:val="both"/>
        <w:rPr/>
      </w:pPr>
      <w:r>
        <w:rPr>
          <w:rFonts w:ascii="Times New Roman;serif" w:hAnsi="Times New Roman;serif"/>
          <w:b/>
          <w:color w:val="000000"/>
          <w:sz w:val="23"/>
        </w:rPr>
        <w:t xml:space="preserve">FIRST. </w:t>
      </w:r>
      <w:r>
        <w:rPr>
          <w:rFonts w:ascii="Times New Roman;serif" w:hAnsi="Times New Roman;serif"/>
          <w:b w:val="false"/>
          <w:color w:val="000000"/>
          <w:sz w:val="24"/>
        </w:rPr>
        <w:t>The title of this Association shall be U. S. Bank Trust Company, National Association.</w:t>
      </w:r>
    </w:p>
    <w:p>
      <w:pPr>
        <w:pStyle w:val="TextBody"/>
        <w:bidi w:val="0"/>
        <w:spacing w:before="4" w:after="283"/>
        <w:jc w:val="both"/>
        <w:rPr/>
      </w:pPr>
      <w:r>
        <w:rPr/>
      </w:r>
    </w:p>
    <w:p>
      <w:pPr>
        <w:pStyle w:val="TextBody"/>
        <w:bidi w:val="0"/>
        <w:spacing w:lineRule="auto" w:line="280" w:before="0" w:after="0"/>
        <w:ind w:left="0" w:right="0" w:hanging="2"/>
        <w:jc w:val="both"/>
        <w:rPr/>
      </w:pPr>
      <w:r>
        <w:rPr>
          <w:rFonts w:ascii="Times New Roman;serif" w:hAnsi="Times New Roman;serif"/>
          <w:b/>
          <w:color w:val="000000"/>
          <w:sz w:val="23"/>
        </w:rPr>
        <w:t xml:space="preserve">SECOND. </w:t>
      </w:r>
      <w:r>
        <w:rPr>
          <w:rFonts w:ascii="Times New Roman;serif" w:hAnsi="Times New Roman;serif"/>
          <w:b w:val="false"/>
          <w:color w:val="000000"/>
          <w:sz w:val="24"/>
        </w:rPr>
        <w:t>The main office of the Association shall be in the city of Portland, county of Multnomah, state of Oregon. The business of the Association will be limited to fiduciary powers and the support of activities incidental to the exercise of those powers. The Association may not expand or alter its business beyond that stated in this article without the prior approval of the Comptroller of the</w:t>
      </w:r>
      <w:r>
        <w:rPr>
          <w:color w:val="000000"/>
        </w:rPr>
        <w:t xml:space="preserve"> </w:t>
      </w:r>
      <w:r>
        <w:rPr>
          <w:rFonts w:ascii="Times New Roman;serif" w:hAnsi="Times New Roman;serif"/>
          <w:b w:val="false"/>
          <w:color w:val="000000"/>
          <w:sz w:val="24"/>
        </w:rPr>
        <w:t>Currency.</w:t>
      </w:r>
    </w:p>
    <w:p>
      <w:pPr>
        <w:pStyle w:val="TextBody"/>
        <w:bidi w:val="0"/>
        <w:spacing w:before="3" w:after="283"/>
        <w:jc w:val="both"/>
        <w:rPr/>
      </w:pPr>
      <w:r>
        <w:rPr/>
      </w:r>
    </w:p>
    <w:p>
      <w:pPr>
        <w:pStyle w:val="TextBody"/>
        <w:bidi w:val="0"/>
        <w:spacing w:lineRule="auto" w:line="280" w:before="1" w:after="283"/>
        <w:ind w:left="0" w:right="0" w:firstLine="2"/>
        <w:jc w:val="both"/>
        <w:rPr/>
      </w:pPr>
      <w:r>
        <w:rPr>
          <w:rFonts w:ascii="Times New Roman;serif" w:hAnsi="Times New Roman;serif"/>
          <w:b/>
          <w:color w:val="000000"/>
          <w:sz w:val="24"/>
        </w:rPr>
        <w:t>THIRD.</w:t>
      </w:r>
      <w:r>
        <w:rPr>
          <w:color w:val="000000"/>
        </w:rPr>
        <w:t xml:space="preserve"> </w:t>
      </w:r>
      <w:r>
        <w:rPr>
          <w:rFonts w:ascii="Times New Roman;serif" w:hAnsi="Times New Roman;serif"/>
          <w:b w:val="false"/>
          <w:color w:val="000000"/>
          <w:sz w:val="24"/>
        </w:rPr>
        <w:t>The board of directors of the Association shall consist of not less than five nor more than twenty-five persons, the exact number to be fixed and 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w:t>
      </w:r>
      <w:r>
        <w:rPr>
          <w:color w:val="000000"/>
        </w:rPr>
        <w:t xml:space="preserve"> </w:t>
      </w:r>
      <w:r>
        <w:rPr>
          <w:rFonts w:ascii="Times New Roman;serif" w:hAnsi="Times New Roman;serif"/>
          <w:b w:val="false"/>
          <w:color w:val="000000"/>
          <w:sz w:val="24"/>
        </w:rPr>
        <w:t>used.</w:t>
      </w:r>
    </w:p>
    <w:p>
      <w:pPr>
        <w:pStyle w:val="TextBody"/>
        <w:bidi w:val="0"/>
        <w:spacing w:before="11" w:after="283"/>
        <w:jc w:val="both"/>
        <w:rPr/>
      </w:pPr>
      <w:r>
        <w:rPr/>
      </w:r>
    </w:p>
    <w:p>
      <w:pPr>
        <w:pStyle w:val="TextBody"/>
        <w:bidi w:val="0"/>
        <w:spacing w:lineRule="auto" w:line="280" w:before="0" w:after="0"/>
        <w:ind w:left="0" w:right="0" w:firstLine="6"/>
        <w:jc w:val="both"/>
        <w:rPr/>
      </w:pPr>
      <w:r>
        <w:rPr>
          <w:rFonts w:ascii="Times New Roman;serif" w:hAnsi="Times New Roman;serif"/>
          <w:b w:val="false"/>
          <w:color w:val="000000"/>
          <w:sz w:val="24"/>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w:t>
      </w:r>
      <w:r>
        <w:rPr>
          <w:color w:val="000000"/>
        </w:rPr>
        <w:t xml:space="preserve"> </w:t>
      </w:r>
      <w:r>
        <w:rPr>
          <w:rFonts w:ascii="Times New Roman;serif" w:hAnsi="Times New Roman;serif"/>
          <w:b w:val="false"/>
          <w:color w:val="000000"/>
          <w:sz w:val="24"/>
        </w:rPr>
        <w:t>eliminated.</w:t>
      </w:r>
    </w:p>
    <w:p>
      <w:pPr>
        <w:pStyle w:val="TextBody"/>
        <w:bidi w:val="0"/>
        <w:spacing w:before="4" w:after="283"/>
        <w:jc w:val="both"/>
        <w:rPr/>
      </w:pPr>
      <w:r>
        <w:rPr/>
      </w:r>
    </w:p>
    <w:p>
      <w:pPr>
        <w:pStyle w:val="TextBody"/>
        <w:bidi w:val="0"/>
        <w:spacing w:lineRule="auto" w:line="280" w:before="0" w:after="0"/>
        <w:ind w:left="0" w:right="0" w:firstLine="3"/>
        <w:jc w:val="both"/>
        <w:rPr/>
      </w:pPr>
      <w:r>
        <w:rPr>
          <w:rFonts w:ascii="Times New Roman;serif" w:hAnsi="Times New Roman;serif"/>
          <w:b w:val="false"/>
          <w:color w:val="000000"/>
          <w:sz w:val="24"/>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w:t>
      </w:r>
      <w:r>
        <w:rPr>
          <w:color w:val="000000"/>
        </w:rPr>
        <w:t xml:space="preserve"> </w:t>
      </w:r>
      <w:r>
        <w:rPr>
          <w:rFonts w:ascii="Times New Roman;serif" w:hAnsi="Times New Roman;serif"/>
          <w:b w:val="false"/>
          <w:color w:val="000000"/>
          <w:sz w:val="24"/>
        </w:rPr>
        <w:t>shares.</w:t>
      </w:r>
    </w:p>
    <w:p>
      <w:pPr>
        <w:pStyle w:val="TextBody"/>
        <w:bidi w:val="0"/>
        <w:spacing w:before="6" w:after="283"/>
        <w:jc w:val="both"/>
        <w:rPr/>
      </w:pPr>
      <w:r>
        <w:rPr/>
      </w:r>
    </w:p>
    <w:p>
      <w:pPr>
        <w:pStyle w:val="TextBody"/>
        <w:bidi w:val="0"/>
        <w:spacing w:lineRule="auto" w:line="280" w:before="0" w:after="0"/>
        <w:ind w:left="0" w:right="0" w:firstLine="3"/>
        <w:jc w:val="both"/>
        <w:rPr/>
      </w:pPr>
      <w:r>
        <w:rPr>
          <w:rFonts w:ascii="Times New Roman;serif" w:hAnsi="Times New Roman;serif"/>
          <w:b/>
          <w:color w:val="000000"/>
          <w:sz w:val="23"/>
        </w:rPr>
        <w:t xml:space="preserve">FOURTH. </w:t>
      </w:r>
      <w:r>
        <w:rPr>
          <w:rFonts w:ascii="Times New Roman;serif" w:hAnsi="Times New Roman;serif"/>
          <w:b w:val="false"/>
          <w:color w:val="000000"/>
          <w:sz w:val="24"/>
        </w:rPr>
        <w:t xml:space="preserve">There shall be an annual meeting of the shareholders to elect directors and transact whatever other business may be brought before the meeting. It shall be held at the main office or any other convenient place the board of directors may designate, on the day of each year specified therefor in the Bylaws, or </w:t>
      </w:r>
      <w:r>
        <w:rPr>
          <w:rFonts w:ascii="Times New Roman;serif" w:hAnsi="Times New Roman;serif"/>
          <w:b w:val="false"/>
          <w:color w:val="000000"/>
          <w:sz w:val="25"/>
        </w:rPr>
        <w:t>if that</w:t>
      </w:r>
      <w:r>
        <w:rPr>
          <w:color w:val="000000"/>
        </w:rPr>
        <w:t xml:space="preserve"> </w:t>
      </w:r>
      <w:r>
        <w:rPr>
          <w:rFonts w:ascii="Times New Roman;serif" w:hAnsi="Times New Roman;serif"/>
          <w:b w:val="false"/>
          <w:color w:val="000000"/>
          <w:sz w:val="24"/>
        </w:rPr>
        <w:t>day falls on a legal holiday in the state in which</w:t>
      </w:r>
      <w:r>
        <w:rPr>
          <w:color w:val="000000"/>
        </w:rPr>
        <w:t xml:space="preserve"> </w:t>
      </w:r>
      <w:r>
        <w:rPr>
          <w:rFonts w:ascii="Times New Roman;serif" w:hAnsi="Times New Roman;serif"/>
          <w:b w:val="false"/>
          <w:color w:val="000000"/>
          <w:sz w:val="24"/>
        </w:rPr>
        <w:t>the</w:t>
      </w:r>
    </w:p>
    <w:p>
      <w:pPr>
        <w:pStyle w:val="TextBody"/>
        <w:bidi w:val="0"/>
        <w:spacing w:lineRule="auto" w:line="288" w:before="242"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0"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61" w:after="283"/>
        <w:jc w:val="both"/>
        <w:rPr/>
      </w:pPr>
      <w:r>
        <w:rPr>
          <w:rFonts w:ascii="Times New Roman;serif" w:hAnsi="Times New Roman;serif"/>
          <w:b w:val="false"/>
          <w:color w:val="000000"/>
          <w:sz w:val="24"/>
        </w:rPr>
        <w:t xml:space="preserve">Association is located, on the next following banking day. </w:t>
      </w:r>
      <w:r>
        <w:rPr>
          <w:rFonts w:ascii="Arial;sans-serif" w:hAnsi="Arial;sans-serif"/>
          <w:b w:val="false"/>
          <w:color w:val="000000"/>
          <w:sz w:val="23"/>
        </w:rPr>
        <w:t xml:space="preserve">If </w:t>
      </w:r>
      <w:r>
        <w:rPr>
          <w:rFonts w:ascii="Times New Roman;serif" w:hAnsi="Times New Roman;serif"/>
          <w:b w:val="false"/>
          <w:color w:val="000000"/>
          <w:sz w:val="24"/>
        </w:rPr>
        <w:t xml:space="preserve">no election is held on the day fixed or in the event of a legal holiday on the following banking day, an election may be held on any subsequent day within 60 days of the day fixed, to be designated by the board of directors, or, </w:t>
      </w:r>
      <w:r>
        <w:rPr>
          <w:rFonts w:ascii="Arial;sans-serif" w:hAnsi="Arial;sans-serif"/>
          <w:b w:val="false"/>
          <w:color w:val="000000"/>
          <w:sz w:val="23"/>
        </w:rPr>
        <w:t xml:space="preserve">if </w:t>
      </w:r>
      <w:r>
        <w:rPr>
          <w:rFonts w:ascii="Times New Roman;serif" w:hAnsi="Times New Roman;serif"/>
          <w:b w:val="false"/>
          <w:color w:val="000000"/>
          <w:sz w:val="24"/>
        </w:rPr>
        <w:t>the directors fail to fix the day, by shareholders representing two-thirds of the shares issued and outstanding. In all cases, at least 10 days’ advance notice of the meeting shall be given to the shareholders by first-class</w:t>
      </w:r>
      <w:r>
        <w:rPr>
          <w:color w:val="000000"/>
        </w:rPr>
        <w:t xml:space="preserve"> </w:t>
      </w:r>
      <w:r>
        <w:rPr>
          <w:rFonts w:ascii="Times New Roman;serif" w:hAnsi="Times New Roman;serif"/>
          <w:b w:val="false"/>
          <w:color w:val="000000"/>
          <w:sz w:val="24"/>
        </w:rPr>
        <w:t>mail.</w:t>
      </w:r>
    </w:p>
    <w:p>
      <w:pPr>
        <w:pStyle w:val="TextBody"/>
        <w:bidi w:val="0"/>
        <w:spacing w:before="4" w:after="283"/>
        <w:jc w:val="both"/>
        <w:rPr/>
      </w:pPr>
      <w:r>
        <w:rPr/>
      </w:r>
    </w:p>
    <w:p>
      <w:pPr>
        <w:pStyle w:val="TextBody"/>
        <w:bidi w:val="0"/>
        <w:spacing w:lineRule="auto" w:line="280" w:before="0" w:after="0"/>
        <w:ind w:left="0" w:right="0" w:firstLine="1"/>
        <w:jc w:val="both"/>
        <w:rPr/>
      </w:pPr>
      <w:r>
        <w:rPr>
          <w:rFonts w:ascii="Times New Roman;serif" w:hAnsi="Times New Roman;serif"/>
          <w:b w:val="false"/>
          <w:color w:val="000000"/>
          <w:sz w:val="24"/>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w:t>
      </w:r>
      <w:r>
        <w:rPr>
          <w:color w:val="000000"/>
        </w:rPr>
        <w:t xml:space="preserve"> </w:t>
      </w:r>
      <w:r>
        <w:rPr>
          <w:rFonts w:ascii="Times New Roman;serif" w:hAnsi="Times New Roman;serif"/>
          <w:b w:val="false"/>
          <w:color w:val="000000"/>
          <w:sz w:val="24"/>
        </w:rPr>
        <w:t>her.</w:t>
      </w:r>
    </w:p>
    <w:p>
      <w:pPr>
        <w:pStyle w:val="TextBody"/>
        <w:bidi w:val="0"/>
        <w:spacing w:before="11" w:after="283"/>
        <w:jc w:val="both"/>
        <w:rPr/>
      </w:pPr>
      <w:r>
        <w:rPr/>
      </w:r>
    </w:p>
    <w:p>
      <w:pPr>
        <w:pStyle w:val="TextBody"/>
        <w:bidi w:val="0"/>
        <w:spacing w:lineRule="auto" w:line="280" w:before="0" w:after="0"/>
        <w:ind w:left="0" w:right="0" w:hanging="1"/>
        <w:jc w:val="both"/>
        <w:rPr/>
      </w:pPr>
      <w:r>
        <w:rPr>
          <w:rFonts w:ascii="Times New Roman;serif" w:hAnsi="Times New Roman;serif"/>
          <w:b w:val="false"/>
          <w:color w:val="000000"/>
          <w:sz w:val="24"/>
        </w:rPr>
        <w:t>A director may resign at any time by delivering written notice to the board of directors, its chairperson, or to the Association, which resignation shall be effective when the notice is delivered unless the notice specifies a later effective</w:t>
      </w:r>
      <w:r>
        <w:rPr>
          <w:color w:val="000000"/>
        </w:rPr>
        <w:t xml:space="preserve"> </w:t>
      </w:r>
      <w:r>
        <w:rPr>
          <w:rFonts w:ascii="Times New Roman;serif" w:hAnsi="Times New Roman;serif"/>
          <w:b w:val="false"/>
          <w:color w:val="000000"/>
          <w:sz w:val="24"/>
        </w:rPr>
        <w:t>date.</w:t>
      </w:r>
    </w:p>
    <w:p>
      <w:pPr>
        <w:pStyle w:val="TextBody"/>
        <w:bidi w:val="0"/>
        <w:spacing w:before="5" w:after="283"/>
        <w:jc w:val="both"/>
        <w:rPr/>
      </w:pPr>
      <w:r>
        <w:rPr/>
      </w:r>
    </w:p>
    <w:p>
      <w:pPr>
        <w:pStyle w:val="TextBody"/>
        <w:bidi w:val="0"/>
        <w:spacing w:lineRule="auto" w:line="280" w:before="1" w:after="283"/>
        <w:ind w:left="0" w:right="0" w:firstLine="7"/>
        <w:jc w:val="both"/>
        <w:rPr/>
      </w:pPr>
      <w:r>
        <w:rPr>
          <w:rFonts w:ascii="Times New Roman;serif" w:hAnsi="Times New Roman;serif"/>
          <w:b w:val="false"/>
          <w:color w:val="000000"/>
          <w:sz w:val="24"/>
        </w:rPr>
        <w:t xml:space="preserve">A director may be removed by the shareholders at a meeting called to remove him or her, when notice of the meeting stating that the purpose or one of the purposes is to remove </w:t>
      </w:r>
      <w:r>
        <w:rPr>
          <w:rFonts w:ascii="Times New Roman;serif" w:hAnsi="Times New Roman;serif"/>
          <w:b w:val="false"/>
          <w:color w:val="000000"/>
          <w:sz w:val="23"/>
        </w:rPr>
        <w:t xml:space="preserve">him </w:t>
      </w:r>
      <w:r>
        <w:rPr>
          <w:rFonts w:ascii="Times New Roman;serif" w:hAnsi="Times New Roman;serif"/>
          <w:b w:val="false"/>
          <w:color w:val="000000"/>
          <w:sz w:val="24"/>
        </w:rPr>
        <w:t xml:space="preserve">or her is provided, </w:t>
      </w:r>
      <w:r>
        <w:rPr>
          <w:rFonts w:ascii="Arial;sans-serif" w:hAnsi="Arial;sans-serif"/>
          <w:b w:val="false"/>
          <w:color w:val="000000"/>
          <w:sz w:val="23"/>
        </w:rPr>
        <w:t xml:space="preserve">if </w:t>
      </w:r>
      <w:r>
        <w:rPr>
          <w:rFonts w:ascii="Times New Roman;serif" w:hAnsi="Times New Roman;serif"/>
          <w:b w:val="false"/>
          <w:color w:val="000000"/>
          <w:sz w:val="24"/>
        </w:rPr>
        <w:t xml:space="preserve">there is a failure to fulfill one of the affirmative requirements for qualification, or for cause; provided, however, that a director may not be removed </w:t>
      </w:r>
      <w:r>
        <w:rPr>
          <w:rFonts w:ascii="Arial;sans-serif" w:hAnsi="Arial;sans-serif"/>
          <w:b w:val="false"/>
          <w:color w:val="000000"/>
          <w:sz w:val="23"/>
        </w:rPr>
        <w:t xml:space="preserve">if </w:t>
      </w:r>
      <w:r>
        <w:rPr>
          <w:rFonts w:ascii="Times New Roman;serif" w:hAnsi="Times New Roman;serif"/>
          <w:b w:val="false"/>
          <w:color w:val="000000"/>
          <w:sz w:val="24"/>
        </w:rPr>
        <w:t>the number of votes sufficient to elect him or her under cumulative voting is voted against his or her</w:t>
      </w:r>
      <w:r>
        <w:rPr>
          <w:color w:val="000000"/>
        </w:rPr>
        <w:t xml:space="preserve"> </w:t>
      </w:r>
      <w:r>
        <w:rPr>
          <w:rFonts w:ascii="Times New Roman;serif" w:hAnsi="Times New Roman;serif"/>
          <w:b w:val="false"/>
          <w:color w:val="000000"/>
          <w:sz w:val="24"/>
        </w:rPr>
        <w:t>removal.</w:t>
      </w:r>
    </w:p>
    <w:p>
      <w:pPr>
        <w:pStyle w:val="TextBody"/>
        <w:bidi w:val="0"/>
        <w:spacing w:before="7" w:after="283"/>
        <w:jc w:val="both"/>
        <w:rPr/>
      </w:pPr>
      <w:r>
        <w:rPr/>
      </w:r>
    </w:p>
    <w:p>
      <w:pPr>
        <w:pStyle w:val="TextBody"/>
        <w:bidi w:val="0"/>
        <w:spacing w:lineRule="auto" w:line="280" w:before="1" w:after="283"/>
        <w:ind w:left="0" w:right="0" w:firstLine="2"/>
        <w:jc w:val="both"/>
        <w:rPr/>
      </w:pPr>
      <w:r>
        <w:rPr>
          <w:rFonts w:ascii="Times New Roman;serif" w:hAnsi="Times New Roman;serif"/>
          <w:b/>
          <w:color w:val="000000"/>
          <w:sz w:val="24"/>
        </w:rPr>
        <w:t xml:space="preserve">FIFTH. </w:t>
      </w:r>
      <w:r>
        <w:rPr>
          <w:rFonts w:ascii="Times New Roman;serif" w:hAnsi="Times New Roman;serif"/>
          <w:b w:val="false"/>
          <w:color w:val="000000"/>
          <w:sz w:val="24"/>
        </w:rPr>
        <w:t>The authorized amount of capital stock of the Association shall be 1,000,000 shares of common stock of the par value of ten dollars ($10) each; but said capital stock may be increased or decreased from time to time, according to the provisions of the laws of the United States. The Association shall have only one class of capital</w:t>
      </w:r>
      <w:r>
        <w:rPr>
          <w:color w:val="000000"/>
        </w:rPr>
        <w:t xml:space="preserve"> </w:t>
      </w:r>
      <w:r>
        <w:rPr>
          <w:rFonts w:ascii="Times New Roman;serif" w:hAnsi="Times New Roman;serif"/>
          <w:b w:val="false"/>
          <w:color w:val="000000"/>
          <w:sz w:val="24"/>
        </w:rPr>
        <w:t>stock.</w:t>
      </w:r>
    </w:p>
    <w:p>
      <w:pPr>
        <w:pStyle w:val="TextBody"/>
        <w:bidi w:val="0"/>
        <w:spacing w:before="1" w:after="283"/>
        <w:jc w:val="both"/>
        <w:rPr/>
      </w:pPr>
      <w:r>
        <w:rPr/>
      </w:r>
    </w:p>
    <w:p>
      <w:pPr>
        <w:pStyle w:val="TextBody"/>
        <w:bidi w:val="0"/>
        <w:spacing w:lineRule="auto" w:line="280" w:before="0" w:after="0"/>
        <w:ind w:left="0" w:right="0" w:firstLine="11"/>
        <w:jc w:val="both"/>
        <w:rPr/>
      </w:pPr>
      <w:r>
        <w:rPr>
          <w:rFonts w:ascii="Times New Roman;serif" w:hAnsi="Times New Roman;serif"/>
          <w:b w:val="false"/>
          <w:color w:val="000000"/>
          <w:sz w:val="24"/>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w:t>
      </w:r>
      <w:r>
        <w:rPr>
          <w:color w:val="000000"/>
        </w:rPr>
        <w:t xml:space="preserve"> </w:t>
      </w:r>
      <w:r>
        <w:rPr>
          <w:rFonts w:ascii="Times New Roman;serif" w:hAnsi="Times New Roman;serif"/>
          <w:b w:val="false"/>
          <w:color w:val="000000"/>
          <w:sz w:val="24"/>
        </w:rPr>
        <w:t>fix.</w:t>
      </w:r>
    </w:p>
    <w:p>
      <w:pPr>
        <w:pStyle w:val="TextBody"/>
        <w:bidi w:val="0"/>
        <w:spacing w:before="6" w:after="283"/>
        <w:jc w:val="both"/>
        <w:rPr/>
      </w:pPr>
      <w:r>
        <w:rPr/>
      </w:r>
    </w:p>
    <w:p>
      <w:pPr>
        <w:pStyle w:val="TextBody"/>
        <w:bidi w:val="0"/>
        <w:spacing w:lineRule="auto" w:line="280" w:before="0" w:after="0"/>
        <w:ind w:left="0" w:right="0" w:firstLine="1"/>
        <w:jc w:val="both"/>
        <w:rPr/>
      </w:pPr>
      <w:r>
        <w:rPr>
          <w:rFonts w:ascii="Times New Roman;serif" w:hAnsi="Times New Roman;serif"/>
          <w:b w:val="false"/>
          <w:color w:val="000000"/>
          <w:sz w:val="24"/>
        </w:rPr>
        <w:t>Transfers of the Association's stock are subject to the prior written approval of a federal depository institution regulatory agency. If no other agency approval is required, the approval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Comptroller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Currency</w:t>
      </w:r>
      <w:r>
        <w:rPr>
          <w:color w:val="000000"/>
        </w:rPr>
        <w:t xml:space="preserve"> </w:t>
      </w:r>
      <w:r>
        <w:rPr>
          <w:rFonts w:ascii="Times New Roman;serif" w:hAnsi="Times New Roman;serif"/>
          <w:b w:val="false"/>
          <w:color w:val="000000"/>
          <w:sz w:val="24"/>
        </w:rPr>
        <w:t>must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obtained</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transfers.</w:t>
      </w:r>
    </w:p>
    <w:p>
      <w:pPr>
        <w:pStyle w:val="TextBody"/>
        <w:bidi w:val="0"/>
        <w:spacing w:before="6" w:after="283"/>
        <w:jc w:val="both"/>
        <w:rPr/>
      </w:pPr>
      <w:r>
        <w:rPr/>
      </w:r>
    </w:p>
    <w:p>
      <w:pPr>
        <w:pStyle w:val="TextBody"/>
        <w:bidi w:val="0"/>
        <w:spacing w:lineRule="auto" w:line="283" w:before="0" w:after="0"/>
        <w:ind w:left="0" w:right="0" w:firstLine="6"/>
        <w:jc w:val="both"/>
        <w:rPr>
          <w:rFonts w:ascii="Times New Roman;serif" w:hAnsi="Times New Roman;serif"/>
          <w:b w:val="false"/>
          <w:color w:val="000000"/>
          <w:sz w:val="24"/>
        </w:rPr>
      </w:pPr>
      <w:r>
        <w:rPr>
          <w:rFonts w:ascii="Times New Roman;serif" w:hAnsi="Times New Roman;serif"/>
          <w:b w:val="false"/>
          <w:color w:val="000000"/>
          <w:sz w:val="24"/>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w:t>
      </w:r>
    </w:p>
    <w:p>
      <w:pPr>
        <w:pStyle w:val="TextBody"/>
        <w:bidi w:val="0"/>
        <w:spacing w:lineRule="atLeast" w:line="268" w:before="0" w:after="0"/>
        <w:jc w:val="both"/>
        <w:rPr>
          <w:rFonts w:ascii="Times New Roman;serif" w:hAnsi="Times New Roman;serif"/>
          <w:b w:val="false"/>
          <w:color w:val="000000"/>
          <w:sz w:val="24"/>
        </w:rPr>
      </w:pPr>
      <w:r>
        <w:rPr>
          <w:rFonts w:ascii="Times New Roman;serif" w:hAnsi="Times New Roman;serif"/>
          <w:b w:val="false"/>
          <w:color w:val="000000"/>
          <w:sz w:val="24"/>
        </w:rPr>
        <w:t>(2) each shareholder shall be entitled to one vote per share.</w:t>
      </w:r>
    </w:p>
    <w:p>
      <w:pPr>
        <w:pStyle w:val="TextBody"/>
        <w:bidi w:val="0"/>
        <w:spacing w:before="0" w:after="0"/>
        <w:jc w:val="both"/>
        <w:rPr/>
      </w:pPr>
      <w:r>
        <w:rPr/>
      </w:r>
    </w:p>
    <w:p>
      <w:pPr>
        <w:pStyle w:val="TextBody"/>
        <w:bidi w:val="0"/>
        <w:spacing w:before="0" w:after="0"/>
        <w:jc w:val="both"/>
        <w:rPr/>
      </w:pPr>
      <w:r>
        <w:rPr/>
      </w:r>
    </w:p>
    <w:p>
      <w:pPr>
        <w:pStyle w:val="TextBody"/>
        <w:bidi w:val="0"/>
        <w:spacing w:before="211" w:after="283"/>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1"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ind w:left="0" w:right="0" w:firstLine="3"/>
        <w:jc w:val="both"/>
        <w:rPr>
          <w:rFonts w:ascii="Times New Roman;serif" w:hAnsi="Times New Roman;serif"/>
          <w:b w:val="false"/>
          <w:color w:val="000000"/>
          <w:sz w:val="24"/>
        </w:rPr>
      </w:pPr>
      <w:r>
        <w:rPr>
          <w:rFonts w:ascii="Times New Roman;serif" w:hAnsi="Times New Roman;serif"/>
          <w:b w:val="false"/>
          <w:color w:val="000000"/>
          <w:sz w:val="24"/>
        </w:rPr>
        <w:t>Unless otherwise specified in the Articles of Association or required by law, all shares of voting stock shall be voted together as a class, on any matters requiring shareholder approval.</w:t>
      </w:r>
    </w:p>
    <w:p>
      <w:pPr>
        <w:pStyle w:val="TextBody"/>
        <w:bidi w:val="0"/>
        <w:spacing w:before="8" w:after="283"/>
        <w:jc w:val="both"/>
        <w:rPr/>
      </w:pPr>
      <w:r>
        <w:rPr/>
      </w:r>
    </w:p>
    <w:p>
      <w:pPr>
        <w:pStyle w:val="TextBody"/>
        <w:bidi w:val="0"/>
        <w:spacing w:lineRule="auto" w:line="283" w:before="1" w:after="283"/>
        <w:jc w:val="both"/>
        <w:rPr/>
      </w:pPr>
      <w:r>
        <w:rPr>
          <w:rFonts w:ascii="Times New Roman;serif" w:hAnsi="Times New Roman;serif"/>
          <w:b w:val="false"/>
          <w:color w:val="000000"/>
          <w:sz w:val="24"/>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w:t>
      </w:r>
      <w:r>
        <w:rPr>
          <w:color w:val="000000"/>
        </w:rPr>
        <w:t xml:space="preserve"> </w:t>
      </w:r>
      <w:r>
        <w:rPr>
          <w:rFonts w:ascii="Times New Roman;serif" w:hAnsi="Times New Roman;serif"/>
          <w:b w:val="false"/>
          <w:color w:val="000000"/>
          <w:sz w:val="24"/>
        </w:rPr>
        <w:t>meeting.</w:t>
      </w:r>
    </w:p>
    <w:p>
      <w:pPr>
        <w:pStyle w:val="TextBody"/>
        <w:bidi w:val="0"/>
        <w:spacing w:before="1" w:after="283"/>
        <w:jc w:val="both"/>
        <w:rPr/>
      </w:pPr>
      <w:r>
        <w:rPr/>
      </w:r>
    </w:p>
    <w:p>
      <w:pPr>
        <w:pStyle w:val="TextBody"/>
        <w:bidi w:val="0"/>
        <w:spacing w:lineRule="auto" w:line="280" w:before="0" w:after="0"/>
        <w:ind w:left="0" w:right="0" w:hanging="7"/>
        <w:jc w:val="both"/>
        <w:rPr/>
      </w:pPr>
      <w:r>
        <w:rPr>
          <w:rFonts w:ascii="Times New Roman;serif" w:hAnsi="Times New Roman;serif"/>
          <w:b w:val="false"/>
          <w:color w:val="000000"/>
          <w:sz w:val="24"/>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w:t>
      </w:r>
      <w:r>
        <w:rPr>
          <w:color w:val="000000"/>
        </w:rPr>
        <w:t xml:space="preserve"> </w:t>
      </w:r>
      <w:r>
        <w:rPr>
          <w:rFonts w:ascii="Times New Roman;serif" w:hAnsi="Times New Roman;serif"/>
          <w:b w:val="false"/>
          <w:color w:val="000000"/>
          <w:sz w:val="24"/>
        </w:rPr>
        <w:t>series.</w:t>
      </w:r>
    </w:p>
    <w:p>
      <w:pPr>
        <w:pStyle w:val="TextBody"/>
        <w:bidi w:val="0"/>
        <w:spacing w:before="11" w:after="283"/>
        <w:jc w:val="both"/>
        <w:rPr/>
      </w:pPr>
      <w:r>
        <w:rPr/>
      </w:r>
    </w:p>
    <w:p>
      <w:pPr>
        <w:pStyle w:val="TextBody"/>
        <w:bidi w:val="0"/>
        <w:spacing w:lineRule="auto" w:line="280" w:before="0" w:after="0"/>
        <w:ind w:left="0" w:right="0" w:firstLine="3"/>
        <w:jc w:val="both"/>
        <w:rPr/>
      </w:pPr>
      <w:r>
        <w:rPr>
          <w:rFonts w:ascii="Times New Roman;serif" w:hAnsi="Times New Roman;serif"/>
          <w:b/>
          <w:color w:val="000000"/>
          <w:sz w:val="23"/>
        </w:rPr>
        <w:t xml:space="preserve">SIXTH. </w:t>
      </w:r>
      <w:r>
        <w:rPr>
          <w:rFonts w:ascii="Times New Roman;serif" w:hAnsi="Times New Roman;serif"/>
          <w:b w:val="false"/>
          <w:color w:val="000000"/>
          <w:sz w:val="24"/>
        </w:rPr>
        <w:t>The board of directors shall appoint one of its members president of this Association and one of its members chairperson of the board and shall 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w:t>
      </w:r>
      <w:r>
        <w:rPr>
          <w:color w:val="000000"/>
        </w:rPr>
        <w:t xml:space="preserve"> </w:t>
      </w:r>
      <w:r>
        <w:rPr>
          <w:rFonts w:ascii="Times New Roman;serif" w:hAnsi="Times New Roman;serif"/>
          <w:b w:val="false"/>
          <w:color w:val="000000"/>
          <w:sz w:val="24"/>
        </w:rPr>
        <w:t>Bylaws.</w:t>
      </w:r>
    </w:p>
    <w:p>
      <w:pPr>
        <w:pStyle w:val="TextBody"/>
        <w:bidi w:val="0"/>
        <w:spacing w:before="1" w:after="283"/>
        <w:jc w:val="both"/>
        <w:rPr/>
      </w:pPr>
      <w:r>
        <w:rPr/>
      </w:r>
    </w:p>
    <w:p>
      <w:pPr>
        <w:pStyle w:val="TextBody"/>
        <w:bidi w:val="0"/>
        <w:spacing w:lineRule="auto" w:line="288" w:before="1" w:after="283"/>
        <w:jc w:val="both"/>
        <w:rPr>
          <w:rFonts w:ascii="Times New Roman;serif" w:hAnsi="Times New Roman;serif"/>
          <w:b w:val="false"/>
          <w:color w:val="000000"/>
          <w:sz w:val="24"/>
        </w:rPr>
      </w:pPr>
      <w:r>
        <w:rPr>
          <w:rFonts w:ascii="Times New Roman;serif" w:hAnsi="Times New Roman;serif"/>
          <w:b w:val="false"/>
          <w:color w:val="000000"/>
          <w:sz w:val="24"/>
        </w:rPr>
        <w:t>The board of directors shall have the power to:</w:t>
      </w:r>
    </w:p>
    <w:p>
      <w:pPr>
        <w:pStyle w:val="TextBody"/>
        <w:bidi w:val="0"/>
        <w:spacing w:before="10" w:after="283"/>
        <w:jc w:val="both"/>
        <w:rPr/>
      </w:pPr>
      <w:r>
        <w:rPr/>
      </w:r>
    </w:p>
    <w:p>
      <w:pPr>
        <w:pStyle w:val="TextBody"/>
        <w:bidi w:val="0"/>
        <w:spacing w:lineRule="auto" w:line="288" w:before="0" w:after="0"/>
        <w:ind w:left="0" w:right="0" w:hanging="721"/>
        <w:jc w:val="left"/>
        <w:rPr/>
      </w:pPr>
      <w:r>
        <w:rPr>
          <w:rFonts w:ascii="Times New Roman;serif" w:hAnsi="Times New Roman;serif"/>
          <w:b w:val="false"/>
          <w:color w:val="000000"/>
          <w:sz w:val="24"/>
        </w:rPr>
        <w:t>(1)Define the duties of the officers, employees, and agents of the</w:t>
      </w:r>
      <w:r>
        <w:rPr>
          <w:color w:val="000000"/>
        </w:rPr>
        <w:t xml:space="preserve"> </w:t>
      </w:r>
      <w:r>
        <w:rPr>
          <w:rFonts w:ascii="Times New Roman;serif" w:hAnsi="Times New Roman;serif"/>
          <w:b w:val="false"/>
          <w:color w:val="000000"/>
          <w:sz w:val="24"/>
        </w:rPr>
        <w:t>Association.</w:t>
      </w:r>
    </w:p>
    <w:p>
      <w:pPr>
        <w:pStyle w:val="TextBody"/>
        <w:bidi w:val="0"/>
        <w:spacing w:before="4" w:after="283"/>
        <w:jc w:val="both"/>
        <w:rPr/>
      </w:pPr>
      <w:r>
        <w:rPr/>
      </w:r>
    </w:p>
    <w:p>
      <w:pPr>
        <w:pStyle w:val="TextBody"/>
        <w:bidi w:val="0"/>
        <w:spacing w:lineRule="auto" w:line="283" w:before="0" w:after="0"/>
        <w:ind w:left="0" w:right="0" w:hanging="716"/>
        <w:jc w:val="both"/>
        <w:rPr/>
      </w:pPr>
      <w:r>
        <w:rPr>
          <w:rFonts w:ascii="Times New Roman;serif" w:hAnsi="Times New Roman;serif"/>
          <w:b w:val="false"/>
          <w:color w:val="000000"/>
          <w:sz w:val="24"/>
        </w:rPr>
        <w:t>(2)Delegate the performance of its duties, but not the responsibility for its duties, to the officers, employees, and agents of the</w:t>
      </w:r>
      <w:r>
        <w:rPr>
          <w:color w:val="000000"/>
        </w:rPr>
        <w:t xml:space="preserve"> </w:t>
      </w:r>
      <w:r>
        <w:rPr>
          <w:rFonts w:ascii="Times New Roman;serif" w:hAnsi="Times New Roman;serif"/>
          <w:b w:val="false"/>
          <w:color w:val="000000"/>
          <w:sz w:val="24"/>
        </w:rPr>
        <w:t>Association.</w:t>
      </w:r>
    </w:p>
    <w:p>
      <w:pPr>
        <w:pStyle w:val="TextBody"/>
        <w:bidi w:val="0"/>
        <w:spacing w:before="9" w:after="283"/>
        <w:jc w:val="both"/>
        <w:rPr/>
      </w:pPr>
      <w:r>
        <w:rPr/>
      </w:r>
    </w:p>
    <w:p>
      <w:pPr>
        <w:pStyle w:val="TextBody"/>
        <w:bidi w:val="0"/>
        <w:spacing w:lineRule="auto" w:line="288" w:before="0" w:after="0"/>
        <w:ind w:left="0" w:right="0" w:hanging="716"/>
        <w:jc w:val="both"/>
        <w:rPr/>
      </w:pPr>
      <w:r>
        <w:rPr>
          <w:rFonts w:ascii="Times New Roman;serif" w:hAnsi="Times New Roman;serif"/>
          <w:b w:val="false"/>
          <w:color w:val="000000"/>
          <w:sz w:val="24"/>
        </w:rPr>
        <w:t>(3)Fix the compensation and enter employment contracts with its officers and employees upon reasonable terms and conditions consistent</w:t>
      </w:r>
      <w:r>
        <w:rPr>
          <w:color w:val="000000"/>
        </w:rPr>
        <w:t xml:space="preserve"> </w:t>
      </w:r>
      <w:r>
        <w:rPr>
          <w:rFonts w:ascii="Times New Roman;serif" w:hAnsi="Times New Roman;serif"/>
          <w:b w:val="false"/>
          <w:color w:val="000000"/>
          <w:sz w:val="24"/>
        </w:rPr>
        <w:t>with applicable law.</w:t>
      </w:r>
    </w:p>
    <w:p>
      <w:pPr>
        <w:pStyle w:val="TextBody"/>
        <w:bidi w:val="0"/>
        <w:spacing w:before="9" w:after="283"/>
        <w:jc w:val="both"/>
        <w:rPr/>
      </w:pPr>
      <w:r>
        <w:rPr/>
      </w:r>
    </w:p>
    <w:p>
      <w:pPr>
        <w:pStyle w:val="TextBody"/>
        <w:bidi w:val="0"/>
        <w:spacing w:lineRule="auto" w:line="288" w:before="0" w:after="0"/>
        <w:ind w:left="0" w:right="0" w:hanging="721"/>
        <w:jc w:val="left"/>
        <w:rPr/>
      </w:pPr>
      <w:r>
        <w:rPr>
          <w:rFonts w:ascii="Times New Roman;serif" w:hAnsi="Times New Roman;serif"/>
          <w:b w:val="false"/>
          <w:color w:val="000000"/>
          <w:sz w:val="24"/>
        </w:rPr>
        <w:t>(4)Dismiss officers and</w:t>
      </w:r>
      <w:r>
        <w:rPr>
          <w:color w:val="000000"/>
        </w:rPr>
        <w:t xml:space="preserve"> </w:t>
      </w:r>
      <w:r>
        <w:rPr>
          <w:rFonts w:ascii="Times New Roman;serif" w:hAnsi="Times New Roman;serif"/>
          <w:b w:val="false"/>
          <w:color w:val="000000"/>
          <w:sz w:val="24"/>
        </w:rPr>
        <w:t>employees.</w:t>
      </w:r>
    </w:p>
    <w:p>
      <w:pPr>
        <w:pStyle w:val="TextBody"/>
        <w:bidi w:val="0"/>
        <w:spacing w:before="3" w:after="283"/>
        <w:jc w:val="both"/>
        <w:rPr/>
      </w:pPr>
      <w:r>
        <w:rPr/>
      </w:r>
    </w:p>
    <w:p>
      <w:pPr>
        <w:pStyle w:val="TextBody"/>
        <w:bidi w:val="0"/>
        <w:spacing w:lineRule="auto" w:line="288" w:before="0" w:after="0"/>
        <w:ind w:left="0" w:right="0" w:hanging="721"/>
        <w:jc w:val="left"/>
        <w:rPr/>
      </w:pPr>
      <w:r>
        <w:rPr>
          <w:rFonts w:ascii="Times New Roman;serif" w:hAnsi="Times New Roman;serif"/>
          <w:b w:val="false"/>
          <w:color w:val="000000"/>
          <w:sz w:val="24"/>
        </w:rPr>
        <w:t>(5)Require bonds from officers and employees and to fix the penalty</w:t>
      </w:r>
      <w:r>
        <w:rPr>
          <w:color w:val="000000"/>
        </w:rPr>
        <w:t xml:space="preserve"> </w:t>
      </w:r>
      <w:r>
        <w:rPr>
          <w:rFonts w:ascii="Times New Roman;serif" w:hAnsi="Times New Roman;serif"/>
          <w:b w:val="false"/>
          <w:color w:val="000000"/>
          <w:sz w:val="24"/>
        </w:rPr>
        <w:t>thereof.</w:t>
      </w:r>
    </w:p>
    <w:p>
      <w:pPr>
        <w:pStyle w:val="TextBody"/>
        <w:bidi w:val="0"/>
        <w:spacing w:before="4" w:after="283"/>
        <w:jc w:val="both"/>
        <w:rPr/>
      </w:pPr>
      <w:r>
        <w:rPr/>
      </w:r>
    </w:p>
    <w:p>
      <w:pPr>
        <w:pStyle w:val="TextBody"/>
        <w:bidi w:val="0"/>
        <w:spacing w:lineRule="auto" w:line="283" w:before="0" w:after="0"/>
        <w:ind w:left="0" w:right="0" w:hanging="718"/>
        <w:jc w:val="both"/>
        <w:rPr>
          <w:rFonts w:ascii="Times New Roman;serif" w:hAnsi="Times New Roman;serif"/>
          <w:b w:val="false"/>
          <w:color w:val="000000"/>
          <w:sz w:val="24"/>
        </w:rPr>
      </w:pPr>
      <w:r>
        <w:rPr>
          <w:rFonts w:ascii="Times New Roman;serif" w:hAnsi="Times New Roman;serif"/>
          <w:b w:val="false"/>
          <w:color w:val="000000"/>
          <w:sz w:val="24"/>
        </w:rPr>
        <w:t>(6)Ratify written policies authorized by the Association's management or committees of the board.</w:t>
      </w:r>
    </w:p>
    <w:p>
      <w:pPr>
        <w:pStyle w:val="TextBody"/>
        <w:bidi w:val="0"/>
        <w:spacing w:before="9" w:after="283"/>
        <w:jc w:val="both"/>
        <w:rPr/>
      </w:pPr>
      <w:r>
        <w:rPr/>
      </w:r>
    </w:p>
    <w:p>
      <w:pPr>
        <w:pStyle w:val="TextBody"/>
        <w:bidi w:val="0"/>
        <w:spacing w:lineRule="auto" w:line="283" w:before="0" w:after="0"/>
        <w:ind w:left="0" w:right="0" w:hanging="718"/>
        <w:jc w:val="both"/>
        <w:rPr/>
      </w:pPr>
      <w:r>
        <w:rPr>
          <w:rFonts w:ascii="Times New Roman;serif" w:hAnsi="Times New Roman;serif"/>
          <w:b w:val="false"/>
          <w:color w:val="000000"/>
          <w:sz w:val="24"/>
        </w:rPr>
        <w:t>(7)Regulate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w:t>
      </w:r>
      <w:r>
        <w:rPr>
          <w:color w:val="000000"/>
        </w:rPr>
        <w:t xml:space="preserve"> </w:t>
      </w:r>
      <w:r>
        <w:rPr>
          <w:rFonts w:ascii="Times New Roman;serif" w:hAnsi="Times New Roman;serif"/>
          <w:b w:val="false"/>
          <w:color w:val="000000"/>
          <w:sz w:val="24"/>
        </w:rPr>
        <w:t>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2"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70" w:after="283"/>
        <w:ind w:left="0" w:right="0" w:hanging="715"/>
        <w:jc w:val="left"/>
        <w:rPr/>
      </w:pPr>
      <w:r>
        <w:rPr>
          <w:rFonts w:ascii="Times New Roman;serif" w:hAnsi="Times New Roman;serif"/>
          <w:b w:val="false"/>
          <w:color w:val="000000"/>
          <w:sz w:val="24"/>
        </w:rPr>
        <w:t>(8)Manage and administer the business and affairs of the</w:t>
      </w:r>
      <w:r>
        <w:rPr>
          <w:color w:val="000000"/>
        </w:rPr>
        <w:t xml:space="preserve"> </w:t>
      </w:r>
      <w:r>
        <w:rPr>
          <w:rFonts w:ascii="Times New Roman;serif" w:hAnsi="Times New Roman;serif"/>
          <w:b w:val="false"/>
          <w:color w:val="000000"/>
          <w:sz w:val="24"/>
        </w:rPr>
        <w:t>Association.</w:t>
      </w:r>
    </w:p>
    <w:p>
      <w:pPr>
        <w:pStyle w:val="TextBody"/>
        <w:bidi w:val="0"/>
        <w:spacing w:before="3" w:after="283"/>
        <w:jc w:val="both"/>
        <w:rPr/>
      </w:pPr>
      <w:r>
        <w:rPr/>
      </w:r>
    </w:p>
    <w:p>
      <w:pPr>
        <w:pStyle w:val="TextBody"/>
        <w:bidi w:val="0"/>
        <w:spacing w:lineRule="auto" w:line="283" w:before="0" w:after="0"/>
        <w:ind w:left="0" w:right="0" w:hanging="723"/>
        <w:jc w:val="left"/>
        <w:rPr/>
      </w:pPr>
      <w:r>
        <w:rPr>
          <w:rFonts w:ascii="Times New Roman;serif" w:hAnsi="Times New Roman;serif"/>
          <w:b w:val="false"/>
          <w:color w:val="000000"/>
          <w:sz w:val="24"/>
        </w:rPr>
        <w:t>(9)Adopt initial Bylaws, not inconsistent with law or the Articles of Association, for managing the business and regulating the affairs of the</w:t>
      </w:r>
      <w:r>
        <w:rPr>
          <w:color w:val="000000"/>
        </w:rPr>
        <w:t xml:space="preserve"> </w:t>
      </w:r>
      <w:r>
        <w:rPr>
          <w:rFonts w:ascii="Times New Roman;serif" w:hAnsi="Times New Roman;serif"/>
          <w:b w:val="false"/>
          <w:color w:val="000000"/>
          <w:sz w:val="24"/>
        </w:rPr>
        <w:t>Association.</w:t>
      </w:r>
    </w:p>
    <w:p>
      <w:pPr>
        <w:pStyle w:val="TextBody"/>
        <w:bidi w:val="0"/>
        <w:spacing w:before="9" w:after="283"/>
        <w:jc w:val="both"/>
        <w:rPr/>
      </w:pPr>
      <w:r>
        <w:rPr/>
      </w:r>
    </w:p>
    <w:p>
      <w:pPr>
        <w:pStyle w:val="TextBody"/>
        <w:bidi w:val="0"/>
        <w:spacing w:lineRule="auto" w:line="283" w:before="0" w:after="0"/>
        <w:ind w:left="0" w:right="0" w:hanging="711"/>
        <w:jc w:val="left"/>
        <w:rPr/>
      </w:pPr>
      <w:r>
        <w:rPr>
          <w:rFonts w:ascii="Times New Roman;serif" w:hAnsi="Times New Roman;serif"/>
          <w:b w:val="false"/>
          <w:color w:val="000000"/>
          <w:sz w:val="24"/>
        </w:rPr>
        <w:t>(10)Amend or repeal Bylaws, except to the extent that the Articles of Association reserve this power in whole or in part to the</w:t>
      </w:r>
      <w:r>
        <w:rPr>
          <w:color w:val="000000"/>
        </w:rPr>
        <w:t xml:space="preserve"> </w:t>
      </w:r>
      <w:r>
        <w:rPr>
          <w:rFonts w:ascii="Times New Roman;serif" w:hAnsi="Times New Roman;serif"/>
          <w:b w:val="false"/>
          <w:color w:val="000000"/>
          <w:sz w:val="24"/>
        </w:rPr>
        <w:t>shareholders.</w:t>
      </w:r>
    </w:p>
    <w:p>
      <w:pPr>
        <w:pStyle w:val="TextBody"/>
        <w:bidi w:val="0"/>
        <w:spacing w:before="9" w:after="283"/>
        <w:jc w:val="both"/>
        <w:rPr/>
      </w:pPr>
      <w:r>
        <w:rPr/>
      </w:r>
    </w:p>
    <w:p>
      <w:pPr>
        <w:pStyle w:val="TextBody"/>
        <w:bidi w:val="0"/>
        <w:spacing w:lineRule="auto" w:line="288" w:before="1" w:after="283"/>
        <w:ind w:left="0" w:right="0" w:hanging="715"/>
        <w:jc w:val="left"/>
        <w:rPr/>
      </w:pPr>
      <w:r>
        <w:rPr>
          <w:rFonts w:ascii="Times New Roman;serif" w:hAnsi="Times New Roman;serif"/>
          <w:b w:val="false"/>
          <w:color w:val="000000"/>
          <w:sz w:val="24"/>
        </w:rPr>
        <w:t>(11)Make</w:t>
      </w:r>
      <w:r>
        <w:rPr>
          <w:color w:val="000000"/>
        </w:rPr>
        <w:t xml:space="preserve"> </w:t>
      </w:r>
      <w:r>
        <w:rPr>
          <w:rFonts w:ascii="Times New Roman;serif" w:hAnsi="Times New Roman;serif"/>
          <w:b w:val="false"/>
          <w:color w:val="000000"/>
          <w:sz w:val="24"/>
        </w:rPr>
        <w:t>contracts.</w:t>
      </w:r>
    </w:p>
    <w:p>
      <w:pPr>
        <w:pStyle w:val="TextBody"/>
        <w:bidi w:val="0"/>
        <w:spacing w:before="10" w:after="283"/>
        <w:jc w:val="both"/>
        <w:rPr/>
      </w:pPr>
      <w:r>
        <w:rPr/>
      </w:r>
    </w:p>
    <w:p>
      <w:pPr>
        <w:pStyle w:val="TextBody"/>
        <w:bidi w:val="0"/>
        <w:spacing w:lineRule="auto" w:line="288" w:before="0" w:after="0"/>
        <w:ind w:left="0" w:right="0" w:hanging="725"/>
        <w:jc w:val="left"/>
        <w:rPr/>
      </w:pPr>
      <w:r>
        <w:rPr>
          <w:rFonts w:ascii="Times New Roman;serif" w:hAnsi="Times New Roman;serif"/>
          <w:b w:val="false"/>
          <w:color w:val="000000"/>
          <w:sz w:val="24"/>
        </w:rPr>
        <w:t>(12)Generally perform all acts that are legal for a board of directors to</w:t>
      </w:r>
      <w:r>
        <w:rPr>
          <w:color w:val="000000"/>
        </w:rPr>
        <w:t xml:space="preserve"> </w:t>
      </w:r>
      <w:r>
        <w:rPr>
          <w:rFonts w:ascii="Times New Roman;serif" w:hAnsi="Times New Roman;serif"/>
          <w:b w:val="false"/>
          <w:color w:val="000000"/>
          <w:sz w:val="24"/>
        </w:rPr>
        <w:t>perform.</w:t>
      </w:r>
    </w:p>
    <w:p>
      <w:pPr>
        <w:pStyle w:val="TextBody"/>
        <w:bidi w:val="0"/>
        <w:spacing w:before="4" w:after="283"/>
        <w:jc w:val="both"/>
        <w:rPr/>
      </w:pPr>
      <w:r>
        <w:rPr/>
      </w:r>
    </w:p>
    <w:p>
      <w:pPr>
        <w:pStyle w:val="TextBody"/>
        <w:bidi w:val="0"/>
        <w:spacing w:lineRule="auto" w:line="280" w:before="0" w:after="0"/>
        <w:ind w:left="0" w:right="0" w:firstLine="3"/>
        <w:jc w:val="both"/>
        <w:rPr/>
      </w:pPr>
      <w:r>
        <w:rPr>
          <w:rFonts w:ascii="Times New Roman;serif" w:hAnsi="Times New Roman;serif"/>
          <w:b/>
          <w:color w:val="000000"/>
          <w:sz w:val="23"/>
        </w:rPr>
        <w:t xml:space="preserve">SEVENTH. </w:t>
      </w:r>
      <w:r>
        <w:rPr>
          <w:rFonts w:ascii="Times New Roman;serif" w:hAnsi="Times New Roman;serif"/>
          <w:b w:val="false"/>
          <w:color w:val="000000"/>
          <w:sz w:val="24"/>
        </w:rPr>
        <w:t>The board of directors shall have the power to change the location of the main office to any authorized branch within the limits of the city of 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pStyle w:val="TextBody"/>
        <w:bidi w:val="0"/>
        <w:spacing w:before="11" w:after="283"/>
        <w:jc w:val="both"/>
        <w:rPr/>
      </w:pPr>
      <w:r>
        <w:rPr/>
      </w:r>
    </w:p>
    <w:p>
      <w:pPr>
        <w:pStyle w:val="TextBody"/>
        <w:bidi w:val="0"/>
        <w:spacing w:lineRule="auto" w:line="283" w:before="0" w:after="0"/>
        <w:ind w:left="0" w:right="0" w:hanging="3"/>
        <w:jc w:val="both"/>
        <w:rPr/>
      </w:pPr>
      <w:r>
        <w:rPr>
          <w:rFonts w:ascii="Times New Roman;serif" w:hAnsi="Times New Roman;serif"/>
          <w:b/>
          <w:color w:val="000000"/>
          <w:sz w:val="23"/>
        </w:rPr>
        <w:t xml:space="preserve">EIGHTH. </w:t>
      </w:r>
      <w:r>
        <w:rPr>
          <w:rFonts w:ascii="Times New Roman;serif" w:hAnsi="Times New Roman;serif"/>
          <w:b w:val="false"/>
          <w:color w:val="000000"/>
          <w:sz w:val="24"/>
        </w:rPr>
        <w:t>The corporate existence of this Association shall continue until termination according to the laws of the United States.</w:t>
      </w:r>
    </w:p>
    <w:p>
      <w:pPr>
        <w:pStyle w:val="TextBody"/>
        <w:bidi w:val="0"/>
        <w:spacing w:before="9" w:after="283"/>
        <w:jc w:val="both"/>
        <w:rPr/>
      </w:pPr>
      <w:r>
        <w:rPr/>
      </w:r>
    </w:p>
    <w:p>
      <w:pPr>
        <w:pStyle w:val="TextBody"/>
        <w:bidi w:val="0"/>
        <w:spacing w:lineRule="auto" w:line="280" w:before="0" w:after="0"/>
        <w:ind w:left="0" w:right="0" w:firstLine="4"/>
        <w:jc w:val="both"/>
        <w:rPr/>
      </w:pPr>
      <w:r>
        <w:rPr>
          <w:rFonts w:ascii="Times New Roman;serif" w:hAnsi="Times New Roman;serif"/>
          <w:b/>
          <w:color w:val="000000"/>
          <w:sz w:val="23"/>
        </w:rPr>
        <w:t xml:space="preserve">NINTH. </w:t>
      </w:r>
      <w:r>
        <w:rPr>
          <w:rFonts w:ascii="Times New Roman;serif" w:hAnsi="Times New Roman;serif"/>
          <w:b w:val="false"/>
          <w:color w:val="000000"/>
          <w:sz w:val="24"/>
        </w:rPr>
        <w:t>The board of directors of the Association, or any shareholder owning, in the aggregate, not less than 25 percent of the stock of the Association, may 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w:t>
      </w:r>
      <w:r>
        <w:rPr>
          <w:color w:val="000000"/>
        </w:rPr>
        <w:t xml:space="preserve"> </w:t>
      </w:r>
      <w:r>
        <w:rPr>
          <w:rFonts w:ascii="Times New Roman;serif" w:hAnsi="Times New Roman;serif"/>
          <w:b w:val="false"/>
          <w:color w:val="000000"/>
          <w:sz w:val="24"/>
        </w:rPr>
        <w:t>meeting.</w:t>
      </w:r>
    </w:p>
    <w:p>
      <w:pPr>
        <w:pStyle w:val="TextBody"/>
        <w:bidi w:val="0"/>
        <w:spacing w:before="7" w:after="283"/>
        <w:jc w:val="both"/>
        <w:rPr/>
      </w:pPr>
      <w:r>
        <w:rPr/>
      </w:r>
    </w:p>
    <w:p>
      <w:pPr>
        <w:pStyle w:val="TextBody"/>
        <w:bidi w:val="0"/>
        <w:spacing w:lineRule="auto" w:line="280" w:before="0" w:after="0"/>
        <w:ind w:left="0" w:right="0" w:firstLine="1"/>
        <w:jc w:val="both"/>
        <w:rPr/>
      </w:pPr>
      <w:r>
        <w:rPr>
          <w:rFonts w:ascii="Times New Roman;serif" w:hAnsi="Times New Roman;serif"/>
          <w:b/>
          <w:color w:val="000000"/>
          <w:sz w:val="23"/>
        </w:rPr>
        <w:t xml:space="preserve">TENTH. </w:t>
      </w:r>
      <w:r>
        <w:rPr>
          <w:rFonts w:ascii="Times New Roman;serif" w:hAnsi="Times New Roman;serif"/>
          <w:b w:val="false"/>
          <w:color w:val="000000"/>
          <w:sz w:val="24"/>
        </w:rPr>
        <w:t>These Articles of Association may be amended at any regular or special meeting of the shareholders by the affirmative vote of the holders of a 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w:t>
      </w:r>
      <w:r>
        <w:rPr>
          <w:color w:val="000000"/>
        </w:rPr>
        <w:t xml:space="preserve"> </w:t>
      </w:r>
      <w:r>
        <w:rPr>
          <w:rFonts w:ascii="Times New Roman;serif" w:hAnsi="Times New Roman;serif"/>
          <w:b w:val="false"/>
          <w:color w:val="000000"/>
          <w:sz w:val="24"/>
        </w:rPr>
        <w:t>shareholders.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3"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64" w:after="283"/>
        <w:jc w:val="both"/>
        <w:rPr/>
      </w:pPr>
      <w:r>
        <w:rPr>
          <w:rFonts w:ascii="Times New Roman;serif" w:hAnsi="Times New Roman;serif"/>
          <w:b w:val="false"/>
          <w:color w:val="000000"/>
          <w:sz w:val="24"/>
        </w:rPr>
        <w:t>In witness whereof, we have hereunto set our hands this</w:t>
      </w:r>
      <w:r>
        <w:rPr>
          <w:color w:val="000000"/>
        </w:rPr>
        <w:t xml:space="preserve"> </w:t>
      </w:r>
      <w:r>
        <w:rPr>
          <w:rFonts w:ascii="Times New Roman;serif" w:hAnsi="Times New Roman;serif"/>
          <w:b w:val="false"/>
          <w:color w:val="000000"/>
          <w:sz w:val="23"/>
          <w:u w:val="single"/>
        </w:rPr>
        <w:t>11</w:t>
      </w:r>
      <w:r>
        <w:rPr>
          <w:rFonts w:ascii="Times New Roman;serif" w:hAnsi="Times New Roman;serif"/>
          <w:b w:val="false"/>
          <w:color w:val="000000"/>
          <w:sz w:val="15"/>
          <w:u w:val="single"/>
        </w:rPr>
        <w:t>th</w:t>
      </w:r>
      <w:r>
        <w:rPr>
          <w:color w:val="000000"/>
        </w:rPr>
        <w:t xml:space="preserve"> </w:t>
      </w:r>
      <w:r>
        <w:rPr>
          <w:rFonts w:ascii="Times New Roman;serif" w:hAnsi="Times New Roman;serif"/>
          <w:b w:val="false"/>
          <w:color w:val="000000"/>
          <w:sz w:val="24"/>
        </w:rPr>
        <w:t>of June,</w:t>
      </w:r>
      <w:r>
        <w:rPr>
          <w:color w:val="000000"/>
        </w:rPr>
        <w:t xml:space="preserve"> </w:t>
      </w:r>
      <w:r>
        <w:rPr>
          <w:rFonts w:ascii="Times New Roman;serif" w:hAnsi="Times New Roman;serif"/>
          <w:b w:val="false"/>
          <w:color w:val="000000"/>
          <w:sz w:val="24"/>
        </w:rPr>
        <w:t>1997.</w:t>
      </w:r>
    </w:p>
    <w:p>
      <w:pPr>
        <w:pStyle w:val="TextBody"/>
        <w:bidi w:val="0"/>
        <w:spacing w:before="0" w:after="0"/>
        <w:jc w:val="both"/>
        <w:rPr/>
      </w:pPr>
      <w:r>
        <w:rPr/>
      </w:r>
    </w:p>
    <w:p>
      <w:pPr>
        <w:pStyle w:val="TextBody"/>
        <w:bidi w:val="0"/>
        <w:spacing w:before="10" w:after="283"/>
        <w:jc w:val="both"/>
        <w:rPr/>
      </w:pPr>
      <w:r>
        <w:rPr/>
        <w:drawing>
          <wp:inline distT="0" distB="0" distL="0" distR="0">
            <wp:extent cx="2076450" cy="2638425"/>
            <wp:effectExtent l="0" t="0" r="0" b="0"/>
            <wp:docPr id="3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4" descr=""/>
                    <pic:cNvPicPr>
                      <a:picLocks noChangeAspect="1" noChangeArrowheads="1"/>
                    </pic:cNvPicPr>
                  </pic:nvPicPr>
                  <pic:blipFill>
                    <a:blip r:embed="rId17"/>
                    <a:stretch>
                      <a:fillRect/>
                    </a:stretch>
                  </pic:blipFill>
                  <pic:spPr bwMode="auto">
                    <a:xfrm>
                      <a:off x="0" y="0"/>
                      <a:ext cx="2076450" cy="2638425"/>
                    </a:xfrm>
                    <a:prstGeom prst="rect">
                      <a:avLst/>
                    </a:prstGeom>
                  </pic:spPr>
                </pic:pic>
              </a:graphicData>
            </a:graphic>
          </wp:inline>
        </w:drawing>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5"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drawing>
          <wp:inline distT="0" distB="0" distL="0" distR="0">
            <wp:extent cx="5314950" cy="6648450"/>
            <wp:effectExtent l="0" t="0" r="0" b="0"/>
            <wp:docPr id="3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5" descr=""/>
                    <pic:cNvPicPr>
                      <a:picLocks noChangeAspect="1" noChangeArrowheads="1"/>
                    </pic:cNvPicPr>
                  </pic:nvPicPr>
                  <pic:blipFill>
                    <a:blip r:embed="rId18"/>
                    <a:stretch>
                      <a:fillRect/>
                    </a:stretch>
                  </pic:blipFill>
                  <pic:spPr bwMode="auto">
                    <a:xfrm>
                      <a:off x="0" y="0"/>
                      <a:ext cx="5314950" cy="66484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4</w:t>
      </w:r>
    </w:p>
    <w:p>
      <w:pPr>
        <w:pStyle w:val="TextBody"/>
        <w:bidi w:val="0"/>
        <w:spacing w:before="0" w:after="0"/>
        <w:jc w:val="center"/>
        <w:rPr/>
      </w:pPr>
      <w:r>
        <w:rPr/>
      </w:r>
    </w:p>
    <w:p>
      <w:pPr>
        <w:pStyle w:val="TextBody"/>
        <w:bidi w:val="0"/>
        <w:spacing w:lineRule="auto" w:line="556" w:before="76" w:after="283"/>
        <w:ind w:left="0" w:right="0" w:hanging="1196"/>
        <w:jc w:val="center"/>
        <w:rPr/>
      </w:pPr>
      <w:r>
        <w:rPr>
          <w:rFonts w:ascii="Times New Roman;serif" w:hAnsi="Times New Roman;serif"/>
          <w:b/>
          <w:color w:val="000000"/>
          <w:sz w:val="24"/>
        </w:rPr>
        <w:t xml:space="preserve">U.S. BANK TRUST COMPANY, NATIONAL ASSOCIATION </w:t>
      </w:r>
      <w:r>
        <w:rPr>
          <w:rFonts w:ascii="Times New Roman;serif" w:hAnsi="Times New Roman;serif"/>
          <w:b/>
          <w:color w:val="000000"/>
          <w:sz w:val="24"/>
          <w:u w:val="single"/>
        </w:rPr>
        <w:t>AMENDED AND RESTATED BYLAWS</w:t>
      </w:r>
    </w:p>
    <w:p>
      <w:pPr>
        <w:pStyle w:val="TextBody"/>
        <w:bidi w:val="0"/>
        <w:spacing w:lineRule="atLeast" w:line="298" w:before="71" w:after="283"/>
        <w:jc w:val="center"/>
        <w:rPr/>
      </w:pPr>
      <w:r>
        <w:rPr>
          <w:rFonts w:ascii="Times New Roman;serif" w:hAnsi="Times New Roman;serif"/>
          <w:b w:val="false"/>
          <w:color w:val="000000"/>
          <w:sz w:val="24"/>
          <w:u w:val="single"/>
        </w:rPr>
        <w:t>ARTICLE</w:t>
      </w:r>
      <w:r>
        <w:rPr>
          <w:color w:val="000000"/>
          <w:u w:val="single"/>
        </w:rPr>
        <w:t xml:space="preserve"> </w:t>
      </w:r>
      <w:r>
        <w:rPr>
          <w:rFonts w:ascii="Times New Roman;serif" w:hAnsi="Times New Roman;serif"/>
          <w:b w:val="false"/>
          <w:color w:val="000000"/>
          <w:sz w:val="24"/>
          <w:u w:val="single"/>
        </w:rPr>
        <w:t>I</w:t>
      </w:r>
    </w:p>
    <w:p>
      <w:pPr>
        <w:pStyle w:val="TextBody"/>
        <w:bidi w:val="0"/>
        <w:spacing w:lineRule="atLeast" w:line="29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Meetings of Shareholders</w:t>
      </w:r>
    </w:p>
    <w:p>
      <w:pPr>
        <w:pStyle w:val="TextBody"/>
        <w:bidi w:val="0"/>
        <w:spacing w:before="8" w:after="283"/>
        <w:jc w:val="both"/>
        <w:rPr/>
      </w:pPr>
      <w:r>
        <w:rPr/>
      </w:r>
    </w:p>
    <w:p>
      <w:pPr>
        <w:pStyle w:val="TextBody"/>
        <w:bidi w:val="0"/>
        <w:spacing w:lineRule="auto" w:line="288" w:before="91" w:after="283"/>
        <w:ind w:left="0" w:right="0" w:firstLine="720"/>
        <w:jc w:val="both"/>
        <w:rPr/>
      </w:pPr>
      <w:r>
        <w:rPr>
          <w:rFonts w:ascii="Times New Roman;serif" w:hAnsi="Times New Roman;serif"/>
          <w:b w:val="false"/>
          <w:color w:val="000000"/>
          <w:sz w:val="24"/>
        </w:rPr>
        <w:t xml:space="preserve">Section 1.1. </w:t>
      </w:r>
      <w:r>
        <w:rPr>
          <w:rFonts w:ascii="Times New Roman;serif" w:hAnsi="Times New Roman;serif"/>
          <w:b w:val="false"/>
          <w:color w:val="000000"/>
          <w:sz w:val="24"/>
          <w:u w:val="single"/>
        </w:rPr>
        <w:t>Annual Meeting</w:t>
      </w:r>
      <w:r>
        <w:rPr>
          <w:rFonts w:ascii="Times New Roman;serif" w:hAnsi="Times New Roman;serif"/>
          <w:b w:val="false"/>
          <w:color w:val="000000"/>
          <w:sz w:val="24"/>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pStyle w:val="TextBody"/>
        <w:bidi w:val="0"/>
        <w:spacing w:before="1" w:after="283"/>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1.2. </w:t>
      </w:r>
      <w:r>
        <w:rPr>
          <w:rFonts w:ascii="Times New Roman;serif" w:hAnsi="Times New Roman;serif"/>
          <w:b w:val="false"/>
          <w:color w:val="000000"/>
          <w:sz w:val="24"/>
          <w:u w:val="single"/>
        </w:rPr>
        <w:t>Special Meetings</w:t>
      </w:r>
      <w:r>
        <w:rPr>
          <w:rFonts w:ascii="Times New Roman;serif" w:hAnsi="Times New Roman;serif"/>
          <w:b w:val="false"/>
          <w:color w:val="000000"/>
          <w:sz w:val="24"/>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Every such special meeting, unless otherwise provided by law, shall be called upon not less than ten (10) days nor more than sixty (60) days prior notice stating the purpose of the meeting.</w:t>
      </w:r>
    </w:p>
    <w:p>
      <w:pPr>
        <w:pStyle w:val="TextBody"/>
        <w:bidi w:val="0"/>
        <w:spacing w:before="12" w:after="283"/>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1.3. </w:t>
      </w:r>
      <w:r>
        <w:rPr>
          <w:rFonts w:ascii="Times New Roman;serif" w:hAnsi="Times New Roman;serif"/>
          <w:b w:val="false"/>
          <w:color w:val="000000"/>
          <w:sz w:val="24"/>
          <w:u w:val="single"/>
        </w:rPr>
        <w:t>Nominations for Directors</w:t>
      </w:r>
      <w:r>
        <w:rPr>
          <w:rFonts w:ascii="Times New Roman;serif" w:hAnsi="Times New Roman;serif"/>
          <w:b w:val="false"/>
          <w:color w:val="000000"/>
          <w:sz w:val="24"/>
        </w:rPr>
        <w:t>. Nominations for election to the Board may be made by the Board or by any shareholder.</w:t>
      </w:r>
    </w:p>
    <w:p>
      <w:pPr>
        <w:pStyle w:val="TextBody"/>
        <w:bidi w:val="0"/>
        <w:spacing w:before="0" w:after="0"/>
        <w:jc w:val="both"/>
        <w:rPr/>
      </w:pPr>
      <w:r>
        <w:rPr/>
      </w:r>
    </w:p>
    <w:p>
      <w:pPr>
        <w:pStyle w:val="TextBody"/>
        <w:bidi w:val="0"/>
        <w:spacing w:lineRule="auto" w:line="288" w:before="1" w:after="283"/>
        <w:ind w:left="0" w:right="0" w:firstLine="720"/>
        <w:jc w:val="both"/>
        <w:rPr/>
      </w:pPr>
      <w:r>
        <w:rPr>
          <w:rFonts w:ascii="Times New Roman;serif" w:hAnsi="Times New Roman;serif"/>
          <w:b w:val="false"/>
          <w:color w:val="000000"/>
          <w:sz w:val="24"/>
        </w:rPr>
        <w:t xml:space="preserve">Section 1.4. </w:t>
      </w:r>
      <w:r>
        <w:rPr>
          <w:rFonts w:ascii="Times New Roman;serif" w:hAnsi="Times New Roman;serif"/>
          <w:b w:val="false"/>
          <w:color w:val="000000"/>
          <w:sz w:val="24"/>
          <w:u w:val="single"/>
        </w:rPr>
        <w:t>Proxies</w:t>
      </w:r>
      <w:r>
        <w:rPr>
          <w:rFonts w:ascii="Times New Roman;serif" w:hAnsi="Times New Roman;serif"/>
          <w:b w:val="false"/>
          <w:color w:val="000000"/>
          <w:sz w:val="24"/>
        </w:rPr>
        <w:t>. Shareholders may vote at any meeting of the shareholders by proxies duly authorized in writing. Proxies shall be valid only for one meeting and any adjournments of such meeting and shall be filed with the records of the meeting.</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1.5. </w:t>
      </w:r>
      <w:r>
        <w:rPr>
          <w:rFonts w:ascii="Times New Roman;serif" w:hAnsi="Times New Roman;serif"/>
          <w:b w:val="false"/>
          <w:color w:val="000000"/>
          <w:sz w:val="24"/>
          <w:u w:val="single"/>
        </w:rPr>
        <w:t>Record Date</w:t>
      </w:r>
      <w:r>
        <w:rPr>
          <w:rFonts w:ascii="Times New Roman;serif" w:hAnsi="Times New Roman;serif"/>
          <w:b w:val="false"/>
          <w:color w:val="000000"/>
          <w:sz w:val="24"/>
        </w:rPr>
        <w:t>. The record date for determining shareholders entitled to notice and to vote at any meeting will be thirty days before the date of such meeting, unless otherwise determined by the Board.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1.6. </w:t>
      </w:r>
      <w:r>
        <w:rPr>
          <w:rFonts w:ascii="Times New Roman;serif" w:hAnsi="Times New Roman;serif"/>
          <w:b w:val="false"/>
          <w:color w:val="000000"/>
          <w:sz w:val="24"/>
          <w:u w:val="single"/>
        </w:rPr>
        <w:t>Quorum and Voting</w:t>
      </w:r>
      <w:r>
        <w:rPr>
          <w:rFonts w:ascii="Times New Roman;serif" w:hAnsi="Times New Roman;serif"/>
          <w:b w:val="false"/>
          <w:color w:val="000000"/>
          <w:sz w:val="24"/>
        </w:rPr>
        <w:t>. A majority of the outstanding capital stock, represented in person or by proxy, shall constitute a quorum at 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77" w:after="283"/>
        <w:jc w:val="both"/>
        <w:rPr>
          <w:rFonts w:ascii="Times New Roman;serif" w:hAnsi="Times New Roman;serif"/>
          <w:b w:val="false"/>
          <w:color w:val="000000"/>
          <w:sz w:val="24"/>
        </w:rPr>
      </w:pPr>
      <w:r>
        <w:rPr>
          <w:rFonts w:ascii="Times New Roman;serif" w:hAnsi="Times New Roman;serif"/>
          <w:b w:val="false"/>
          <w:color w:val="000000"/>
          <w:sz w:val="24"/>
        </w:rPr>
        <w:t>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pStyle w:val="TextBody"/>
        <w:bidi w:val="0"/>
        <w:spacing w:before="12" w:after="283"/>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1.7. </w:t>
      </w:r>
      <w:r>
        <w:rPr>
          <w:rFonts w:ascii="Times New Roman;serif" w:hAnsi="Times New Roman;serif"/>
          <w:b w:val="false"/>
          <w:color w:val="000000"/>
          <w:sz w:val="24"/>
          <w:u w:val="single"/>
        </w:rPr>
        <w:t>Inspectors</w:t>
      </w:r>
      <w:r>
        <w:rPr>
          <w:rFonts w:ascii="Times New Roman;serif" w:hAnsi="Times New Roman;serif"/>
          <w:b w:val="false"/>
          <w:color w:val="000000"/>
          <w:sz w:val="24"/>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1.8. </w:t>
      </w:r>
      <w:r>
        <w:rPr>
          <w:rFonts w:ascii="Times New Roman;serif" w:hAnsi="Times New Roman;serif"/>
          <w:b w:val="false"/>
          <w:color w:val="000000"/>
          <w:sz w:val="24"/>
          <w:u w:val="single"/>
        </w:rPr>
        <w:t>Waiver and Consent</w:t>
      </w:r>
      <w:r>
        <w:rPr>
          <w:rFonts w:ascii="Times New Roman;serif" w:hAnsi="Times New Roman;serif"/>
          <w:b w:val="false"/>
          <w:color w:val="000000"/>
          <w:sz w:val="24"/>
        </w:rPr>
        <w:t>. The shareholders may act without notice or a meeting by a unanimous written consent by all shareholders.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1.9. </w:t>
      </w:r>
      <w:r>
        <w:rPr>
          <w:rFonts w:ascii="Times New Roman;serif" w:hAnsi="Times New Roman;serif"/>
          <w:b w:val="false"/>
          <w:color w:val="000000"/>
          <w:sz w:val="24"/>
          <w:u w:val="single"/>
        </w:rPr>
        <w:t>Remote Meetings</w:t>
      </w:r>
      <w:r>
        <w:rPr>
          <w:rFonts w:ascii="Times New Roman;serif" w:hAnsi="Times New Roman;serif"/>
          <w:b w:val="false"/>
          <w:color w:val="000000"/>
          <w:sz w:val="24"/>
        </w:rPr>
        <w:t>. The Board shall have the right to determine that a shareholder meeting not be held at a place, but instead be held solely by means of remote communication in the manner and to the extent permitted by the General Corporation Law of the State of Delaware.</w:t>
      </w:r>
    </w:p>
    <w:p>
      <w:pPr>
        <w:pStyle w:val="TextBody"/>
        <w:bidi w:val="0"/>
        <w:spacing w:before="12" w:after="283"/>
        <w:jc w:val="both"/>
        <w:rPr/>
      </w:pPr>
      <w:r>
        <w:rPr/>
      </w:r>
    </w:p>
    <w:p>
      <w:pPr>
        <w:pStyle w:val="TextBody"/>
        <w:bidi w:val="0"/>
        <w:spacing w:lineRule="auto" w:line="288" w:before="0" w:after="0"/>
        <w:jc w:val="center"/>
        <w:rPr/>
      </w:pPr>
      <w:r>
        <w:rPr>
          <w:rFonts w:ascii="Times New Roman;serif" w:hAnsi="Times New Roman;serif"/>
          <w:b w:val="false"/>
          <w:color w:val="000000"/>
          <w:sz w:val="24"/>
          <w:u w:val="single"/>
        </w:rPr>
        <w:t>ARTICLE</w:t>
      </w:r>
      <w:r>
        <w:rPr>
          <w:color w:val="000000"/>
          <w:u w:val="single"/>
        </w:rPr>
        <w:t xml:space="preserve"> </w:t>
      </w:r>
      <w:r>
        <w:rPr>
          <w:rFonts w:ascii="Times New Roman;serif" w:hAnsi="Times New Roman;serif"/>
          <w:b w:val="false"/>
          <w:color w:val="000000"/>
          <w:sz w:val="24"/>
          <w:u w:val="single"/>
        </w:rPr>
        <w:t>II</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Directors</w:t>
      </w:r>
    </w:p>
    <w:p>
      <w:pPr>
        <w:pStyle w:val="TextBody"/>
        <w:bidi w:val="0"/>
        <w:spacing w:before="8" w:after="283"/>
        <w:jc w:val="both"/>
        <w:rPr/>
      </w:pPr>
      <w:r>
        <w:rPr/>
      </w:r>
    </w:p>
    <w:p>
      <w:pPr>
        <w:pStyle w:val="TextBody"/>
        <w:bidi w:val="0"/>
        <w:spacing w:lineRule="auto" w:line="288" w:before="92" w:after="283"/>
        <w:ind w:left="0" w:right="0" w:firstLine="720"/>
        <w:jc w:val="both"/>
        <w:rPr/>
      </w:pPr>
      <w:r>
        <w:rPr>
          <w:rFonts w:ascii="Times New Roman;serif" w:hAnsi="Times New Roman;serif"/>
          <w:b w:val="false"/>
          <w:color w:val="000000"/>
          <w:sz w:val="24"/>
        </w:rPr>
        <w:t xml:space="preserve">Section 2.1. </w:t>
      </w:r>
      <w:r>
        <w:rPr>
          <w:rFonts w:ascii="Times New Roman;serif" w:hAnsi="Times New Roman;serif"/>
          <w:b w:val="false"/>
          <w:color w:val="000000"/>
          <w:sz w:val="24"/>
          <w:u w:val="single"/>
        </w:rPr>
        <w:t>Board of Directors</w:t>
      </w:r>
      <w:r>
        <w:rPr>
          <w:rFonts w:ascii="Times New Roman;serif" w:hAnsi="Times New Roman;serif"/>
          <w:b w:val="false"/>
          <w:color w:val="000000"/>
          <w:sz w:val="24"/>
        </w:rPr>
        <w:t>. The Board shall have the power to manage and administer the business and affairs of the Association. Except as expressly limited by law, all corporate powers of the Association shall be vested in and may be exercised by the Board.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2.2. </w:t>
      </w:r>
      <w:r>
        <w:rPr>
          <w:rFonts w:ascii="Times New Roman;serif" w:hAnsi="Times New Roman;serif"/>
          <w:b w:val="false"/>
          <w:color w:val="000000"/>
          <w:sz w:val="24"/>
          <w:u w:val="single"/>
        </w:rPr>
        <w:t>Term of Office</w:t>
      </w:r>
      <w:r>
        <w:rPr>
          <w:rFonts w:ascii="Times New Roman;serif" w:hAnsi="Times New Roman;serif"/>
          <w:b w:val="false"/>
          <w:color w:val="000000"/>
          <w:sz w:val="24"/>
        </w:rPr>
        <w:t>. The directors of this Association shall hold office for one year and until their successors are duly elected and qualified, or until their earlier resignation or removal.</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2.3. </w:t>
      </w:r>
      <w:r>
        <w:rPr>
          <w:rFonts w:ascii="Times New Roman;serif" w:hAnsi="Times New Roman;serif"/>
          <w:b w:val="false"/>
          <w:color w:val="000000"/>
          <w:sz w:val="24"/>
          <w:u w:val="single"/>
        </w:rPr>
        <w:t>Powers</w:t>
      </w:r>
      <w:r>
        <w:rPr>
          <w:rFonts w:ascii="Times New Roman;serif" w:hAnsi="Times New Roman;serif"/>
          <w:b w:val="false"/>
          <w:color w:val="000000"/>
          <w:sz w:val="24"/>
        </w:rPr>
        <w:t>. In addition to the foregoing, the Board shall have and may exercise all of the powers granted to or conferred upon it by the Articles of Association, the Bylaws and by law.</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2.4. </w:t>
      </w:r>
      <w:r>
        <w:rPr>
          <w:rFonts w:ascii="Times New Roman;serif" w:hAnsi="Times New Roman;serif"/>
          <w:b w:val="false"/>
          <w:color w:val="000000"/>
          <w:sz w:val="24"/>
          <w:u w:val="single"/>
        </w:rPr>
        <w:t>Number</w:t>
      </w:r>
      <w:r>
        <w:rPr>
          <w:rFonts w:ascii="Times New Roman;serif" w:hAnsi="Times New Roman;serif"/>
          <w:b w:val="false"/>
          <w:color w:val="000000"/>
          <w:sz w:val="24"/>
        </w:rPr>
        <w:t>. As provided in the Articles of Association, the Board of this Association shall consist of no less than five nor more than twenty-five members, unless the OCC has exempted the Association from the twenty-five- 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w:t>
      </w:r>
    </w:p>
    <w:p>
      <w:pPr>
        <w:pStyle w:val="TextBody"/>
        <w:bidi w:val="0"/>
        <w:spacing w:lineRule="auto" w:line="288" w:before="77" w:after="283"/>
        <w:jc w:val="both"/>
        <w:rPr>
          <w:rFonts w:ascii="Times New Roman;serif" w:hAnsi="Times New Roman;serif"/>
          <w:b w:val="false"/>
          <w:color w:val="000000"/>
          <w:sz w:val="24"/>
        </w:rPr>
      </w:pPr>
      <w:r>
        <w:rPr>
          <w:rFonts w:ascii="Times New Roman;serif" w:hAnsi="Times New Roman;serif"/>
          <w:b w:val="false"/>
          <w:color w:val="000000"/>
          <w:sz w:val="24"/>
        </w:rPr>
        <w:t xml:space="preserve">by a majority vote of the full Board may increase the size of the Board but not to more than a total of twenty-five directors, and fill any vacancy so created in the Board; provided that the Board may increase the number of directors only by up to two </w:t>
      </w: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781685"/>
                <wp:effectExtent l="0" t="0" r="0" b="0"/>
                <wp:wrapNone/>
                <wp:docPr id="39" name="Frame34"/>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1" w:after="283"/>
                                    <w:jc w:val="both"/>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1" w:after="283"/>
                              <w:jc w:val="both"/>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7" w:after="283"/>
        <w:jc w:val="both"/>
        <w:rPr>
          <w:rFonts w:ascii="Times New Roman;serif" w:hAnsi="Times New Roman;serif"/>
          <w:b w:val="false"/>
          <w:color w:val="000000"/>
          <w:sz w:val="24"/>
        </w:rPr>
      </w:pPr>
      <w:r>
        <w:rPr>
          <w:rFonts w:ascii="Times New Roman;serif" w:hAnsi="Times New Roman;serif"/>
          <w:b w:val="false"/>
          <w:color w:val="000000"/>
          <w:sz w:val="24"/>
        </w:rPr>
        <w:t>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pStyle w:val="TextBody"/>
        <w:bidi w:val="0"/>
        <w:spacing w:before="11" w:after="283"/>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2.5. </w:t>
      </w:r>
      <w:r>
        <w:rPr>
          <w:rFonts w:ascii="Times New Roman;serif" w:hAnsi="Times New Roman;serif"/>
          <w:b w:val="false"/>
          <w:color w:val="000000"/>
          <w:sz w:val="24"/>
          <w:u w:val="single"/>
        </w:rPr>
        <w:t>Organization Meeting</w:t>
      </w:r>
      <w:r>
        <w:rPr>
          <w:rFonts w:ascii="Times New Roman;serif" w:hAnsi="Times New Roman;serif"/>
          <w:b w:val="false"/>
          <w:color w:val="000000"/>
          <w:sz w:val="24"/>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w:t>
      </w:r>
      <w:r>
        <w:rPr>
          <w:color w:val="000000"/>
        </w:rPr>
        <w:t xml:space="preserve"> </w:t>
      </w:r>
      <w:r>
        <w:rPr>
          <w:rFonts w:ascii="Times New Roman;serif" w:hAnsi="Times New Roman;serif"/>
          <w:b w:val="false"/>
          <w:color w:val="000000"/>
          <w:sz w:val="24"/>
        </w:rPr>
        <w:t>obtained.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2.6. </w:t>
      </w:r>
      <w:r>
        <w:rPr>
          <w:rFonts w:ascii="Times New Roman;serif" w:hAnsi="Times New Roman;serif"/>
          <w:b w:val="false"/>
          <w:color w:val="000000"/>
          <w:sz w:val="24"/>
          <w:u w:val="single"/>
        </w:rPr>
        <w:t>Regular Meetings</w:t>
      </w:r>
      <w:r>
        <w:rPr>
          <w:rFonts w:ascii="Times New Roman;serif" w:hAnsi="Times New Roman;serif"/>
          <w:b w:val="false"/>
          <w:color w:val="000000"/>
          <w:sz w:val="24"/>
        </w:rPr>
        <w:t>. The regular meetings of the Board shall be held, without notice, as the Chairman or President may designate and deem suitable.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2.7. </w:t>
      </w:r>
      <w:r>
        <w:rPr>
          <w:rFonts w:ascii="Times New Roman;serif" w:hAnsi="Times New Roman;serif"/>
          <w:b w:val="false"/>
          <w:color w:val="000000"/>
          <w:sz w:val="24"/>
          <w:u w:val="single"/>
        </w:rPr>
        <w:t>Special Meetings</w:t>
      </w:r>
      <w:r>
        <w:rPr>
          <w:rFonts w:ascii="Times New Roman;serif" w:hAnsi="Times New Roman;serif"/>
          <w:b w:val="false"/>
          <w:color w:val="000000"/>
          <w:sz w:val="24"/>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w:t>
      </w:r>
      <w:r>
        <w:rPr>
          <w:color w:val="000000"/>
        </w:rPr>
        <w:t xml:space="preserve"> </w:t>
      </w:r>
      <w:r>
        <w:rPr>
          <w:rFonts w:ascii="Times New Roman;serif" w:hAnsi="Times New Roman;serif"/>
          <w:b w:val="false"/>
          <w:color w:val="000000"/>
          <w:sz w:val="24"/>
        </w:rPr>
        <w:t>meeting.</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2.8. </w:t>
      </w:r>
      <w:r>
        <w:rPr>
          <w:rFonts w:ascii="Times New Roman;serif" w:hAnsi="Times New Roman;serif"/>
          <w:b w:val="false"/>
          <w:color w:val="000000"/>
          <w:sz w:val="24"/>
          <w:u w:val="single"/>
        </w:rPr>
        <w:t>Quorum and Necessary Vote</w:t>
      </w:r>
      <w:r>
        <w:rPr>
          <w:rFonts w:ascii="Times New Roman;serif" w:hAnsi="Times New Roman;serif"/>
          <w:b w:val="false"/>
          <w:color w:val="000000"/>
          <w:sz w:val="24"/>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w:t>
      </w:r>
      <w:r>
        <w:rPr>
          <w:color w:val="000000"/>
        </w:rPr>
        <w:t xml:space="preserve"> </w:t>
      </w:r>
      <w:r>
        <w:rPr>
          <w:rFonts w:ascii="Times New Roman;serif" w:hAnsi="Times New Roman;serif"/>
          <w:b w:val="false"/>
          <w:color w:val="000000"/>
          <w:sz w:val="24"/>
        </w:rPr>
        <w:t>Board.</w:t>
      </w:r>
    </w:p>
    <w:p>
      <w:pPr>
        <w:pStyle w:val="TextBody"/>
        <w:bidi w:val="0"/>
        <w:spacing w:before="0" w:after="0"/>
        <w:jc w:val="left"/>
        <w:rPr/>
      </w:pPr>
      <w:r>
        <w:rPr/>
      </w:r>
    </w:p>
    <w:p>
      <w:pPr>
        <w:pStyle w:val="TextBody"/>
        <w:bidi w:val="0"/>
        <w:spacing w:lineRule="auto" w:line="288" w:before="77" w:after="283"/>
        <w:ind w:left="0" w:right="0" w:firstLine="720"/>
        <w:jc w:val="both"/>
        <w:rPr/>
      </w:pPr>
      <w:r>
        <w:rPr>
          <w:rFonts w:ascii="Times New Roman;serif" w:hAnsi="Times New Roman;serif"/>
          <w:b w:val="false"/>
          <w:color w:val="000000"/>
          <w:sz w:val="24"/>
        </w:rPr>
        <w:t xml:space="preserve">Section 2.9. </w:t>
      </w:r>
      <w:r>
        <w:rPr>
          <w:rFonts w:ascii="Times New Roman;serif" w:hAnsi="Times New Roman;serif"/>
          <w:b w:val="false"/>
          <w:color w:val="000000"/>
          <w:sz w:val="24"/>
          <w:u w:val="single"/>
        </w:rPr>
        <w:t>Written Consent</w:t>
      </w:r>
      <w:r>
        <w:rPr>
          <w:rFonts w:ascii="Times New Roman;serif" w:hAnsi="Times New Roman;serif"/>
          <w:b w:val="false"/>
          <w:color w:val="000000"/>
          <w:sz w:val="24"/>
        </w:rPr>
        <w:t>. Except as otherwise required by applicable laws and regulations, the Board may act without a meeting by a unanimous written consent by all directors, to be filed with the Secretary of the Association as part of the corporate records.</w:t>
      </w:r>
    </w:p>
    <w:p>
      <w:pPr>
        <w:pStyle w:val="TextBody"/>
        <w:bidi w:val="0"/>
        <w:spacing w:before="11" w:after="283"/>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2.10. </w:t>
      </w:r>
      <w:r>
        <w:rPr>
          <w:rFonts w:ascii="Times New Roman;serif" w:hAnsi="Times New Roman;serif"/>
          <w:b w:val="false"/>
          <w:color w:val="000000"/>
          <w:sz w:val="24"/>
          <w:u w:val="single"/>
        </w:rPr>
        <w:t>Remote Meetings</w:t>
      </w:r>
      <w:r>
        <w:rPr>
          <w:rFonts w:ascii="Times New Roman;serif" w:hAnsi="Times New Roman;serif"/>
          <w:b w:val="false"/>
          <w:color w:val="000000"/>
          <w:sz w:val="24"/>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81685"/>
                <wp:effectExtent l="0" t="0" r="0" b="0"/>
                <wp:wrapNone/>
                <wp:docPr id="40" name="Frame35"/>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1" w:after="283"/>
                                    <w:jc w:val="both"/>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1" w:after="283"/>
                              <w:jc w:val="both"/>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2.11. </w:t>
      </w:r>
      <w:r>
        <w:rPr>
          <w:rFonts w:ascii="Times New Roman;serif" w:hAnsi="Times New Roman;serif"/>
          <w:b w:val="false"/>
          <w:color w:val="000000"/>
          <w:sz w:val="24"/>
          <w:u w:val="single"/>
        </w:rPr>
        <w:t>Vacancies</w:t>
      </w:r>
      <w:r>
        <w:rPr>
          <w:rFonts w:ascii="Times New Roman;serif" w:hAnsi="Times New Roman;serif"/>
          <w:b w:val="false"/>
          <w:color w:val="000000"/>
          <w:sz w:val="24"/>
        </w:rPr>
        <w:t>. When any vacancy occurs among the directors, the remaining members of the Board may appoint a director to fill such vacancy at any regular meeting of the Board, or at a special meeting called for that purpose.</w:t>
      </w:r>
    </w:p>
    <w:p>
      <w:pPr>
        <w:pStyle w:val="TextBody"/>
        <w:bidi w:val="0"/>
        <w:spacing w:before="1" w:after="283"/>
        <w:jc w:val="both"/>
        <w:rPr/>
      </w:pPr>
      <w:r>
        <w:rPr/>
      </w:r>
    </w:p>
    <w:p>
      <w:pPr>
        <w:pStyle w:val="TextBody"/>
        <w:bidi w:val="0"/>
        <w:spacing w:lineRule="atLeast" w:line="298" w:before="0" w:after="0"/>
        <w:jc w:val="center"/>
        <w:rPr/>
      </w:pPr>
      <w:r>
        <w:rPr>
          <w:rFonts w:ascii="Times New Roman;serif" w:hAnsi="Times New Roman;serif"/>
          <w:b w:val="false"/>
          <w:color w:val="000000"/>
          <w:sz w:val="24"/>
          <w:u w:val="single"/>
        </w:rPr>
        <w:t>ARTICLE</w:t>
      </w:r>
      <w:r>
        <w:rPr>
          <w:color w:val="000000"/>
          <w:u w:val="single"/>
        </w:rPr>
        <w:t xml:space="preserve"> </w:t>
      </w:r>
      <w:r>
        <w:rPr>
          <w:rFonts w:ascii="Times New Roman;serif" w:hAnsi="Times New Roman;serif"/>
          <w:b w:val="false"/>
          <w:color w:val="000000"/>
          <w:sz w:val="24"/>
          <w:u w:val="single"/>
        </w:rPr>
        <w:t>III</w:t>
      </w:r>
    </w:p>
    <w:p>
      <w:pPr>
        <w:pStyle w:val="TextBody"/>
        <w:bidi w:val="0"/>
        <w:spacing w:lineRule="atLeast" w:line="29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Committees</w:t>
      </w:r>
    </w:p>
    <w:p>
      <w:pPr>
        <w:pStyle w:val="TextBody"/>
        <w:bidi w:val="0"/>
        <w:spacing w:before="8" w:after="283"/>
        <w:jc w:val="both"/>
        <w:rPr/>
      </w:pPr>
      <w:r>
        <w:rPr/>
      </w:r>
    </w:p>
    <w:p>
      <w:pPr>
        <w:pStyle w:val="TextBody"/>
        <w:bidi w:val="0"/>
        <w:spacing w:lineRule="auto" w:line="288" w:before="91" w:after="283"/>
        <w:ind w:left="0" w:right="0" w:firstLine="720"/>
        <w:jc w:val="both"/>
        <w:rPr/>
      </w:pPr>
      <w:r>
        <w:rPr>
          <w:rFonts w:ascii="Times New Roman;serif" w:hAnsi="Times New Roman;serif"/>
          <w:b w:val="false"/>
          <w:color w:val="000000"/>
          <w:sz w:val="24"/>
        </w:rPr>
        <w:t xml:space="preserve">Section 3.1. </w:t>
      </w:r>
      <w:r>
        <w:rPr>
          <w:rFonts w:ascii="Times New Roman;serif" w:hAnsi="Times New Roman;serif"/>
          <w:b w:val="false"/>
          <w:color w:val="000000"/>
          <w:sz w:val="24"/>
          <w:u w:val="single"/>
        </w:rPr>
        <w:t>Advisory Board of Directors</w:t>
      </w:r>
      <w:r>
        <w:rPr>
          <w:rFonts w:ascii="Times New Roman;serif" w:hAnsi="Times New Roman;serif"/>
          <w:b w:val="false"/>
          <w:color w:val="000000"/>
          <w:sz w:val="24"/>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3.2. </w:t>
      </w:r>
      <w:r>
        <w:rPr>
          <w:rFonts w:ascii="Times New Roman;serif" w:hAnsi="Times New Roman;serif"/>
          <w:b w:val="false"/>
          <w:color w:val="000000"/>
          <w:sz w:val="24"/>
          <w:u w:val="single"/>
        </w:rPr>
        <w:t>Trust Audit Committee</w:t>
      </w:r>
      <w:r>
        <w:rPr>
          <w:rFonts w:ascii="Times New Roman;serif" w:hAnsi="Times New Roman;serif"/>
          <w:b w:val="false"/>
          <w:color w:val="000000"/>
          <w:sz w:val="24"/>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Audit Committee of the financial holding company that is the ultimate parent of this Association, fulfilling the function of the trust audit committee:</w:t>
      </w:r>
    </w:p>
    <w:p>
      <w:pPr>
        <w:pStyle w:val="TextBody"/>
        <w:bidi w:val="0"/>
        <w:spacing w:before="0" w:after="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81685"/>
                <wp:effectExtent l="0" t="0" r="0" b="0"/>
                <wp:wrapNone/>
                <wp:docPr id="41" name="Frame36"/>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1" w:after="283"/>
                                    <w:jc w:val="both"/>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1" w:after="283"/>
                              <w:jc w:val="both"/>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7" w:after="283"/>
        <w:jc w:val="left"/>
        <w:rPr>
          <w:rFonts w:ascii="Times New Roman;serif" w:hAnsi="Times New Roman;serif"/>
          <w:b w:val="false"/>
          <w:color w:val="000000"/>
          <w:sz w:val="24"/>
        </w:rPr>
      </w:pPr>
      <w:r>
        <w:rPr>
          <w:rFonts w:ascii="Times New Roman;serif" w:hAnsi="Times New Roman;serif"/>
          <w:b w:val="false"/>
          <w:color w:val="000000"/>
          <w:sz w:val="24"/>
        </w:rPr>
        <w:t>(1)Must not include any officers of the Association or an affiliate who participate significantly in the administration of the Association’s fiduciary activities; and</w:t>
      </w:r>
    </w:p>
    <w:p>
      <w:pPr>
        <w:pStyle w:val="TextBody"/>
        <w:bidi w:val="0"/>
        <w:spacing w:before="12" w:after="283"/>
        <w:jc w:val="both"/>
        <w:rPr/>
      </w:pPr>
      <w:r>
        <w:rPr/>
      </w:r>
    </w:p>
    <w:p>
      <w:pPr>
        <w:pStyle w:val="TextBody"/>
        <w:bidi w:val="0"/>
        <w:spacing w:lineRule="auto" w:line="288" w:before="0" w:after="0"/>
        <w:jc w:val="both"/>
        <w:rPr/>
      </w:pPr>
      <w:r>
        <w:rPr>
          <w:rFonts w:ascii="Times New Roman;serif" w:hAnsi="Times New Roman;serif"/>
          <w:b w:val="false"/>
          <w:color w:val="000000"/>
          <w:sz w:val="24"/>
        </w:rPr>
        <w:t>(2)Must consist of a majority of members who are not also members of any committee to which the Board has delegated power to manage and control the fiduciary activities of the</w:t>
      </w:r>
      <w:r>
        <w:rPr>
          <w:color w:val="000000"/>
        </w:rPr>
        <w:t xml:space="preserve"> </w:t>
      </w:r>
      <w:r>
        <w:rPr>
          <w:rFonts w:ascii="Times New Roman;serif" w:hAnsi="Times New Roman;serif"/>
          <w:b w:val="false"/>
          <w:color w:val="000000"/>
          <w:sz w:val="24"/>
        </w:rPr>
        <w:t>Association.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3.3. </w:t>
      </w:r>
      <w:r>
        <w:rPr>
          <w:rFonts w:ascii="Times New Roman;serif" w:hAnsi="Times New Roman;serif"/>
          <w:b w:val="false"/>
          <w:color w:val="000000"/>
          <w:sz w:val="24"/>
          <w:u w:val="single"/>
        </w:rPr>
        <w:t>Executive Committee</w:t>
      </w:r>
      <w:r>
        <w:rPr>
          <w:rFonts w:ascii="Times New Roman;serif" w:hAnsi="Times New Roman;serif"/>
          <w:b w:val="false"/>
          <w:color w:val="000000"/>
          <w:sz w:val="24"/>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pStyle w:val="TextBody"/>
        <w:bidi w:val="0"/>
        <w:spacing w:before="12" w:after="283"/>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3.4. </w:t>
      </w:r>
      <w:r>
        <w:rPr>
          <w:rFonts w:ascii="Times New Roman;serif" w:hAnsi="Times New Roman;serif"/>
          <w:b w:val="false"/>
          <w:color w:val="000000"/>
          <w:sz w:val="24"/>
          <w:u w:val="single"/>
        </w:rPr>
        <w:t>Trust Management Committee</w:t>
      </w:r>
      <w:r>
        <w:rPr>
          <w:rFonts w:ascii="Times New Roman;serif" w:hAnsi="Times New Roman;serif"/>
          <w:b w:val="false"/>
          <w:color w:val="000000"/>
          <w:sz w:val="24"/>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3.5. </w:t>
      </w:r>
      <w:r>
        <w:rPr>
          <w:rFonts w:ascii="Times New Roman;serif" w:hAnsi="Times New Roman;serif"/>
          <w:b w:val="false"/>
          <w:color w:val="000000"/>
          <w:sz w:val="24"/>
          <w:u w:val="single"/>
        </w:rPr>
        <w:t>Other Committees</w:t>
      </w:r>
      <w:r>
        <w:rPr>
          <w:rFonts w:ascii="Times New Roman;serif" w:hAnsi="Times New Roman;serif"/>
          <w:b w:val="false"/>
          <w:color w:val="000000"/>
          <w:sz w:val="24"/>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pStyle w:val="TextBody"/>
        <w:bidi w:val="0"/>
        <w:spacing w:before="12" w:after="283"/>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3.6. </w:t>
      </w:r>
      <w:r>
        <w:rPr>
          <w:rFonts w:ascii="Times New Roman;serif" w:hAnsi="Times New Roman;serif"/>
          <w:b w:val="false"/>
          <w:color w:val="000000"/>
          <w:sz w:val="24"/>
          <w:u w:val="single"/>
        </w:rPr>
        <w:t>Meetings, Minutes and Rules</w:t>
      </w:r>
      <w:r>
        <w:rPr>
          <w:rFonts w:ascii="Times New Roman;serif" w:hAnsi="Times New Roman;serif"/>
          <w:b w:val="false"/>
          <w:color w:val="000000"/>
          <w:sz w:val="24"/>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w:t>
      </w:r>
    </w:p>
    <w:p>
      <w:pPr>
        <w:pStyle w:val="TextBody"/>
        <w:bidi w:val="0"/>
        <w:spacing w:lineRule="auto" w:line="288" w:before="77" w:after="283"/>
        <w:jc w:val="both"/>
        <w:rPr>
          <w:rFonts w:ascii="Times New Roman;serif" w:hAnsi="Times New Roman;serif"/>
          <w:b w:val="false"/>
          <w:color w:val="000000"/>
          <w:sz w:val="24"/>
        </w:rPr>
      </w:pPr>
      <w:r>
        <w:rPr>
          <w:rFonts w:ascii="Times New Roman;serif" w:hAnsi="Times New Roman;serif"/>
          <w:b w:val="false"/>
          <w:color w:val="000000"/>
          <w:sz w:val="24"/>
        </w:rPr>
        <w:t>its purpose, adopt its own rules for the exercise of any of its functions or authority.</w:t>
      </w:r>
    </w:p>
    <w:p>
      <w:pPr>
        <w:pStyle w:val="TextBody"/>
        <w:bidi w:val="0"/>
        <w:spacing w:before="0" w:after="0"/>
        <w:jc w:val="both"/>
        <w:rPr/>
      </w:pPr>
      <w:r>
        <w:rPr/>
      </w:r>
    </w:p>
    <w:p>
      <w:pPr>
        <w:pStyle w:val="TextBody"/>
        <w:bidi w:val="0"/>
        <w:spacing w:before="0" w:after="0"/>
        <w:jc w:val="both"/>
        <w:rPr/>
      </w:pPr>
      <w:r>
        <w:rPr/>
      </w:r>
    </w:p>
    <w:p>
      <w:pPr>
        <w:pStyle w:val="TextBody"/>
        <w:bidi w:val="0"/>
        <w:spacing w:before="11" w:after="283"/>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781685"/>
                <wp:effectExtent l="0" t="0" r="0" b="0"/>
                <wp:wrapNone/>
                <wp:docPr id="42" name="Frame37"/>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1" w:after="283"/>
                                    <w:jc w:val="both"/>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1" w:after="283"/>
                              <w:jc w:val="both"/>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val="false"/>
          <w:color w:val="000000"/>
          <w:sz w:val="24"/>
          <w:u w:val="single"/>
        </w:rPr>
        <w:t>ARTICLE</w:t>
      </w:r>
      <w:r>
        <w:rPr>
          <w:color w:val="000000"/>
          <w:u w:val="single"/>
        </w:rPr>
        <w:t xml:space="preserve"> </w:t>
      </w:r>
      <w:r>
        <w:rPr>
          <w:rFonts w:ascii="Times New Roman;serif" w:hAnsi="Times New Roman;serif"/>
          <w:b w:val="false"/>
          <w:color w:val="000000"/>
          <w:sz w:val="24"/>
          <w:u w:val="single"/>
        </w:rPr>
        <w:t>IV</w:t>
      </w:r>
    </w:p>
    <w:p>
      <w:pPr>
        <w:pStyle w:val="TextBody"/>
        <w:bidi w:val="0"/>
        <w:spacing w:lineRule="auto" w:line="288" w:before="1"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Officers</w:t>
      </w:r>
    </w:p>
    <w:p>
      <w:pPr>
        <w:pStyle w:val="TextBody"/>
        <w:bidi w:val="0"/>
        <w:spacing w:before="8" w:after="283"/>
        <w:jc w:val="both"/>
        <w:rPr/>
      </w:pPr>
      <w:r>
        <w:rPr/>
      </w:r>
    </w:p>
    <w:p>
      <w:pPr>
        <w:pStyle w:val="TextBody"/>
        <w:bidi w:val="0"/>
        <w:spacing w:lineRule="auto" w:line="288" w:before="91" w:after="283"/>
        <w:ind w:left="0" w:right="0" w:firstLine="720"/>
        <w:jc w:val="both"/>
        <w:rPr/>
      </w:pPr>
      <w:r>
        <w:rPr>
          <w:rFonts w:ascii="Times New Roman;serif" w:hAnsi="Times New Roman;serif"/>
          <w:b w:val="false"/>
          <w:color w:val="000000"/>
          <w:sz w:val="24"/>
        </w:rPr>
        <w:t xml:space="preserve">Section 4.1. </w:t>
      </w:r>
      <w:r>
        <w:rPr>
          <w:rFonts w:ascii="Times New Roman;serif" w:hAnsi="Times New Roman;serif"/>
          <w:b w:val="false"/>
          <w:color w:val="000000"/>
          <w:sz w:val="24"/>
          <w:u w:val="single"/>
        </w:rPr>
        <w:t>Chairman of the Board</w:t>
      </w:r>
      <w:r>
        <w:rPr>
          <w:rFonts w:ascii="Times New Roman;serif" w:hAnsi="Times New Roman;serif"/>
          <w:b w:val="false"/>
          <w:color w:val="000000"/>
          <w:sz w:val="24"/>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w:t>
      </w:r>
      <w:r>
        <w:rPr>
          <w:color w:val="000000"/>
        </w:rPr>
        <w:t xml:space="preserve"> </w:t>
      </w:r>
      <w:r>
        <w:rPr>
          <w:rFonts w:ascii="Times New Roman;serif" w:hAnsi="Times New Roman;serif"/>
          <w:b w:val="false"/>
          <w:color w:val="000000"/>
          <w:sz w:val="24"/>
        </w:rPr>
        <w:t>Board.</w:t>
      </w:r>
    </w:p>
    <w:p>
      <w:pPr>
        <w:pStyle w:val="TextBody"/>
        <w:bidi w:val="0"/>
        <w:spacing w:before="12" w:after="283"/>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4.2. </w:t>
      </w:r>
      <w:r>
        <w:rPr>
          <w:rFonts w:ascii="Times New Roman;serif" w:hAnsi="Times New Roman;serif"/>
          <w:b w:val="false"/>
          <w:color w:val="000000"/>
          <w:sz w:val="24"/>
          <w:u w:val="single"/>
        </w:rPr>
        <w:t>President</w:t>
      </w:r>
      <w:r>
        <w:rPr>
          <w:rFonts w:ascii="Times New Roman;serif" w:hAnsi="Times New Roman;serif"/>
          <w:b w:val="false"/>
          <w:color w:val="000000"/>
          <w:sz w:val="24"/>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pStyle w:val="TextBody"/>
        <w:bidi w:val="0"/>
        <w:spacing w:before="1" w:after="283"/>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4.3. </w:t>
      </w:r>
      <w:r>
        <w:rPr>
          <w:rFonts w:ascii="Times New Roman;serif" w:hAnsi="Times New Roman;serif"/>
          <w:b w:val="false"/>
          <w:color w:val="000000"/>
          <w:sz w:val="24"/>
          <w:u w:val="single"/>
        </w:rPr>
        <w:t>Vice President</w:t>
      </w:r>
      <w:r>
        <w:rPr>
          <w:rFonts w:ascii="Times New Roman;serif" w:hAnsi="Times New Roman;serif"/>
          <w:b w:val="false"/>
          <w:color w:val="000000"/>
          <w:sz w:val="24"/>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pStyle w:val="TextBody"/>
        <w:bidi w:val="0"/>
        <w:spacing w:before="12" w:after="283"/>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4.4. </w:t>
      </w:r>
      <w:r>
        <w:rPr>
          <w:rFonts w:ascii="Times New Roman;serif" w:hAnsi="Times New Roman;serif"/>
          <w:b w:val="false"/>
          <w:color w:val="000000"/>
          <w:sz w:val="24"/>
          <w:u w:val="single"/>
        </w:rPr>
        <w:t>Secretary</w:t>
      </w:r>
      <w:r>
        <w:rPr>
          <w:rFonts w:ascii="Times New Roman;serif" w:hAnsi="Times New Roman;serif"/>
          <w:b w:val="false"/>
          <w:color w:val="000000"/>
          <w:sz w:val="24"/>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4.5. </w:t>
      </w:r>
      <w:r>
        <w:rPr>
          <w:rFonts w:ascii="Times New Roman;serif" w:hAnsi="Times New Roman;serif"/>
          <w:b w:val="false"/>
          <w:color w:val="000000"/>
          <w:sz w:val="24"/>
          <w:u w:val="single"/>
        </w:rPr>
        <w:t>Other Officers</w:t>
      </w:r>
      <w:r>
        <w:rPr>
          <w:rFonts w:ascii="Times New Roman;serif" w:hAnsi="Times New Roman;serif"/>
          <w:b w:val="false"/>
          <w:color w:val="000000"/>
          <w:sz w:val="24"/>
        </w:rPr>
        <w:t>. The Board may appoint, and may authorize the Chairman, the President or any other officer to appoint, any officer as from time to time may appear to the Board, the Chairman, the President or such other</w:t>
      </w:r>
    </w:p>
    <w:p>
      <w:pPr>
        <w:pStyle w:val="TextBody"/>
        <w:bidi w:val="0"/>
        <w:spacing w:before="0" w:after="0"/>
        <w:jc w:val="left"/>
        <w:rPr/>
      </w:pPr>
      <w:r>
        <w:rPr/>
      </w:r>
    </w:p>
    <w:p>
      <w:pPr>
        <w:pStyle w:val="TextBody"/>
        <w:bidi w:val="0"/>
        <w:spacing w:lineRule="auto" w:line="288" w:before="77" w:after="283"/>
        <w:jc w:val="both"/>
        <w:rPr>
          <w:rFonts w:ascii="Times New Roman;serif" w:hAnsi="Times New Roman;serif"/>
          <w:b w:val="false"/>
          <w:color w:val="000000"/>
          <w:sz w:val="24"/>
        </w:rPr>
      </w:pPr>
      <w:r>
        <w:rPr>
          <w:rFonts w:ascii="Times New Roman;serif" w:hAnsi="Times New Roman;serif"/>
          <w:b w:val="false"/>
          <w:color w:val="000000"/>
          <w:sz w:val="24"/>
        </w:rPr>
        <w:t>officer to be required or desirable to transact the business of the Association. 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81685"/>
                <wp:effectExtent l="0" t="0" r="0" b="0"/>
                <wp:wrapNone/>
                <wp:docPr id="43" name="Frame38"/>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1" w:after="283"/>
                                    <w:jc w:val="both"/>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1" w:after="283"/>
                              <w:jc w:val="both"/>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4.6. </w:t>
      </w:r>
      <w:r>
        <w:rPr>
          <w:rFonts w:ascii="Times New Roman;serif" w:hAnsi="Times New Roman;serif"/>
          <w:b w:val="false"/>
          <w:color w:val="000000"/>
          <w:sz w:val="24"/>
          <w:u w:val="single"/>
        </w:rPr>
        <w:t>Tenure of Office</w:t>
      </w:r>
      <w:r>
        <w:rPr>
          <w:rFonts w:ascii="Times New Roman;serif" w:hAnsi="Times New Roman;serif"/>
          <w:b w:val="false"/>
          <w:color w:val="000000"/>
          <w:sz w:val="24"/>
        </w:rPr>
        <w:t>. The Chairman or the President and all other officers shall hold office until their respective successors are elected and qualified or until their earlier death, resignation, retirement, disqualification or removal from office, subject to the right of the Board or authorized officer to discharge any officer at any</w:t>
      </w:r>
      <w:r>
        <w:rPr>
          <w:color w:val="000000"/>
        </w:rPr>
        <w:t xml:space="preserve"> </w:t>
      </w:r>
      <w:r>
        <w:rPr>
          <w:rFonts w:ascii="Times New Roman;serif" w:hAnsi="Times New Roman;serif"/>
          <w:b w:val="false"/>
          <w:color w:val="000000"/>
          <w:sz w:val="24"/>
        </w:rPr>
        <w:t>time.</w:t>
      </w:r>
    </w:p>
    <w:p>
      <w:pPr>
        <w:pStyle w:val="TextBody"/>
        <w:bidi w:val="0"/>
        <w:spacing w:before="0" w:after="0"/>
        <w:jc w:val="both"/>
        <w:rPr/>
      </w:pPr>
      <w:r>
        <w:rPr/>
      </w:r>
    </w:p>
    <w:p>
      <w:pPr>
        <w:pStyle w:val="TextBody"/>
        <w:bidi w:val="0"/>
        <w:spacing w:lineRule="atLeast" w:line="298" w:before="0" w:after="0"/>
        <w:jc w:val="center"/>
        <w:rPr/>
      </w:pPr>
      <w:r>
        <w:rPr>
          <w:rFonts w:ascii="Times New Roman;serif" w:hAnsi="Times New Roman;serif"/>
          <w:b w:val="false"/>
          <w:color w:val="000000"/>
          <w:sz w:val="24"/>
          <w:u w:val="single"/>
        </w:rPr>
        <w:t>ARTICLE</w:t>
      </w:r>
      <w:r>
        <w:rPr>
          <w:color w:val="000000"/>
          <w:u w:val="single"/>
        </w:rPr>
        <w:t xml:space="preserve"> </w:t>
      </w:r>
      <w:r>
        <w:rPr>
          <w:rFonts w:ascii="Times New Roman;serif" w:hAnsi="Times New Roman;serif"/>
          <w:b w:val="false"/>
          <w:color w:val="000000"/>
          <w:sz w:val="24"/>
          <w:u w:val="single"/>
        </w:rPr>
        <w:t>V</w:t>
      </w:r>
    </w:p>
    <w:p>
      <w:pPr>
        <w:pStyle w:val="TextBody"/>
        <w:bidi w:val="0"/>
        <w:spacing w:lineRule="atLeast" w:line="29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Stock</w:t>
      </w:r>
    </w:p>
    <w:p>
      <w:pPr>
        <w:pStyle w:val="TextBody"/>
        <w:bidi w:val="0"/>
        <w:spacing w:before="9" w:after="283"/>
        <w:jc w:val="both"/>
        <w:rPr/>
      </w:pPr>
      <w:r>
        <w:rPr/>
      </w:r>
    </w:p>
    <w:p>
      <w:pPr>
        <w:pStyle w:val="TextBody"/>
        <w:bidi w:val="0"/>
        <w:spacing w:lineRule="auto" w:line="288" w:before="91" w:after="283"/>
        <w:ind w:left="0" w:right="0" w:firstLine="720"/>
        <w:jc w:val="both"/>
        <w:rPr/>
      </w:pPr>
      <w:r>
        <w:rPr>
          <w:rFonts w:ascii="Times New Roman;serif" w:hAnsi="Times New Roman;serif"/>
          <w:b w:val="false"/>
          <w:color w:val="000000"/>
          <w:sz w:val="24"/>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w:t>
      </w:r>
      <w:r>
        <w:rPr>
          <w:color w:val="000000"/>
        </w:rPr>
        <w:t xml:space="preserve"> </w:t>
      </w:r>
      <w:r>
        <w:rPr>
          <w:rFonts w:ascii="Times New Roman;serif" w:hAnsi="Times New Roman;serif"/>
          <w:b w:val="false"/>
          <w:color w:val="000000"/>
          <w:sz w:val="24"/>
        </w:rPr>
        <w:t>transfers.</w:t>
      </w:r>
    </w:p>
    <w:p>
      <w:pPr>
        <w:pStyle w:val="TextBody"/>
        <w:bidi w:val="0"/>
        <w:spacing w:before="12" w:after="283"/>
        <w:jc w:val="both"/>
        <w:rPr/>
      </w:pPr>
      <w:r>
        <w:rPr/>
      </w:r>
    </w:p>
    <w:p>
      <w:pPr>
        <w:pStyle w:val="TextBody"/>
        <w:bidi w:val="0"/>
        <w:spacing w:lineRule="auto" w:line="288" w:before="0" w:after="0"/>
        <w:jc w:val="center"/>
        <w:rPr/>
      </w:pPr>
      <w:r>
        <w:rPr>
          <w:rFonts w:ascii="Times New Roman;serif" w:hAnsi="Times New Roman;serif"/>
          <w:b w:val="false"/>
          <w:color w:val="000000"/>
          <w:sz w:val="24"/>
          <w:u w:val="single"/>
        </w:rPr>
        <w:t>ARTICLE</w:t>
      </w:r>
      <w:r>
        <w:rPr>
          <w:color w:val="000000"/>
          <w:u w:val="single"/>
        </w:rPr>
        <w:t xml:space="preserve"> </w:t>
      </w:r>
      <w:r>
        <w:rPr>
          <w:rFonts w:ascii="Times New Roman;serif" w:hAnsi="Times New Roman;serif"/>
          <w:b w:val="false"/>
          <w:color w:val="000000"/>
          <w:sz w:val="24"/>
          <w:u w:val="single"/>
        </w:rPr>
        <w:t>VI</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Corporate Seal</w:t>
      </w:r>
    </w:p>
    <w:p>
      <w:pPr>
        <w:pStyle w:val="TextBody"/>
        <w:bidi w:val="0"/>
        <w:spacing w:before="8" w:after="283"/>
        <w:jc w:val="both"/>
        <w:rPr/>
      </w:pPr>
      <w:r>
        <w:rPr/>
      </w:r>
    </w:p>
    <w:p>
      <w:pPr>
        <w:pStyle w:val="TextBody"/>
        <w:bidi w:val="0"/>
        <w:spacing w:lineRule="auto" w:line="288" w:before="92"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pStyle w:val="TextBody"/>
        <w:bidi w:val="0"/>
        <w:spacing w:before="0" w:after="0"/>
        <w:jc w:val="left"/>
        <w:rPr/>
      </w:pPr>
      <w:r>
        <w:rPr/>
      </w:r>
    </w:p>
    <w:p>
      <w:pPr>
        <w:pStyle w:val="TextBody"/>
        <w:bidi w:val="0"/>
        <w:spacing w:lineRule="atLeast" w:line="298" w:before="77" w:after="283"/>
        <w:jc w:val="center"/>
        <w:rPr/>
      </w:pPr>
      <w:r>
        <w:rPr>
          <w:rFonts w:ascii="Times New Roman;serif" w:hAnsi="Times New Roman;serif"/>
          <w:b w:val="false"/>
          <w:color w:val="000000"/>
          <w:sz w:val="24"/>
          <w:u w:val="single"/>
        </w:rPr>
        <w:t>ARTICLE</w:t>
      </w:r>
      <w:r>
        <w:rPr>
          <w:color w:val="000000"/>
          <w:u w:val="single"/>
        </w:rPr>
        <w:t xml:space="preserve"> </w:t>
      </w:r>
      <w:r>
        <w:rPr>
          <w:rFonts w:ascii="Times New Roman;serif" w:hAnsi="Times New Roman;serif"/>
          <w:b w:val="false"/>
          <w:color w:val="000000"/>
          <w:sz w:val="24"/>
          <w:u w:val="single"/>
        </w:rPr>
        <w:t>VII</w:t>
      </w:r>
    </w:p>
    <w:p>
      <w:pPr>
        <w:pStyle w:val="TextBody"/>
        <w:bidi w:val="0"/>
        <w:spacing w:lineRule="atLeast" w:line="29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Miscellaneous Provisions</w:t>
      </w:r>
    </w:p>
    <w:p>
      <w:pPr>
        <w:pStyle w:val="TextBody"/>
        <w:bidi w:val="0"/>
        <w:spacing w:before="8" w:after="283"/>
        <w:jc w:val="both"/>
        <w:rPr/>
      </w:pPr>
      <w:r>
        <w:rPr/>
      </w:r>
    </w:p>
    <w:p>
      <w:pPr>
        <w:pStyle w:val="TextBody"/>
        <w:bidi w:val="0"/>
        <w:spacing w:lineRule="auto" w:line="288" w:before="91" w:after="283"/>
        <w:ind w:left="0" w:right="0" w:firstLine="720"/>
        <w:jc w:val="both"/>
        <w:rPr/>
      </w:pPr>
      <w:r>
        <w:rPr>
          <w:rFonts w:ascii="Times New Roman;serif" w:hAnsi="Times New Roman;serif"/>
          <w:b w:val="false"/>
          <w:color w:val="000000"/>
          <w:sz w:val="24"/>
        </w:rPr>
        <w:t xml:space="preserve">Section 7.1. </w:t>
      </w:r>
      <w:r>
        <w:rPr>
          <w:rFonts w:ascii="Times New Roman;serif" w:hAnsi="Times New Roman;serif"/>
          <w:b w:val="false"/>
          <w:color w:val="000000"/>
          <w:sz w:val="24"/>
          <w:u w:val="single"/>
        </w:rPr>
        <w:t>Execution of Instruments</w:t>
      </w:r>
      <w:r>
        <w:rPr>
          <w:rFonts w:ascii="Times New Roman;serif" w:hAnsi="Times New Roman;serif"/>
          <w:b w:val="false"/>
          <w:color w:val="000000"/>
          <w:sz w:val="24"/>
        </w:rPr>
        <w:t xml:space="preserve">.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w:t>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781685"/>
                <wp:effectExtent l="0" t="0" r="0" b="0"/>
                <wp:wrapNone/>
                <wp:docPr id="44" name="Frame39"/>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1" w:after="283"/>
                                    <w:jc w:val="both"/>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1" w:after="283"/>
                              <w:jc w:val="both"/>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91" w:after="283"/>
        <w:jc w:val="both"/>
        <w:rPr>
          <w:rFonts w:ascii="Times New Roman;serif" w:hAnsi="Times New Roman;serif"/>
          <w:b w:val="false"/>
          <w:color w:val="000000"/>
          <w:sz w:val="24"/>
        </w:rPr>
      </w:pPr>
      <w:r>
        <w:rPr>
          <w:rFonts w:ascii="Times New Roman;serif" w:hAnsi="Times New Roman;serif"/>
          <w:b w:val="false"/>
          <w:color w:val="000000"/>
          <w:sz w:val="24"/>
        </w:rPr>
        <w:t>provisions of this section are supplementary to any other provision of the Articles of Association or Bylaws.</w:t>
      </w:r>
    </w:p>
    <w:p>
      <w:pPr>
        <w:pStyle w:val="TextBody"/>
        <w:bidi w:val="0"/>
        <w:spacing w:before="1" w:after="283"/>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7.2. </w:t>
      </w:r>
      <w:r>
        <w:rPr>
          <w:rFonts w:ascii="Times New Roman;serif" w:hAnsi="Times New Roman;serif"/>
          <w:b w:val="false"/>
          <w:color w:val="000000"/>
          <w:sz w:val="24"/>
          <w:u w:val="single"/>
        </w:rPr>
        <w:t>Records</w:t>
      </w:r>
      <w:r>
        <w:rPr>
          <w:rFonts w:ascii="Times New Roman;serif" w:hAnsi="Times New Roman;serif"/>
          <w:b w:val="false"/>
          <w:color w:val="000000"/>
          <w:sz w:val="24"/>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pStyle w:val="TextBody"/>
        <w:bidi w:val="0"/>
        <w:spacing w:before="11" w:after="283"/>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7.3. </w:t>
      </w:r>
      <w:r>
        <w:rPr>
          <w:rFonts w:ascii="Times New Roman;serif" w:hAnsi="Times New Roman;serif"/>
          <w:b w:val="false"/>
          <w:color w:val="000000"/>
          <w:sz w:val="24"/>
          <w:u w:val="single"/>
        </w:rPr>
        <w:t>Trust Files</w:t>
      </w:r>
      <w:r>
        <w:rPr>
          <w:rFonts w:ascii="Times New Roman;serif" w:hAnsi="Times New Roman;serif"/>
          <w:b w:val="false"/>
          <w:color w:val="000000"/>
          <w:sz w:val="24"/>
        </w:rPr>
        <w:t>. There shall be maintained in the Association files all fiduciary records necessary to assure that its fiduciary responsibilities have been properly undertaken and discharged.</w:t>
      </w:r>
    </w:p>
    <w:p>
      <w:pPr>
        <w:pStyle w:val="TextBody"/>
        <w:bidi w:val="0"/>
        <w:spacing w:before="1" w:after="283"/>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7.4. </w:t>
      </w:r>
      <w:r>
        <w:rPr>
          <w:rFonts w:ascii="Times New Roman;serif" w:hAnsi="Times New Roman;serif"/>
          <w:b w:val="false"/>
          <w:color w:val="000000"/>
          <w:sz w:val="24"/>
          <w:u w:val="single"/>
        </w:rPr>
        <w:t>Trust Investments</w:t>
      </w:r>
      <w:r>
        <w:rPr>
          <w:rFonts w:ascii="Times New Roman;serif" w:hAnsi="Times New Roman;serif"/>
          <w:b w:val="false"/>
          <w:color w:val="000000"/>
          <w:sz w:val="24"/>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pStyle w:val="TextBody"/>
        <w:bidi w:val="0"/>
        <w:spacing w:before="12" w:after="283"/>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7.5. </w:t>
      </w:r>
      <w:r>
        <w:rPr>
          <w:rFonts w:ascii="Times New Roman;serif" w:hAnsi="Times New Roman;serif"/>
          <w:b w:val="false"/>
          <w:color w:val="000000"/>
          <w:sz w:val="24"/>
          <w:u w:val="single"/>
        </w:rPr>
        <w:t>Notice</w:t>
      </w:r>
      <w:r>
        <w:rPr>
          <w:rFonts w:ascii="Times New Roman;serif" w:hAnsi="Times New Roman;serif"/>
          <w:b w:val="false"/>
          <w:color w:val="000000"/>
          <w:sz w:val="24"/>
        </w:rPr>
        <w:t>. Whenever notice is required by the Articles of Association, the Bylaws or law, such notice shall be by mail, postage prepaid, e- mail, in person, or by any other means by which such notice can reasonably be expected to be received, using the address of the person to receive such notice, or such other personal data, as may appear on the records of the Association.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Except where specified otherwise in these Bylaws, prior notice shall be proper if given not more than 30 days nor less than 10 days prior to the event for which notice is given.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81685"/>
                <wp:effectExtent l="0" t="0" r="0" b="0"/>
                <wp:wrapNone/>
                <wp:docPr id="45" name="Frame40"/>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1" w:after="283"/>
                                    <w:jc w:val="both"/>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1" w:after="283"/>
                              <w:jc w:val="both"/>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8" w:after="283"/>
        <w:jc w:val="center"/>
        <w:rPr/>
      </w:pPr>
      <w:r>
        <w:rPr>
          <w:rFonts w:ascii="Times New Roman;serif" w:hAnsi="Times New Roman;serif"/>
          <w:b w:val="false"/>
          <w:color w:val="000000"/>
          <w:sz w:val="24"/>
          <w:u w:val="single"/>
        </w:rPr>
        <w:t>ARTICLE</w:t>
      </w:r>
      <w:r>
        <w:rPr>
          <w:color w:val="000000"/>
          <w:u w:val="single"/>
        </w:rPr>
        <w:t xml:space="preserve"> </w:t>
      </w:r>
      <w:r>
        <w:rPr>
          <w:rFonts w:ascii="Times New Roman;serif" w:hAnsi="Times New Roman;serif"/>
          <w:b w:val="false"/>
          <w:color w:val="000000"/>
          <w:sz w:val="24"/>
          <w:u w:val="single"/>
        </w:rPr>
        <w:t>VIII</w:t>
      </w:r>
    </w:p>
    <w:p>
      <w:pPr>
        <w:pStyle w:val="TextBody"/>
        <w:bidi w:val="0"/>
        <w:spacing w:lineRule="auto" w:line="288" w:before="1"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Indemnification</w:t>
      </w:r>
    </w:p>
    <w:p>
      <w:pPr>
        <w:pStyle w:val="TextBody"/>
        <w:bidi w:val="0"/>
        <w:spacing w:before="8" w:after="283"/>
        <w:jc w:val="both"/>
        <w:rPr/>
      </w:pPr>
      <w:r>
        <w:rPr/>
      </w:r>
    </w:p>
    <w:p>
      <w:pPr>
        <w:pStyle w:val="TextBody"/>
        <w:bidi w:val="0"/>
        <w:spacing w:lineRule="auto" w:line="288" w:before="9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C.F.R. § 7.2014 and shall exclude coverage of liability for a formal order assessing civil money penalties against an institution-affiliated party, as defined at 12</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U.S.C. § 1813(u).</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8.2. Notwithstanding Section 8.1, however, (a) any indemnification payments to an institution-affiliated party, as defined at 12</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pStyle w:val="TextBody"/>
        <w:bidi w:val="0"/>
        <w:spacing w:before="11" w:after="283"/>
        <w:jc w:val="both"/>
        <w:rPr/>
      </w:pPr>
      <w:r>
        <w:rPr/>
      </w:r>
    </w:p>
    <w:p>
      <w:pPr>
        <w:pStyle w:val="TextBody"/>
        <w:bidi w:val="0"/>
        <w:spacing w:lineRule="atLeast" w:line="298" w:before="1" w:after="283"/>
        <w:jc w:val="center"/>
        <w:rPr/>
      </w:pPr>
      <w:r>
        <w:rPr>
          <w:rFonts w:ascii="Times New Roman;serif" w:hAnsi="Times New Roman;serif"/>
          <w:b w:val="false"/>
          <w:color w:val="000000"/>
          <w:sz w:val="24"/>
          <w:u w:val="single"/>
        </w:rPr>
        <w:t>ARTICLE</w:t>
      </w:r>
      <w:r>
        <w:rPr>
          <w:color w:val="000000"/>
          <w:u w:val="single"/>
        </w:rPr>
        <w:t xml:space="preserve"> </w:t>
      </w:r>
      <w:r>
        <w:rPr>
          <w:rFonts w:ascii="Times New Roman;serif" w:hAnsi="Times New Roman;serif"/>
          <w:b w:val="false"/>
          <w:color w:val="000000"/>
          <w:sz w:val="24"/>
          <w:u w:val="single"/>
        </w:rPr>
        <w:t>IX</w:t>
      </w:r>
    </w:p>
    <w:p>
      <w:pPr>
        <w:pStyle w:val="TextBody"/>
        <w:bidi w:val="0"/>
        <w:spacing w:lineRule="atLeast" w:line="29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Bylaws: Interpretation and Amendment</w:t>
      </w:r>
    </w:p>
    <w:p>
      <w:pPr>
        <w:pStyle w:val="TextBody"/>
        <w:bidi w:val="0"/>
        <w:spacing w:before="9" w:after="283"/>
        <w:jc w:val="both"/>
        <w:rPr/>
      </w:pPr>
      <w:r>
        <w:rPr/>
      </w:r>
    </w:p>
    <w:p>
      <w:pPr>
        <w:pStyle w:val="TextBody"/>
        <w:bidi w:val="0"/>
        <w:spacing w:lineRule="auto" w:line="288" w:before="9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9.1. These Bylaws shall be interpreted in accordance with and subject to appropriate provisions of law, and may be added to, altered, amended, or repealed, at any regular or special meeting of the Board.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9.2. A copy of the Bylaws and all amendments shall at all times be kept in a convenient place at the principal office of the Association, and shall be open for inspection to all shareholders during Association hours.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81685"/>
                <wp:effectExtent l="0" t="0" r="0" b="0"/>
                <wp:wrapNone/>
                <wp:docPr id="46" name="Frame41"/>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1" w:after="283"/>
                                    <w:jc w:val="both"/>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1" w:after="283"/>
                              <w:jc w:val="both"/>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8" w:after="283"/>
        <w:jc w:val="center"/>
        <w:rPr/>
      </w:pPr>
      <w:r>
        <w:rPr>
          <w:rFonts w:ascii="Times New Roman;serif" w:hAnsi="Times New Roman;serif"/>
          <w:b w:val="false"/>
          <w:color w:val="000000"/>
          <w:sz w:val="24"/>
          <w:u w:val="single"/>
        </w:rPr>
        <w:t>ARTICLE</w:t>
      </w:r>
      <w:r>
        <w:rPr>
          <w:color w:val="000000"/>
          <w:u w:val="single"/>
        </w:rPr>
        <w:t xml:space="preserve"> </w:t>
      </w:r>
      <w:r>
        <w:rPr>
          <w:rFonts w:ascii="Times New Roman;serif" w:hAnsi="Times New Roman;serif"/>
          <w:b w:val="false"/>
          <w:color w:val="000000"/>
          <w:sz w:val="24"/>
          <w:u w:val="single"/>
        </w:rPr>
        <w:t>X</w:t>
      </w:r>
    </w:p>
    <w:p>
      <w:pPr>
        <w:pStyle w:val="TextBody"/>
        <w:bidi w:val="0"/>
        <w:spacing w:lineRule="auto" w:line="288" w:before="1"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Miscellaneous Provisions</w:t>
      </w:r>
    </w:p>
    <w:p>
      <w:pPr>
        <w:pStyle w:val="TextBody"/>
        <w:bidi w:val="0"/>
        <w:spacing w:before="8" w:after="283"/>
        <w:jc w:val="both"/>
        <w:rPr/>
      </w:pPr>
      <w:r>
        <w:rPr/>
      </w:r>
    </w:p>
    <w:p>
      <w:pPr>
        <w:pStyle w:val="TextBody"/>
        <w:bidi w:val="0"/>
        <w:spacing w:lineRule="auto" w:line="288" w:before="91" w:after="283"/>
        <w:ind w:left="0" w:right="0" w:firstLine="720"/>
        <w:jc w:val="both"/>
        <w:rPr/>
      </w:pPr>
      <w:r>
        <w:rPr>
          <w:rFonts w:ascii="Times New Roman;serif" w:hAnsi="Times New Roman;serif"/>
          <w:b w:val="false"/>
          <w:color w:val="000000"/>
          <w:sz w:val="24"/>
        </w:rPr>
        <w:t xml:space="preserve">Section 10.1. </w:t>
      </w:r>
      <w:r>
        <w:rPr>
          <w:rFonts w:ascii="Times New Roman;serif" w:hAnsi="Times New Roman;serif"/>
          <w:b w:val="false"/>
          <w:color w:val="000000"/>
          <w:sz w:val="24"/>
          <w:u w:val="single"/>
        </w:rPr>
        <w:t>Fiscal Year</w:t>
      </w:r>
      <w:r>
        <w:rPr>
          <w:rFonts w:ascii="Times New Roman;serif" w:hAnsi="Times New Roman;serif"/>
          <w:b w:val="false"/>
          <w:color w:val="000000"/>
          <w:sz w:val="24"/>
        </w:rPr>
        <w:t>. The fiscal year of the Association shall begin on the first day of January in each year and shall end on the thirty-first day of December following.</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10.2.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pStyle w:val="TextBody"/>
        <w:bidi w:val="0"/>
        <w:spacing w:before="11" w:after="283"/>
        <w:jc w:val="both"/>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before="0" w:after="0"/>
        <w:jc w:val="both"/>
        <w:rPr/>
      </w:pPr>
      <w:r>
        <w:rPr/>
      </w:r>
    </w:p>
    <w:p>
      <w:pPr>
        <w:pStyle w:val="TextBody"/>
        <w:bidi w:val="0"/>
        <w:spacing w:before="1" w:after="283"/>
        <w:jc w:val="both"/>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(February 8, 2021)</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CONSENT</w:t>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Dated: September 29,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Joshua A. Hahn</w:t>
      </w:r>
      <w:r>
        <w:rPr>
          <w:color w:val="000000"/>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Joshua A. Hahn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Vice President </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left"/>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0520"/>
                <wp:effectExtent l="0" t="0" r="0" b="0"/>
                <wp:wrapNone/>
                <wp:docPr id="48" name="Frame4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7</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U.S. Bank Trust Company, National Association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Statement of Financial Condition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as of 6/30/2025</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($000’s) </w:t>
      </w:r>
    </w:p>
    <w:tbl>
      <w:tblPr>
        <w:tblW w:w="7412" w:type="dxa"/>
        <w:jc w:val="left"/>
        <w:tblInd w:w="0" w:type="dxa"/>
        <w:tblLayout w:type="fixed"/>
        <w:tblCellMar>
          <w:top w:w="28" w:type="dxa"/>
          <w:left w:w="28" w:type="dxa"/>
          <w:bottom w:w="28" w:type="dxa"/>
          <w:right w:w="28" w:type="dxa"/>
        </w:tblCellMar>
      </w:tblPr>
      <w:tblGrid>
        <w:gridCol w:w="2020"/>
        <w:gridCol w:w="1772"/>
        <w:gridCol w:w="1787"/>
        <w:gridCol w:w="109"/>
        <w:gridCol w:w="109"/>
        <w:gridCol w:w="109"/>
        <w:gridCol w:w="226"/>
        <w:gridCol w:w="1126"/>
        <w:gridCol w:w="154"/>
      </w:tblGrid>
      <w:tr>
        <w:trPr/>
        <w:tc>
          <w:tcPr>
            <w:tcW w:w="2020"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6/30/2025</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Cash and Balances Due From Depository Institutions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1,823,165 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4,619 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Federal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Loans &amp; Lease Financing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Fixed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575,138 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172,200 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4"/>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2,575,926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Fed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Treasury Demand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Trading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Other Borrowed Money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Acceptances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Subordinated Notes and Debentures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213,000 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4"/>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213,000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Common and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1,171,635 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Undivided Profits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1,191,091 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Minority Interest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4"/>
              </w:rPr>
              <w:t>Total Equity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2,362,926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Total Liabilities and Equity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2,575,926</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bookmarkStart w:id="0" w:name="ex107filingfeetable.htm"/>
      <w:bookmarkStart w:id="1" w:name="ksex107filingfeetable"/>
      <w:bookmarkStart w:id="2" w:name="ex107filingfeetable.htm"/>
      <w:bookmarkStart w:id="3" w:name="ksex107filingfeetable"/>
      <w:bookmarkEnd w:id="2"/>
      <w:bookmarkEnd w:id="3"/>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0520"/>
                <wp:effectExtent l="0" t="0" r="0" b="0"/>
                <wp:wrapNone/>
                <wp:docPr id="49" name="Frame4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tbl>
      <w:tblPr>
        <w:tblW w:w="3576" w:type="dxa"/>
        <w:jc w:val="left"/>
        <w:tblInd w:w="0" w:type="dxa"/>
        <w:tblLayout w:type="fixed"/>
        <w:tblCellMar>
          <w:top w:w="28" w:type="dxa"/>
          <w:left w:w="28" w:type="dxa"/>
          <w:bottom w:w="28" w:type="dxa"/>
          <w:right w:w="28" w:type="dxa"/>
        </w:tblCellMar>
      </w:tblPr>
      <w:tblGrid>
        <w:gridCol w:w="3422"/>
        <w:gridCol w:w="154"/>
      </w:tblGrid>
      <w:tr>
        <w:trPr/>
        <w:tc>
          <w:tcPr>
            <w:tcW w:w="357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2"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2" w:type="dxa"/>
            <w:tcBorders/>
            <w:vAlign w:val="center"/>
          </w:tcPr>
          <w:p>
            <w:pPr>
              <w:pStyle w:val="TableContents"/>
              <w:bidi w:val="0"/>
              <w:spacing w:before="0" w:after="283"/>
              <w:jc w:val="left"/>
              <w:rPr>
                <w:b/>
              </w:rPr>
            </w:pPr>
            <w:r>
              <w:rPr>
                <w:b/>
              </w:rPr>
              <w:t xml:space="preserve">WYNN RESORTS LTD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254" w:type="dxa"/>
        <w:jc w:val="left"/>
        <w:tblInd w:w="0" w:type="dxa"/>
        <w:tblLayout w:type="fixed"/>
        <w:tblCellMar>
          <w:top w:w="28" w:type="dxa"/>
          <w:left w:w="28" w:type="dxa"/>
          <w:bottom w:w="28" w:type="dxa"/>
          <w:right w:w="28" w:type="dxa"/>
        </w:tblCellMar>
      </w:tblPr>
      <w:tblGrid>
        <w:gridCol w:w="1126"/>
        <w:gridCol w:w="226"/>
        <w:gridCol w:w="946"/>
        <w:gridCol w:w="1321"/>
        <w:gridCol w:w="1276"/>
        <w:gridCol w:w="1186"/>
        <w:gridCol w:w="1156"/>
        <w:gridCol w:w="115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3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2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321" w:type="dxa"/>
            <w:tcBorders/>
            <w:shd w:fill="E7E7E2" w:val="clear"/>
            <w:vAlign w:val="center"/>
          </w:tcPr>
          <w:p>
            <w:pPr>
              <w:pStyle w:val="TableContents"/>
              <w:bidi w:val="0"/>
              <w:spacing w:before="0" w:after="283"/>
              <w:jc w:val="left"/>
              <w:rPr/>
            </w:pPr>
            <w:r>
              <w:rPr/>
              <w:t xml:space="preserve">Common Stock, par value $0.01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321" w:type="dxa"/>
            <w:tcBorders/>
            <w:shd w:fill="E7E7E2" w:val="clear"/>
            <w:vAlign w:val="center"/>
          </w:tcPr>
          <w:p>
            <w:pPr>
              <w:pStyle w:val="TableContents"/>
              <w:bidi w:val="0"/>
              <w:spacing w:before="0" w:after="283"/>
              <w:jc w:val="left"/>
              <w:rPr/>
            </w:pPr>
            <w:r>
              <w:rPr/>
              <w:t xml:space="preserve">Preferred Stock, par value $0.01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321" w:type="dxa"/>
            <w:tcBorders/>
            <w:shd w:fill="E7E7E2" w:val="clear"/>
            <w:vAlign w:val="center"/>
          </w:tcPr>
          <w:p>
            <w:pPr>
              <w:pStyle w:val="TableContents"/>
              <w:bidi w:val="0"/>
              <w:spacing w:before="0" w:after="283"/>
              <w:jc w:val="left"/>
              <w:rPr/>
            </w:pPr>
            <w:r>
              <w:rPr/>
              <w:t xml:space="preserve">Depositary shares representing preferred stock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Debt </w:t>
            </w:r>
          </w:p>
        </w:tc>
        <w:tc>
          <w:tcPr>
            <w:tcW w:w="1321" w:type="dxa"/>
            <w:tcBorders/>
            <w:shd w:fill="E7E7E2" w:val="clear"/>
            <w:vAlign w:val="center"/>
          </w:tcPr>
          <w:p>
            <w:pPr>
              <w:pStyle w:val="TableContents"/>
              <w:bidi w:val="0"/>
              <w:spacing w:before="0" w:after="283"/>
              <w:jc w:val="left"/>
              <w:rPr/>
            </w:pPr>
            <w:r>
              <w:rPr/>
              <w:t xml:space="preserve">Senior debt securities, senior subordinated debt securities and junior subordinated debt securities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2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8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4" w:name="MaxAggtOfferingPrice"/>
            <w:bookmarkEnd w:id="4"/>
            <w:r>
              <w:rPr/>
              <w:t xml:space="preserve">$ 0.00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8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6" w:name="TotalPreviouslyPaidAmt"/>
            <w:bookmarkEnd w:id="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8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7" w:name="TotalOffsetAmt"/>
            <w:bookmarkEnd w:id="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8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8" w:name="NetFeeAmt"/>
            <w:bookmarkEnd w:id="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8"/>
        <w:gridCol w:w="1296"/>
        <w:gridCol w:w="8701"/>
      </w:tblGrid>
      <w:tr>
        <w:trPr/>
        <w:tc>
          <w:tcPr>
            <w:tcW w:w="20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7" w:type="dxa"/>
            <w:gridSpan w:val="2"/>
            <w:tcBorders/>
            <w:vAlign w:val="center"/>
          </w:tcPr>
          <w:p>
            <w:pPr>
              <w:pStyle w:val="TableContents"/>
              <w:bidi w:val="0"/>
              <w:spacing w:before="0" w:after="283"/>
              <w:jc w:val="left"/>
              <w:rPr/>
            </w:pPr>
            <w:r>
              <w:rPr/>
              <w:t xml:space="preserve">(a) Any securities registered hereunder may be sold separately or as units with other securities registered hereunder. (b) An indeterminate aggregate offering price or number of securities of each identified class to be offered at indeterminate prices from time to time is being registered pursuant to this registration statement. (c) In accordance with Rules 456(b) and 457(r), Wynn Resorts, Limited is deferring payment of the registration fee. </w:t>
            </w:r>
          </w:p>
        </w:tc>
      </w:tr>
      <w:tr>
        <w:trPr/>
        <w:tc>
          <w:tcPr>
            <w:tcW w:w="1504" w:type="dxa"/>
            <w:gridSpan w:val="2"/>
            <w:tcBorders/>
            <w:vAlign w:val="center"/>
          </w:tcPr>
          <w:p>
            <w:pPr>
              <w:pStyle w:val="HorizontalLine"/>
              <w:pBdr>
                <w:bottom w:val="double" w:sz="2" w:space="0" w:color="808080"/>
              </w:pBdr>
              <w:bidi w:val="0"/>
              <w:spacing w:before="0" w:after="283"/>
              <w:jc w:val="left"/>
              <w:rPr/>
            </w:pPr>
            <w:r>
              <w:rPr/>
            </w:r>
          </w:p>
        </w:tc>
        <w:tc>
          <w:tcPr>
            <w:tcW w:w="8701" w:type="dxa"/>
            <w:tcBorders/>
          </w:tcPr>
          <w:p>
            <w:pPr>
              <w:pStyle w:val="TableContents"/>
              <w:bidi w:val="0"/>
              <w:spacing w:before="0" w:after="283"/>
              <w:jc w:val="left"/>
              <w:rPr>
                <w:sz w:val="4"/>
                <w:szCs w:val="4"/>
              </w:rPr>
            </w:pPr>
            <w:r>
              <w:rPr>
                <w:sz w:val="4"/>
                <w:szCs w:val="4"/>
              </w:rPr>
            </w:r>
          </w:p>
        </w:tc>
      </w:tr>
      <w:tr>
        <w:trPr/>
        <w:tc>
          <w:tcPr>
            <w:tcW w:w="20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97" w:type="dxa"/>
            <w:gridSpan w:val="2"/>
            <w:tcBorders/>
            <w:vAlign w:val="center"/>
          </w:tcPr>
          <w:p>
            <w:pPr>
              <w:pStyle w:val="TableContents"/>
              <w:bidi w:val="0"/>
              <w:spacing w:before="0" w:after="283"/>
              <w:jc w:val="left"/>
              <w:rPr/>
            </w:pPr>
            <w:r>
              <w:rPr/>
              <w:t xml:space="preserve">See Offering Note 1. </w:t>
            </w:r>
          </w:p>
        </w:tc>
      </w:tr>
      <w:tr>
        <w:trPr/>
        <w:tc>
          <w:tcPr>
            <w:tcW w:w="1504" w:type="dxa"/>
            <w:gridSpan w:val="2"/>
            <w:tcBorders/>
            <w:vAlign w:val="center"/>
          </w:tcPr>
          <w:p>
            <w:pPr>
              <w:pStyle w:val="HorizontalLine"/>
              <w:pBdr>
                <w:bottom w:val="double" w:sz="2" w:space="0" w:color="808080"/>
              </w:pBdr>
              <w:bidi w:val="0"/>
              <w:spacing w:before="0" w:after="283"/>
              <w:jc w:val="left"/>
              <w:rPr/>
            </w:pPr>
            <w:r>
              <w:rPr/>
            </w:r>
          </w:p>
        </w:tc>
        <w:tc>
          <w:tcPr>
            <w:tcW w:w="8701" w:type="dxa"/>
            <w:tcBorders/>
          </w:tcPr>
          <w:p>
            <w:pPr>
              <w:pStyle w:val="TableContents"/>
              <w:bidi w:val="0"/>
              <w:spacing w:before="0" w:after="283"/>
              <w:jc w:val="left"/>
              <w:rPr>
                <w:sz w:val="4"/>
                <w:szCs w:val="4"/>
              </w:rPr>
            </w:pPr>
            <w:r>
              <w:rPr>
                <w:sz w:val="4"/>
                <w:szCs w:val="4"/>
              </w:rPr>
            </w:r>
          </w:p>
        </w:tc>
      </w:tr>
      <w:tr>
        <w:trPr/>
        <w:tc>
          <w:tcPr>
            <w:tcW w:w="208"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9997" w:type="dxa"/>
            <w:gridSpan w:val="2"/>
            <w:tcBorders/>
            <w:vAlign w:val="center"/>
          </w:tcPr>
          <w:p>
            <w:pPr>
              <w:pStyle w:val="TableContents"/>
              <w:bidi w:val="0"/>
              <w:spacing w:before="0" w:after="283"/>
              <w:jc w:val="left"/>
              <w:rPr/>
            </w:pPr>
            <w:r>
              <w:rPr/>
              <w:t xml:space="preserve">Such indeterminate number of depositary shares to be evidenced by depositary receipts issued under a deposit agreement. If fractional interests in shares of preferred stock are issued, depositary receipts will be distributed for such fractional interests and the shares of preferred stock will be issued to the depositary under the deposit agreement. See also Offering Note 1. </w:t>
            </w:r>
          </w:p>
        </w:tc>
      </w:tr>
      <w:tr>
        <w:trPr/>
        <w:tc>
          <w:tcPr>
            <w:tcW w:w="1504" w:type="dxa"/>
            <w:gridSpan w:val="2"/>
            <w:tcBorders/>
            <w:vAlign w:val="center"/>
          </w:tcPr>
          <w:p>
            <w:pPr>
              <w:pStyle w:val="HorizontalLine"/>
              <w:pBdr>
                <w:bottom w:val="double" w:sz="2" w:space="0" w:color="808080"/>
              </w:pBdr>
              <w:bidi w:val="0"/>
              <w:spacing w:before="0" w:after="283"/>
              <w:jc w:val="left"/>
              <w:rPr/>
            </w:pPr>
            <w:r>
              <w:rPr/>
            </w:r>
          </w:p>
        </w:tc>
        <w:tc>
          <w:tcPr>
            <w:tcW w:w="8701" w:type="dxa"/>
            <w:tcBorders/>
          </w:tcPr>
          <w:p>
            <w:pPr>
              <w:pStyle w:val="TableContents"/>
              <w:bidi w:val="0"/>
              <w:spacing w:before="0" w:after="283"/>
              <w:jc w:val="left"/>
              <w:rPr>
                <w:sz w:val="4"/>
                <w:szCs w:val="4"/>
              </w:rPr>
            </w:pPr>
            <w:r>
              <w:rPr>
                <w:sz w:val="4"/>
                <w:szCs w:val="4"/>
              </w:rPr>
            </w:r>
          </w:p>
        </w:tc>
      </w:tr>
      <w:tr>
        <w:trPr/>
        <w:tc>
          <w:tcPr>
            <w:tcW w:w="208"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9997" w:type="dxa"/>
            <w:gridSpan w:val="2"/>
            <w:tcBorders/>
            <w:vAlign w:val="center"/>
          </w:tcPr>
          <w:p>
            <w:pPr>
              <w:pStyle w:val="TableContents"/>
              <w:bidi w:val="0"/>
              <w:spacing w:before="0" w:after="283"/>
              <w:jc w:val="left"/>
              <w:rPr/>
            </w:pPr>
            <w:r>
              <w:rPr/>
              <w:t xml:space="preserve">See Offering Note 1. </w:t>
            </w:r>
          </w:p>
        </w:tc>
      </w:tr>
      <w:tr>
        <w:trPr/>
        <w:tc>
          <w:tcPr>
            <w:tcW w:w="1504" w:type="dxa"/>
            <w:gridSpan w:val="2"/>
            <w:tcBorders/>
            <w:vAlign w:val="center"/>
          </w:tcPr>
          <w:p>
            <w:pPr>
              <w:pStyle w:val="HorizontalLine"/>
              <w:pBdr>
                <w:bottom w:val="double" w:sz="2" w:space="0" w:color="808080"/>
              </w:pBdr>
              <w:bidi w:val="0"/>
              <w:spacing w:before="0" w:after="283"/>
              <w:jc w:val="left"/>
              <w:rPr/>
            </w:pPr>
            <w:r>
              <w:rPr/>
            </w:r>
          </w:p>
        </w:tc>
        <w:tc>
          <w:tcPr>
            <w:tcW w:w="870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107" w:type="dxa"/>
        <w:jc w:val="left"/>
        <w:tblInd w:w="0" w:type="dxa"/>
        <w:tblLayout w:type="fixed"/>
        <w:tblCellMar>
          <w:top w:w="28" w:type="dxa"/>
          <w:left w:w="28" w:type="dxa"/>
          <w:bottom w:w="28" w:type="dxa"/>
          <w:right w:w="28" w:type="dxa"/>
        </w:tblCellMar>
      </w:tblPr>
      <w:tblGrid>
        <w:gridCol w:w="871"/>
        <w:gridCol w:w="346"/>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410"/>
        <w:gridCol w:w="1079"/>
        <w:gridCol w:w="1191"/>
        <w:gridCol w:w="1884"/>
        <w:gridCol w:w="2468"/>
        <w:gridCol w:w="809"/>
        <w:gridCol w:w="1063"/>
        <w:gridCol w:w="1301"/>
      </w:tblGrid>
      <w:tr>
        <w:trPr/>
        <w:tc>
          <w:tcPr>
            <w:tcW w:w="410" w:type="dxa"/>
            <w:tcBorders/>
            <w:shd w:fill="9ADAF6" w:val="clear"/>
            <w:vAlign w:val="center"/>
          </w:tcPr>
          <w:p>
            <w:pPr>
              <w:pStyle w:val="TableHeading"/>
              <w:bidi w:val="0"/>
              <w:spacing w:before="0" w:after="283"/>
              <w:rPr>
                <w:sz w:val="4"/>
                <w:szCs w:val="4"/>
              </w:rPr>
            </w:pPr>
            <w:r>
              <w:rPr>
                <w:sz w:val="4"/>
                <w:szCs w:val="4"/>
              </w:rPr>
            </w:r>
          </w:p>
        </w:tc>
        <w:tc>
          <w:tcPr>
            <w:tcW w:w="1079"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91"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88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468"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09"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6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01"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410" w:type="dxa"/>
            <w:tcBorders/>
            <w:shd w:fill="E7E7E2" w:val="clear"/>
            <w:vAlign w:val="center"/>
          </w:tcPr>
          <w:p>
            <w:pPr>
              <w:pStyle w:val="TableContents"/>
              <w:bidi w:val="0"/>
              <w:spacing w:before="0" w:after="283"/>
              <w:jc w:val="center"/>
              <w:rPr/>
            </w:pPr>
            <w:r>
              <w:rPr/>
              <w:t xml:space="preserve">N/A </w:t>
            </w:r>
          </w:p>
        </w:tc>
        <w:tc>
          <w:tcPr>
            <w:tcW w:w="1079" w:type="dxa"/>
            <w:tcBorders/>
            <w:shd w:fill="E7E7E2" w:val="clear"/>
            <w:vAlign w:val="center"/>
          </w:tcPr>
          <w:p>
            <w:pPr>
              <w:pStyle w:val="TableContents"/>
              <w:bidi w:val="0"/>
              <w:spacing w:before="0" w:after="283"/>
              <w:jc w:val="left"/>
              <w:rPr/>
            </w:pPr>
            <w:r>
              <w:rPr/>
              <w:t xml:space="preserve">N/A </w:t>
            </w:r>
          </w:p>
        </w:tc>
        <w:tc>
          <w:tcPr>
            <w:tcW w:w="1191" w:type="dxa"/>
            <w:tcBorders/>
            <w:shd w:fill="E7E7E2" w:val="clear"/>
            <w:vAlign w:val="center"/>
          </w:tcPr>
          <w:p>
            <w:pPr>
              <w:pStyle w:val="TableContents"/>
              <w:bidi w:val="0"/>
              <w:spacing w:before="0" w:after="283"/>
              <w:jc w:val="left"/>
              <w:rPr/>
            </w:pPr>
            <w:r>
              <w:rPr/>
              <w:t xml:space="preserve">N/A </w:t>
            </w:r>
          </w:p>
        </w:tc>
        <w:tc>
          <w:tcPr>
            <w:tcW w:w="1884" w:type="dxa"/>
            <w:tcBorders/>
            <w:shd w:fill="E7E7E2" w:val="clear"/>
            <w:vAlign w:val="center"/>
          </w:tcPr>
          <w:p>
            <w:pPr>
              <w:pStyle w:val="TableContents"/>
              <w:bidi w:val="0"/>
              <w:spacing w:before="0" w:after="283"/>
              <w:jc w:val="right"/>
              <w:rPr/>
            </w:pPr>
            <w:r>
              <w:rPr/>
              <w:t xml:space="preserve">N/A </w:t>
            </w:r>
          </w:p>
        </w:tc>
        <w:tc>
          <w:tcPr>
            <w:tcW w:w="2468" w:type="dxa"/>
            <w:tcBorders/>
            <w:shd w:fill="E7E7E2" w:val="clear"/>
            <w:vAlign w:val="center"/>
          </w:tcPr>
          <w:p>
            <w:pPr>
              <w:pStyle w:val="TableContents"/>
              <w:bidi w:val="0"/>
              <w:spacing w:before="0" w:after="283"/>
              <w:jc w:val="right"/>
              <w:rPr/>
            </w:pPr>
            <w:r>
              <w:rPr/>
              <w:t xml:space="preserve">N/A </w:t>
            </w:r>
          </w:p>
        </w:tc>
        <w:tc>
          <w:tcPr>
            <w:tcW w:w="809" w:type="dxa"/>
            <w:tcBorders/>
            <w:shd w:fill="E7E7E2" w:val="clear"/>
            <w:vAlign w:val="center"/>
          </w:tcPr>
          <w:p>
            <w:pPr>
              <w:pStyle w:val="TableContents"/>
              <w:bidi w:val="0"/>
              <w:spacing w:before="0" w:after="283"/>
              <w:jc w:val="center"/>
              <w:rPr/>
            </w:pPr>
            <w:r>
              <w:rPr/>
              <w:t xml:space="preserve">N/A </w:t>
            </w:r>
          </w:p>
        </w:tc>
        <w:tc>
          <w:tcPr>
            <w:tcW w:w="1063" w:type="dxa"/>
            <w:tcBorders/>
            <w:shd w:fill="E7E7E2" w:val="clear"/>
            <w:vAlign w:val="center"/>
          </w:tcPr>
          <w:p>
            <w:pPr>
              <w:pStyle w:val="TableContents"/>
              <w:bidi w:val="0"/>
              <w:spacing w:before="0" w:after="283"/>
              <w:jc w:val="center"/>
              <w:rPr/>
            </w:pPr>
            <w:r>
              <w:rPr/>
              <w:t xml:space="preserve">N/A </w:t>
            </w:r>
          </w:p>
        </w:tc>
        <w:tc>
          <w:tcPr>
            <w:tcW w:w="1301" w:type="dxa"/>
            <w:tcBorders/>
            <w:shd w:fill="E7E7E2" w:val="clear"/>
            <w:vAlign w:val="center"/>
          </w:tcPr>
          <w:p>
            <w:pPr>
              <w:pStyle w:val="TableContents"/>
              <w:bidi w:val="0"/>
              <w:spacing w:before="0" w:after="283"/>
              <w:jc w:val="center"/>
              <w:rPr/>
            </w:pPr>
            <w:r>
              <w:rPr/>
              <w:t xml:space="preserve">N/A </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174922/000117492215000044/ex-31.htm" TargetMode="External"/><Relationship Id="rId4" Type="http://schemas.openxmlformats.org/officeDocument/2006/relationships/hyperlink" Target="https://www.sec.gov/Archives/edgar/data/1174922/000117492220000024/ex32-bylaws.htm" TargetMode="External"/><Relationship Id="rId5" Type="http://schemas.openxmlformats.org/officeDocument/2006/relationships/hyperlink" Target="https://www.sec.gov/Archives/edgar/data/1174922/000117492220000024/ex32-bylaws.htm" TargetMode="External"/><Relationship Id="rId6" Type="http://schemas.openxmlformats.org/officeDocument/2006/relationships/hyperlink" Target="https://www.sec.gov/Archives/edgar/data/1174922/000117492220000024/ex32-bylaws.htm" TargetMode="External"/><Relationship Id="rId7" Type="http://schemas.openxmlformats.org/officeDocument/2006/relationships/hyperlink" Target="https://www.sec.gov/Archives/edgar/data/1174922/000117492220000024/ex32-bylaws.htm" TargetMode="External"/><Relationship Id="rId8" Type="http://schemas.openxmlformats.org/officeDocument/2006/relationships/hyperlink" Target="https://www.sec.gov/Archives/edgar/data/1174922/000117492220000024/ex32-bylaws.htm" TargetMode="External"/><Relationship Id="rId9" Type="http://schemas.openxmlformats.org/officeDocument/2006/relationships/hyperlink" Target="https://www.sec.gov/Archives/edgar/data/1174922/000091205702037826/a2089719zex-4_1.htm" TargetMode="External"/><Relationship Id="rId10" Type="http://schemas.openxmlformats.org/officeDocument/2006/relationships/hyperlink" Target="https://www.sec.gov/Archives/edgar/data/1174922/000091205702037826/a2089719zex-4_1.htm" TargetMode="External"/><Relationship Id="rId11" Type="http://schemas.openxmlformats.org/officeDocument/2006/relationships/hyperlink" Target="https://www.sec.gov/Archives/edgar/data/1174922/000091205702037826/a2089719zex-4_1.htm" TargetMode="External"/><Relationship Id="rId12" Type="http://schemas.openxmlformats.org/officeDocument/2006/relationships/hyperlink" Target="https://www.sec.gov/Archives/edgar/data/1174922/000119312504052900/dex43.htm" TargetMode="External"/><Relationship Id="rId13" Type="http://schemas.openxmlformats.org/officeDocument/2006/relationships/hyperlink" Target="https://www.sec.gov/Archives/edgar/data/1174922/000119312504052900/dex45.htm" TargetMode="External"/><Relationship Id="rId14" Type="http://schemas.openxmlformats.org/officeDocument/2006/relationships/hyperlink" Target="https://www.sec.gov/Archives/edgar/data/1174922/000119312504052900/dex45.htm" TargetMode="External"/><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jpeg"/><Relationship Id="rId18" Type="http://schemas.openxmlformats.org/officeDocument/2006/relationships/image" Target="media/image5.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16675</Words>
  <Characters>88534</Characters>
  <CharactersWithSpaces>105221</CharactersWithSpaces>
  <Paragraphs>825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