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131445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4"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SECURITIES EXCHANGE ACT OF 1934</w:t>
      </w:r>
    </w:p>
    <w:p>
      <w:pPr>
        <w:spacing w:after="0" w:line="84"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Date of Report (Date of earliest event reported): May 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131445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5" w:lineRule="exact"/>
        <w:rPr>
          <w:sz w:val="24"/>
          <w:szCs w:val="24"/>
          <w:color w:val="auto"/>
        </w:rPr>
      </w:pPr>
    </w:p>
    <w:p>
      <w:pPr>
        <w:jc w:val="center"/>
        <w:ind w:right="-35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060"/>
          </w:cols>
          <w:pgMar w:left="240" w:top="355" w:right="599" w:bottom="1440" w:gutter="0" w:footer="0" w:header="0"/>
        </w:sectPr>
      </w:pPr>
    </w:p>
    <w:p>
      <w:pPr>
        <w:spacing w:after="0" w:line="364"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880"/>
          </w:cols>
          <w:pgMar w:left="240" w:top="355" w:right="599" w:bottom="1440" w:gutter="0" w:footer="0" w:header="0"/>
          <w:type w:val="continuous"/>
        </w:sectPr>
      </w:pPr>
    </w:p>
    <w:p>
      <w:pPr>
        <w:ind w:left="1180"/>
        <w:spacing w:after="0"/>
        <w:rPr>
          <w:sz w:val="20"/>
          <w:szCs w:val="20"/>
          <w:color w:val="auto"/>
        </w:rPr>
      </w:pPr>
      <w:r>
        <w:rPr>
          <w:rFonts w:ascii="Arial" w:cs="Arial" w:eastAsia="Arial" w:hAnsi="Arial"/>
          <w:sz w:val="12"/>
          <w:szCs w:val="12"/>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6" w:lineRule="exact"/>
        <w:rPr>
          <w:sz w:val="24"/>
          <w:szCs w:val="24"/>
          <w:color w:val="auto"/>
        </w:rPr>
      </w:pPr>
    </w:p>
    <w:p>
      <w:pPr>
        <w:sectPr>
          <w:pgSz w:w="11900" w:h="16838" w:orient="portrait"/>
          <w:cols w:equalWidth="0" w:num="3">
            <w:col w:w="4340" w:space="720"/>
            <w:col w:w="2780" w:space="720"/>
            <w:col w:w="2500"/>
          </w:cols>
          <w:pgMar w:left="240" w:top="355" w:right="599" w:bottom="1440" w:gutter="0" w:footer="0" w:header="0"/>
          <w:type w:val="continuous"/>
        </w:sectPr>
      </w:pPr>
    </w:p>
    <w:p>
      <w:pPr>
        <w:ind w:left="146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060"/>
          </w:cols>
          <w:pgMar w:left="240" w:top="355" w:right="599" w:bottom="1440" w:gutter="0" w:footer="0" w:header="0"/>
          <w:type w:val="continuous"/>
        </w:sectPr>
      </w:pPr>
    </w:p>
    <w:p>
      <w:pPr>
        <w:spacing w:after="0" w:line="265" w:lineRule="exact"/>
        <w:rPr>
          <w:sz w:val="24"/>
          <w:szCs w:val="24"/>
          <w:color w:val="auto"/>
        </w:rPr>
      </w:pPr>
    </w:p>
    <w:p>
      <w:pPr>
        <w:jc w:val="center"/>
        <w:ind w:right="-35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060"/>
          </w:cols>
          <w:pgMar w:left="240" w:top="355" w:right="599" w:bottom="1440" w:gutter="0" w:footer="0" w:header="0"/>
          <w:type w:val="continuous"/>
        </w:sectPr>
      </w:pPr>
    </w:p>
    <w:p>
      <w:pPr>
        <w:spacing w:after="0" w:line="364"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333-98369</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88-0494878</w:t>
      </w:r>
    </w:p>
    <w:p>
      <w:pPr>
        <w:spacing w:after="0" w:line="56" w:lineRule="exact"/>
        <w:rPr>
          <w:sz w:val="24"/>
          <w:szCs w:val="24"/>
          <w:color w:val="auto"/>
        </w:rPr>
      </w:pPr>
    </w:p>
    <w:p>
      <w:pPr>
        <w:sectPr>
          <w:pgSz w:w="11900" w:h="16838" w:orient="portrait"/>
          <w:cols w:equalWidth="0" w:num="3">
            <w:col w:w="4740" w:space="720"/>
            <w:col w:w="3000" w:space="720"/>
            <w:col w:w="1880"/>
          </w:cols>
          <w:pgMar w:left="240" w:top="355" w:right="599" w:bottom="1440" w:gutter="0" w:footer="0" w:header="0"/>
          <w:type w:val="continuous"/>
        </w:sectPr>
      </w:pPr>
    </w:p>
    <w:p>
      <w:pPr>
        <w:ind w:left="1180"/>
        <w:spacing w:after="0"/>
        <w:rPr>
          <w:sz w:val="20"/>
          <w:szCs w:val="20"/>
          <w:color w:val="auto"/>
        </w:rPr>
      </w:pPr>
      <w:r>
        <w:rPr>
          <w:rFonts w:ascii="Arial" w:cs="Arial" w:eastAsia="Arial" w:hAnsi="Arial"/>
          <w:sz w:val="12"/>
          <w:szCs w:val="12"/>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6" w:lineRule="exact"/>
        <w:rPr>
          <w:sz w:val="24"/>
          <w:szCs w:val="24"/>
          <w:color w:val="auto"/>
        </w:rPr>
      </w:pPr>
    </w:p>
    <w:p>
      <w:pPr>
        <w:sectPr>
          <w:pgSz w:w="11900" w:h="16838" w:orient="portrait"/>
          <w:cols w:equalWidth="0" w:num="3">
            <w:col w:w="4340" w:space="720"/>
            <w:col w:w="2780" w:space="720"/>
            <w:col w:w="2500"/>
          </w:cols>
          <w:pgMar w:left="240" w:top="355" w:right="599" w:bottom="1440" w:gutter="0" w:footer="0" w:header="0"/>
          <w:type w:val="continuous"/>
        </w:sectPr>
      </w:pPr>
    </w:p>
    <w:p>
      <w:pPr>
        <w:ind w:left="1460"/>
        <w:spacing w:after="0"/>
        <w:rPr>
          <w:sz w:val="20"/>
          <w:szCs w:val="20"/>
          <w:color w:val="auto"/>
        </w:rPr>
      </w:pPr>
      <w:r>
        <w:rPr>
          <w:rFonts w:ascii="Arial" w:cs="Arial" w:eastAsia="Arial" w:hAnsi="Arial"/>
          <w:sz w:val="12"/>
          <w:szCs w:val="12"/>
          <w:b w:val="1"/>
          <w:bCs w:val="1"/>
          <w:color w:val="auto"/>
        </w:rPr>
        <w:t>of incorporation)</w:t>
      </w:r>
    </w:p>
    <w:p>
      <w:pPr>
        <w:sectPr>
          <w:pgSz w:w="11900" w:h="16838" w:orient="portrait"/>
          <w:cols w:equalWidth="0" w:num="1">
            <w:col w:w="11060"/>
          </w:cols>
          <w:pgMar w:left="240" w:top="355" w:right="599" w:bottom="1440" w:gutter="0" w:footer="0" w:header="0"/>
          <w:type w:val="continuous"/>
        </w:sectPr>
      </w:pPr>
    </w:p>
    <w:p>
      <w:pPr>
        <w:spacing w:after="0" w:line="64" w:lineRule="exact"/>
        <w:rPr>
          <w:sz w:val="24"/>
          <w:szCs w:val="24"/>
          <w:color w:val="auto"/>
        </w:rPr>
      </w:pPr>
    </w:p>
    <w:p>
      <w:pPr>
        <w:jc w:val="center"/>
        <w:ind w:right="21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5" w:lineRule="exact"/>
        <w:rPr>
          <w:sz w:val="24"/>
          <w:szCs w:val="24"/>
          <w:color w:val="auto"/>
        </w:rPr>
      </w:pPr>
    </w:p>
    <w:p>
      <w:pPr>
        <w:sectPr>
          <w:pgSz w:w="11900" w:h="16838" w:orient="portrait"/>
          <w:cols w:equalWidth="0" w:num="2">
            <w:col w:w="7800" w:space="720"/>
            <w:col w:w="2540"/>
          </w:cols>
          <w:pgMar w:left="240" w:top="355" w:right="599" w:bottom="1440" w:gutter="0" w:footer="0" w:header="0"/>
          <w:type w:val="continuous"/>
        </w:sectPr>
      </w:pPr>
    </w:p>
    <w:p>
      <w:pPr>
        <w:ind w:left="118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79" w:lineRule="exact"/>
        <w:rPr>
          <w:sz w:val="24"/>
          <w:szCs w:val="24"/>
          <w:color w:val="auto"/>
        </w:rPr>
      </w:pPr>
    </w:p>
    <w:p>
      <w:pPr>
        <w:sectPr>
          <w:pgSz w:w="11900" w:h="16838" w:orient="portrait"/>
          <w:cols w:equalWidth="0" w:num="2">
            <w:col w:w="7700" w:space="720"/>
            <w:col w:w="2640"/>
          </w:cols>
          <w:pgMar w:left="240" w:top="355" w:right="599" w:bottom="1440" w:gutter="0" w:footer="0" w:header="0"/>
          <w:type w:val="continuous"/>
        </w:sectPr>
      </w:pPr>
    </w:p>
    <w:p>
      <w:pPr>
        <w:jc w:val="center"/>
        <w:ind w:right="-37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5"/>
          <w:szCs w:val="15"/>
          <w:color w:val="auto"/>
        </w:rPr>
        <w:t>(Registrant’s telephone number, including area code)</w:t>
      </w:r>
    </w:p>
    <w:p>
      <w:pPr>
        <w:sectPr>
          <w:pgSz w:w="11900" w:h="16838" w:orient="portrait"/>
          <w:cols w:equalWidth="0" w:num="1">
            <w:col w:w="11060"/>
          </w:cols>
          <w:pgMar w:left="240" w:top="355" w:right="599" w:bottom="1440" w:gutter="0" w:footer="0" w:header="0"/>
          <w:type w:val="continuous"/>
        </w:sectPr>
      </w:pPr>
    </w:p>
    <w:p>
      <w:pPr>
        <w:spacing w:after="0" w:line="112"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127000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60"/>
          </w:cols>
          <w:pgMar w:left="240" w:top="355" w:right="5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7, 2007, Wynn Resorts, Limited issued a press release announcing its results of operations for the first quarter of 2007.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-8255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7, 2007, of Wynn Resorts, Limited.</w:t>
      </w:r>
    </w:p>
    <w:p>
      <w:pPr>
        <w:sectPr>
          <w:pgSz w:w="11900" w:h="16838" w:orient="portrait"/>
          <w:cols w:equalWidth="0" w:num="1">
            <w:col w:w="11220"/>
          </w:cols>
          <w:pgMar w:left="240" w:top="274" w:right="4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240" w:top="274" w:right="1119" w:bottom="1440" w:gutter="0" w:footer="0" w:header="0"/>
        </w:sectPr>
      </w:pPr>
    </w:p>
    <w:bookmarkStart w:id="4" w:name="page5"/>
    <w:bookmarkEnd w:id="4"/>
    <w:p>
      <w:pPr>
        <w:ind w:left="3700"/>
        <w:spacing w:after="0"/>
        <w:rPr>
          <w:sz w:val="20"/>
          <w:szCs w:val="20"/>
          <w:color w:val="auto"/>
        </w:rPr>
      </w:pPr>
      <w:r>
        <w:rPr>
          <w:rFonts w:ascii="Arial" w:cs="Arial" w:eastAsia="Arial" w:hAnsi="Arial"/>
          <w:sz w:val="18"/>
          <w:szCs w:val="18"/>
          <w:b w:val="1"/>
          <w:bCs w:val="1"/>
          <w:color w:val="auto"/>
        </w:rPr>
        <w:t>Wynn Resorts, Limited Reports First Quarter Results</w:t>
      </w:r>
    </w:p>
    <w:p>
      <w:pPr>
        <w:spacing w:after="0" w:line="17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Wynn Las Vegas adjusted EBITDA of $111.2 million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Wynn Macau adjusted EBITDA of $79.0 million</w:t>
      </w:r>
    </w:p>
    <w:p>
      <w:pPr>
        <w:spacing w:after="0" w:line="16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LAS VEGAS, May 7, 2007 (BUSINESS WIRE) — Wynn Resorts, Limited (Nasdaq: WYNN) today reported financial results for the quarter ended March 31, 2007.</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revenues for the first quarter of 2007 were $635.3 million, compared to $277.2 million in the first quarter of 2006. Results for this quarter include the operations of Wynn Macau, which opened on September 6, 2006. The revenue increase was driven by the opening of Wynn Macau and strong Wynn Las Vegas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Consolidated Adjusted EBITDA (2) was $190.2 million for the first quarter of 2007, compared to $81.1 million in the first quarter of 2006.</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 US GAAP (Generally Accepted Accounting Principles) basis, net income for the quarter was $58.4 million, or $0.54 per diluted share, compared to a loss of $11.4 million, or ($0.12) per diluted share in 2006. The significant increase in net income was due to the opening of Wynn Macau and strong operations from Wynn Las Vegas.</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Adjusted net income in the first quarter of 2007 was $72.6 million, or $0.67 per diluted share (adjusted EPS)(1) compared to an adjusted net income of $1.1 million, or $0.03 per diluted share in the first quarter of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First Quarter Results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quarter ended March 31, 2007, Wynn Las Vegas generated adjusted EBITDA of $111.2 million, a 37.1% increase from the first quarter of 2006, with a 33.6% EBITDA margin on net revenue.</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Net casino revenues in the first quarter of 2007 were $173.1 million, compared to $126.5 million for the first quarter of 2006. Table games drop was $550.2 million, with win per table per day (before discounts) of $12,794, compared to drop of $489.8 million and win per table per day of $7,395 in the first quarter of 2006. Table games win percentage of 27.6% was above the property’s expected range of 20% to 23% and exceeded the 19.8% for the first quarter of 2006. Slot machine win per unit per day was $268 on handle (volume) of $923.2 million in the quarter, compared to a win per unit per day of $275 on handle of $911.3 million during the comparable period of 2006. Slot handle at Wynn Las Vegas increased during the three months ended March 31, 2007 as compared to the same period in 2006, and the slot win percentage was within the expected range of 4.5% to 5.5%.</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non-casino revenues for the quarter were $195.2 million, a 1.7% increase from the first quarter of 2006. Hotel revenues were up 6.9% to $72.9 million during the quarter, versus $68.2 million in the first quarter of 2006. Wynn Las Vegas achieved an Average Daily Rate (ADR) of $310 for the quarter, compared to $293 in the first quarter of 2006. The property’s occupancy was 96.2%, compared to 95.5% during the prior year period, generating revenue per available room (REVPAR) of $298 in the 2007 period (6.8% higher than in 2006).</w:t>
      </w:r>
    </w:p>
    <w:p>
      <w:pPr>
        <w:spacing w:after="0" w:line="14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Food and beverage revenues increased 3.6% to $77.3 million in the quarter, compared to $74.6 million in the first quarter of 2006. Retail revenues were $21.4 million in the quarter, compared to $17.2 million in the first quarter of 2006, an increase of 24.4%. Entertainment revenues were approximately $10.9 million, compared to $20.3 in the first quarter of 2006, primarily due to the closing of Avenue Q in May 2006 and the remodeling of the Le Reve showroom in March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We are constructing Encore on approximately 20 acres on the Las Vegas Strip, immediately adjacent to Wynn Las Vegas. Encore’s current plans include 2,034 units ranging in size and amenities from executive suites to duplex sky villas and penthouses, an approximately 72,000 square foot casino, additional convention and meeting space, as well as restaurants, a nightclub, swimming pools, a spa and salon and retail outlets. The property is expected to open in early 2009.</w:t>
      </w:r>
    </w:p>
    <w:p>
      <w:pPr>
        <w:spacing w:after="0" w:line="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project budget is currently estimated at approximately $2.1 billion, consisting of approximately $2 billion for Encore and approximately $100 million for an employee parking garage on our Koval property, an associated pedestrian bridge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5" w:name="page6"/>
    <w:bookmarkEnd w:id="5"/>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costs incurred in connection with the theatre remodeling and production of “Monty Python’s Spamalot” at Wynn Las Vegas. On February 27, 2007, we entered into a Design Build Architectural, Engineering and Construction Services Agreement with Tutor-Saliba Corporation for the design and construction of Encore. The contract sets forth all of the terms and conditions pursuant to which Tutor-Saliba will design and construct Encore. The Contract also provides that the parties will negotiate a guaranteed maximum price (“GMP”) for the construction and design of Encore within 90 days of execution of the Contract. If the parties cannot mutually agree upon a GMP during the 90 day period, the Company can continue to employ Tutor for construction and design services on a cost-plus basis, agree to alternative arrangements with Tutor or terminate the Contract.</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Through March 31, 2007, the Company had incurred approximately $405.8 million of project costs related to the development and construction of Encore and related capital improvements.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First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2007, Wynn Macau generated net revenues (after discounts and commissions) of $304.6 million and Adjusted EBITDA of $79.0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Prior period comparisons are not available as we opened Wynn Macau on September 6,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mass market segment and the VIP segment.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Table games drop in the mass market category was approximately $506.9 million during the period. Mass market table games win percentage (calculated before discounts and incentives) was 18.2%, which is within the expected range of 17% to 19%.</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Table games turnover in the VIP segment was $7.2 billion for the period. VIP table games win percentage (calculated before discounts and commissions) was 3.3%, above the expected range of 2.7% to 3.0%.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Slot machine win per unit per day was $453 on handle (volume) of $326.9 million for the quarter.</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quarter, Wynn Macau generated an average daily room rate (ADR) of $245, with occupancy averaging 84.8%. Net non-casino revenues, consisting of rooms, food and beverage, retail and other, were $20.5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Expansion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opened Wynn Macau on September 6, 2006. The property currently features 256 table games and 477 slot machines in an approximately 110,000 square foot casino. Construction and development continues on the second phase. This phase includes approximately 123,000 square feet of additional gaming space, a dramatic front feature attraction, a theater showroom and additional food, beverage and retail amenities, which we expect to open in the third quarter of 2007. After the completion of the expansion, Wynn Macau is expected to have a total of approximately 470 table games and 1,400 slot machines.</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continue to develop the plans, budget and schedule for Wynn Diamond Suites, a further expansion of Wynn Macau, which was announced in November 2006. This further expansion is expected to add a second self-contained, fully-integrated resort as well as food and beverage, retail and entertainment amenities.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March 31, 2007, the Company had incurred approximately $935.1 million of the total project budget (excluding Wynn Diamond Suites) of approximately $1.2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has submitted an application with the government of Macau for a concession of land in Cotai for future development. The Company recently reconfigured its site plans for 52 acres and is awaiting final approval.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Factors Affecting Earnings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net of $6.9 million in capitalized interest, was $37.7 million for the first quarter of 2007. Depreciation and amortization expenses were $51.5 million and pre-opening expenses were $1.8 million during the quarter. Corporate expense and other was $15.4 million in the first quarter, including $4.5 million in stock based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total cash balances at the end of the quarter were $946.5 million, including unrestricted cash balances of $801.6 million and cash balances restricted for our construction and development projects of $144.9 million. Total debt outstanding at the end of the quarter was $2.3 billion, including approximately $1.6 billion of Wynn Las Vegas debt, $224 million of Convertible Debentures and $516 million of Wynn Macau-related debt. Capital expenditures during the first quarter of 2007, net of changes in construction payables and retention, totaled approximately $148 million, primarily attributable to Encore.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3"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The Company will hold a conference call to discuss its results on Monday, May 7</w:t>
      </w:r>
      <w:r>
        <w:rPr>
          <w:rFonts w:ascii="Arial" w:cs="Arial" w:eastAsia="Arial" w:hAnsi="Arial"/>
          <w:sz w:val="22"/>
          <w:szCs w:val="22"/>
          <w:color w:val="auto"/>
          <w:vertAlign w:val="superscript"/>
        </w:rPr>
        <w:t>th</w:t>
      </w:r>
      <w:r>
        <w:rPr>
          <w:rFonts w:ascii="Arial" w:cs="Arial" w:eastAsia="Arial" w:hAnsi="Arial"/>
          <w:sz w:val="18"/>
          <w:szCs w:val="18"/>
          <w:color w:val="auto"/>
        </w:rPr>
        <w:t>, 2007 at 1:30 p.m. PT (4:30 p.m. ET). Interested parties are invited to join the call by accessing a live audio webcast at http://www.wynnresorts.com (Investor Relations).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2006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20" w:firstLine="8"/>
        <w:spacing w:after="0" w:line="255" w:lineRule="auto"/>
        <w:tabs>
          <w:tab w:leader="none" w:pos="239"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(loss) and adjusted net income (loss) per share (“EPS”) are presented exclusively as supplemental disclosures because management believes that these financial measures are widely used to measure the performance, and as a principal basis for valuation, of gaming companies. These measures are considered by some to be a better indicator on which to base expectations of future results than income or EPS computed in accordance with GAAP. Adjusted net income (loss) and adjusted net income (loss) per share may be different from the calculation methods used by other companies and, therefore, comparability may be limited.</w:t>
      </w:r>
    </w:p>
    <w:p>
      <w:pPr>
        <w:spacing w:after="0" w:line="142" w:lineRule="exact"/>
        <w:rPr>
          <w:rFonts w:ascii="Arial" w:cs="Arial" w:eastAsia="Arial" w:hAnsi="Arial"/>
          <w:sz w:val="18"/>
          <w:szCs w:val="18"/>
          <w:color w:val="auto"/>
        </w:rPr>
      </w:pPr>
    </w:p>
    <w:p>
      <w:pPr>
        <w:ind w:right="60" w:firstLine="8"/>
        <w:spacing w:after="0" w:line="287"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is earnings before interest, taxes, depreciation, amortization, pre-opening costs, property charges and other, corporate expenses, stock-based compensation, contract termination fee, and other non-operating income and expenses. Adjusted EBITDA is presented exclusively as a supplemental disclosure because management believes that it is widely used to measure the performance, and as a basis for valuation, of gaming companies. Management uses Adjusted EBITDA as a measure of the operating performance of its segments 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EBITDA should not be considered as an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The Company compensates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to adjusted net income, and (ii) operating income to adjusted EBITDA and adjusted EBITDA to net income (loss).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457,192</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87,883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tcPr>
          <w:p>
            <w:pPr>
              <w:ind w:left="880"/>
              <w:spacing w:after="0"/>
              <w:rPr>
                <w:sz w:val="20"/>
                <w:szCs w:val="20"/>
                <w:color w:val="auto"/>
              </w:rPr>
            </w:pPr>
            <w:r>
              <w:rPr>
                <w:rFonts w:ascii="Arial" w:cs="Arial" w:eastAsia="Arial" w:hAnsi="Arial"/>
                <w:sz w:val="18"/>
                <w:szCs w:val="18"/>
                <w:color w:val="auto"/>
              </w:rPr>
              <w:t>Gross revenues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682,571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(47,254)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(41,057)</w:t>
            </w:r>
          </w:p>
        </w:tc>
        <w:tc>
          <w:tcPr>
            <w:tcW w:w="0" w:type="dxa"/>
            <w:vAlign w:val="bottom"/>
          </w:tcPr>
          <w:p>
            <w:pPr>
              <w:spacing w:after="0"/>
              <w:rPr>
                <w:sz w:val="1"/>
                <w:szCs w:val="1"/>
                <w:color w:val="auto"/>
              </w:rPr>
            </w:pPr>
          </w:p>
        </w:tc>
      </w:tr>
      <w:tr>
        <w:trPr>
          <w:trHeight w:val="222"/>
        </w:trPr>
        <w:tc>
          <w:tcPr>
            <w:tcW w:w="7740" w:type="dxa"/>
            <w:vAlign w:val="bottom"/>
          </w:tcPr>
          <w:p>
            <w:pPr>
              <w:ind w:left="880"/>
              <w:spacing w:after="0"/>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635,317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277,225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264,725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Contract termination fee</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88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527,593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74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108,179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(37,673)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(35,943)</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extinguishment of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88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(26,205)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(21,166)</w:t>
            </w:r>
          </w:p>
        </w:tc>
        <w:tc>
          <w:tcPr>
            <w:tcW w:w="0" w:type="dxa"/>
            <w:vAlign w:val="bottom"/>
          </w:tcPr>
          <w:p>
            <w:pPr>
              <w:spacing w:after="0"/>
              <w:rPr>
                <w:sz w:val="1"/>
                <w:szCs w:val="1"/>
                <w:color w:val="auto"/>
              </w:rPr>
            </w:pPr>
          </w:p>
        </w:tc>
      </w:tr>
      <w:tr>
        <w:trPr>
          <w:trHeight w:val="116"/>
        </w:trPr>
        <w:tc>
          <w:tcPr>
            <w:tcW w:w="7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(11,434)</w:t>
            </w:r>
          </w:p>
        </w:tc>
        <w:tc>
          <w:tcPr>
            <w:tcW w:w="0" w:type="dxa"/>
            <w:vAlign w:val="bottom"/>
          </w:tcPr>
          <w:p>
            <w:pPr>
              <w:spacing w:after="0"/>
              <w:rPr>
                <w:sz w:val="1"/>
                <w:szCs w:val="1"/>
                <w:color w:val="auto"/>
              </w:rPr>
            </w:pPr>
          </w:p>
        </w:tc>
      </w:tr>
      <w:tr>
        <w:trPr>
          <w:trHeight w:val="323"/>
        </w:trPr>
        <w:tc>
          <w:tcPr>
            <w:tcW w:w="7740" w:type="dxa"/>
            <w:vAlign w:val="bottom"/>
          </w:tcPr>
          <w:p>
            <w:pPr>
              <w:ind w:left="44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(23,569)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7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(11,434)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tcPr>
          <w:p>
            <w:pPr>
              <w:ind w:left="8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112,348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Note: * Diluted earnings per share for the three months ended March 31, 2007 includes the assumption that the convertible subordinated debentures were converted into shares of common stock. Accordingly, net income used in the computation of diluted earnings per share is increased by approximately $2.3 million of net interest attributable to these debentures for the three months ended March 31, 2007.</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RECONCILIATION OF NET INCOME (LOSS)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TO ADJUSTED NET INCOME</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5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58,405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(11,434)</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Pre-opening costs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center"/>
              <w:ind w:left="74"/>
              <w:spacing w:after="0"/>
              <w:rPr>
                <w:sz w:val="20"/>
                <w:szCs w:val="20"/>
                <w:color w:val="auto"/>
              </w:rPr>
            </w:pPr>
            <w:r>
              <w:rPr>
                <w:rFonts w:ascii="Arial" w:cs="Arial" w:eastAsia="Arial" w:hAnsi="Arial"/>
                <w:sz w:val="18"/>
                <w:szCs w:val="18"/>
                <w:color w:val="auto"/>
                <w:w w:val="84"/>
              </w:rPr>
              <w:t>8,946</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extinguishment of debt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(Increase) decrease in swap fair value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7"/>
              </w:rPr>
              <w:t>(6,345)</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13,269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4,949</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Contract termination fee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center"/>
              <w:ind w:left="74"/>
              <w:spacing w:after="0"/>
              <w:rPr>
                <w:sz w:val="20"/>
                <w:szCs w:val="20"/>
                <w:color w:val="auto"/>
              </w:rPr>
            </w:pPr>
            <w:r>
              <w:rPr>
                <w:rFonts w:ascii="Arial" w:cs="Arial" w:eastAsia="Arial" w:hAnsi="Arial"/>
                <w:sz w:val="18"/>
                <w:szCs w:val="18"/>
                <w:color w:val="auto"/>
                <w:w w:val="84"/>
              </w:rPr>
              <w:t>5,000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effect on items above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(1,503)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Adjusted net income</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72,639</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84"/>
              </w:rPr>
              <w:t>1,116</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5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Note: * Diluted adjusted net income per share for the three months ended March 31, 2007 and 2006 includes the assumption that the convertible subordinated debentures were converted into shares of common stock. Accordingly, adjusted net income used in the computation of diluted adjusted net income per share is increased by approximately $2.3 million and $2.4 million respectively, of net interest attributable to these debentures.</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274" w:right="5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EBITDA TO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0"/>
              </w:rPr>
              <w:t>Three Months Ended March 31, 2007</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0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Wynn Las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Wynn</w:t>
            </w:r>
          </w:p>
        </w:tc>
        <w:tc>
          <w:tcPr>
            <w:tcW w:w="10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2"/>
              </w:rPr>
              <w:t>Vegas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Macau</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59,014</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$ 41,060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 and royalties</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2"/>
                <w:szCs w:val="22"/>
                <w:b w:val="1"/>
                <w:bCs w:val="1"/>
                <w:color w:val="auto"/>
                <w:vertAlign w:val="superscript"/>
              </w:rPr>
              <w:t>(2)</w:t>
            </w:r>
          </w:p>
        </w:tc>
        <w:tc>
          <w:tcPr>
            <w:tcW w:w="404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111,227</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$ 79,010</w:t>
            </w:r>
          </w:p>
        </w:tc>
        <w:tc>
          <w:tcPr>
            <w:tcW w:w="18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0"/>
              </w:rPr>
              <w:t>Three Months Ended March 31, 2006</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0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Wynn Las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Wynn</w:t>
            </w:r>
          </w:p>
        </w:tc>
        <w:tc>
          <w:tcPr>
            <w:tcW w:w="10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2"/>
              </w:rPr>
              <w:t>Vegas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Macau</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22,248</w:t>
            </w: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(12,505)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8,928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38,949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4,949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 and royalties</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3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2"/>
                <w:szCs w:val="22"/>
                <w:b w:val="1"/>
                <w:bCs w:val="1"/>
                <w:color w:val="auto"/>
                <w:vertAlign w:val="superscript"/>
              </w:rPr>
              <w:t>(2)</w:t>
            </w: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$ 81,123</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95"/>
              <w:spacing w:after="0" w:line="143" w:lineRule="exact"/>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2"/>
                <w:szCs w:val="22"/>
                <w:b w:val="1"/>
                <w:bCs w:val="1"/>
                <w:color w:val="auto"/>
                <w:vertAlign w:val="superscript"/>
              </w:rPr>
              <w:t>(2)</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190,237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(10,969)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(23,569)</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40" w:type="dxa"/>
            <w:vAlign w:val="bottom"/>
            <w:vMerge w:val="restart"/>
          </w:tcPr>
          <w:p>
            <w:pPr>
              <w:jc w:val="right"/>
              <w:ind w:right="187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2007</w:t>
            </w: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4"/>
              <w:spacing w:after="0" w:line="176" w:lineRule="exact"/>
              <w:rPr>
                <w:sz w:val="20"/>
                <w:szCs w:val="20"/>
                <w:color w:val="auto"/>
              </w:rPr>
            </w:pPr>
            <w:r>
              <w:rPr>
                <w:rFonts w:ascii="Arial" w:cs="Arial" w:eastAsia="Arial" w:hAnsi="Arial"/>
                <w:sz w:val="13"/>
                <w:szCs w:val="13"/>
                <w:b w:val="1"/>
                <w:bCs w:val="1"/>
                <w:color w:val="auto"/>
                <w:w w:val="88"/>
              </w:rPr>
              <w:t>2006</w:t>
            </w:r>
            <w:r>
              <w:rPr>
                <w:rFonts w:ascii="Arial" w:cs="Arial" w:eastAsia="Arial" w:hAnsi="Arial"/>
                <w:sz w:val="20"/>
                <w:szCs w:val="20"/>
                <w:b w:val="1"/>
                <w:bCs w:val="1"/>
                <w:color w:val="auto"/>
                <w:w w:val="88"/>
                <w:vertAlign w:val="superscript"/>
              </w:rPr>
              <w:t>(5)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Room Statistics for Wynn Las Vegas: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Occupancy %</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Average Daily Room Rate (ADR)</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2"/>
                <w:szCs w:val="22"/>
                <w:color w:val="auto"/>
                <w:vertAlign w:val="superscript"/>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information for Wynn Las Vegas: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2"/>
                <w:szCs w:val="22"/>
                <w:color w:val="auto"/>
                <w:vertAlign w:val="superscript"/>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12,794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Table Hold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2"/>
                <w:szCs w:val="22"/>
                <w:color w:val="auto"/>
                <w:vertAlign w:val="superscript"/>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number of table games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Average number of slot machines</w:t>
            </w: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Room Statistics for Wynn Macau:</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Occupancy %</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Average Daily Room Rate (ADR)</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2"/>
                <w:szCs w:val="22"/>
                <w:color w:val="auto"/>
                <w:vertAlign w:val="superscript"/>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information for Wynn Macau:</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2"/>
                <w:szCs w:val="22"/>
                <w:color w:val="auto"/>
                <w:vertAlign w:val="superscript"/>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15,369</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20"/>
              <w:spacing w:after="0"/>
              <w:rPr>
                <w:sz w:val="20"/>
                <w:szCs w:val="20"/>
                <w:color w:val="auto"/>
              </w:rPr>
            </w:pPr>
            <w:r>
              <w:rPr>
                <w:rFonts w:ascii="Arial" w:cs="Arial" w:eastAsia="Arial" w:hAnsi="Arial"/>
                <w:sz w:val="18"/>
                <w:szCs w:val="18"/>
                <w:color w:val="auto"/>
              </w:rPr>
              <w:t>Average number of table games</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Average number of slot machines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Room Rate and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Wynn Macau information for the First quarter of 2006 is not applicable as Wynn Macau opened on September 6,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www.wynnresorts.com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www.wynnlasvegas.com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2019-12-12T02:57:38Z</dcterms:created>
  <dcterms:modified xsi:type="dcterms:W3CDTF">2019-12-12T02:57:38Z</dcterms:modified>
</cp:coreProperties>
</file>