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March 23,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86"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580"/>
          </w:cols>
          <w:pgMar w:left="240" w:top="314" w:right="899" w:bottom="1440" w:gutter="0" w:footer="0" w:header="0"/>
          <w:type w:val="continuous"/>
        </w:sect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p>
      <w:pPr>
        <w:spacing w:after="0" w:line="261"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March 24, 2010 (Macau time) and March 23, 2010 (Las Vegas time), Wynn Macau, Limited (“WML”), an indirect subsidiary of Wynn Resorts, Limited (the “Registrant”) with ordinary shares of its common stock listed on The Stock Exchange of Hong Kong Limited, filed its preliminary results in respect of the year ended December 31, 2009 (the “Annual Results Announcement”) with The Stock Exchange of Hong Kong Limited. The Registrant owns approximately</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72.3% of WML’s ordinary shares of common stock. The 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Annual Results Announcement of Wynn Macau, Limited, dated March 24,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tabs>
          <w:tab w:leader="none" w:pos="842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Matt Maddox</w:t>
      </w:r>
    </w:p>
    <w:p>
      <w:pPr>
        <w:spacing w:after="0" w:line="2" w:lineRule="exact"/>
        <w:rPr>
          <w:sz w:val="20"/>
          <w:szCs w:val="20"/>
          <w:color w:val="auto"/>
        </w:rPr>
      </w:pPr>
    </w:p>
    <w:p>
      <w:pPr>
        <w:jc w:val="center"/>
        <w:ind w:left="7220"/>
        <w:spacing w:after="0"/>
        <w:rPr>
          <w:sz w:val="20"/>
          <w:szCs w:val="20"/>
          <w:color w:val="auto"/>
        </w:rPr>
      </w:pPr>
      <w:r>
        <w:rPr>
          <w:rFonts w:ascii="Arial" w:cs="Arial" w:eastAsia="Arial" w:hAnsi="Arial"/>
          <w:sz w:val="12"/>
          <w:szCs w:val="12"/>
          <w:b w:val="1"/>
          <w:bCs w:val="1"/>
          <w:color w:val="auto"/>
        </w:rPr>
        <w:t>Chief Financial Officer and Treasurer</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240" w:top="274" w:right="111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94615</wp:posOffset>
            </wp:positionV>
            <wp:extent cx="2143760" cy="823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RESULTS ANNOUNCEMENT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31 DECEMBER 2009</w:t>
      </w:r>
    </w:p>
    <w:p>
      <w:pPr>
        <w:spacing w:after="0" w:line="16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Board of Directors of Wynn Macau, Limited (the “Company”) is pleased to announce the audited consolidated annual results of the Company and its subsidiaries (collectively, the “Group”) for the year ended 31 December 2009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40" w:type="dxa"/>
            <w:vAlign w:val="bottom"/>
            <w:gridSpan w:val="3"/>
          </w:tcPr>
          <w:p>
            <w:pPr>
              <w:jc w:val="center"/>
              <w:ind w:left="742"/>
              <w:spacing w:after="0"/>
              <w:rPr>
                <w:sz w:val="20"/>
                <w:szCs w:val="20"/>
                <w:color w:val="auto"/>
              </w:rPr>
            </w:pPr>
            <w:r>
              <w:rPr>
                <w:rFonts w:ascii="Arial" w:cs="Arial" w:eastAsia="Arial" w:hAnsi="Arial"/>
                <w:sz w:val="14"/>
                <w:szCs w:val="14"/>
                <w:b w:val="1"/>
                <w:bCs w:val="1"/>
                <w:color w:val="auto"/>
                <w:w w:val="90"/>
              </w:rPr>
              <w:t>Group</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6"/>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92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HK$</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9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13,185,580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13,883,379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revenues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891,320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3,242,368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3,138,215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Profit attributable to equity holders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2,068,647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2,039,644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24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41 cents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cents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not recommended a final dividend payment for the year ended 31 December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 identification purpose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b w:val="1"/>
                <w:bCs w:val="1"/>
                <w:color w:val="auto"/>
                <w:w w:val="85"/>
              </w:rPr>
              <w:t>Group</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1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840" w:type="dxa"/>
            <w:vAlign w:val="bottom"/>
            <w:tcBorders>
              <w:top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ind w:left="240"/>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20" w:type="dxa"/>
            <w:vAlign w:val="bottom"/>
            <w:vMerge w:val="restart"/>
          </w:tcPr>
          <w:p>
            <w:pPr>
              <w:jc w:val="center"/>
              <w:ind w:left="2776"/>
              <w:spacing w:after="0"/>
              <w:rPr>
                <w:sz w:val="20"/>
                <w:szCs w:val="20"/>
                <w:color w:val="auto"/>
              </w:rPr>
            </w:pPr>
            <w:r>
              <w:rPr>
                <w:rFonts w:ascii="Arial" w:cs="Arial" w:eastAsia="Arial" w:hAnsi="Arial"/>
                <w:sz w:val="14"/>
                <w:szCs w:val="14"/>
                <w:b w:val="1"/>
                <w:bCs w:val="1"/>
                <w:color w:val="auto"/>
                <w:w w:val="82"/>
              </w:rPr>
              <w:t>Notes</w:t>
            </w: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HK$</w:t>
            </w:r>
          </w:p>
        </w:tc>
        <w:tc>
          <w:tcPr>
            <w:tcW w:w="400" w:type="dxa"/>
            <w:vAlign w:val="bottom"/>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840" w:type="dxa"/>
            <w:vAlign w:val="bottom"/>
          </w:tcPr>
          <w:p>
            <w:pPr>
              <w:ind w:left="620"/>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620" w:type="dxa"/>
            <w:vAlign w:val="bottom"/>
          </w:tcPr>
          <w:p>
            <w:pPr>
              <w:spacing w:after="0"/>
              <w:rPr>
                <w:sz w:val="7"/>
                <w:szCs w:val="7"/>
                <w:color w:val="auto"/>
              </w:rPr>
            </w:pPr>
          </w:p>
        </w:tc>
        <w:tc>
          <w:tcPr>
            <w:tcW w:w="3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Casino</w:t>
            </w:r>
          </w:p>
        </w:tc>
        <w:tc>
          <w:tcPr>
            <w:tcW w:w="3620" w:type="dxa"/>
            <w:vAlign w:val="bottom"/>
          </w:tcPr>
          <w:p>
            <w:pPr>
              <w:spacing w:after="0"/>
              <w:rPr>
                <w:sz w:val="18"/>
                <w:szCs w:val="18"/>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3"/>
              </w:rPr>
              <w:t>13,185,580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13,883,379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102,791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620" w:type="dxa"/>
            <w:vAlign w:val="bottom"/>
          </w:tcPr>
          <w:p>
            <w:pPr>
              <w:spacing w:after="0"/>
              <w:rPr>
                <w:sz w:val="18"/>
                <w:szCs w:val="18"/>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133,443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 and other</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655,086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527,079</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revenues</w:t>
            </w:r>
          </w:p>
        </w:tc>
        <w:tc>
          <w:tcPr>
            <w:tcW w:w="3620" w:type="dxa"/>
            <w:vAlign w:val="bottom"/>
          </w:tcPr>
          <w:p>
            <w:pPr>
              <w:spacing w:after="0"/>
              <w:rPr>
                <w:sz w:val="24"/>
                <w:szCs w:val="24"/>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w w:val="93"/>
              </w:rPr>
              <w:t>14,076,900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14,710,576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Gaming taxes and premiums</w:t>
            </w:r>
          </w:p>
        </w:tc>
        <w:tc>
          <w:tcPr>
            <w:tcW w:w="3620" w:type="dxa"/>
            <w:vAlign w:val="bottom"/>
          </w:tcPr>
          <w:p>
            <w:pPr>
              <w:spacing w:after="0"/>
              <w:rPr>
                <w:sz w:val="18"/>
                <w:szCs w:val="18"/>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6,742,056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7,004,281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Staff costs</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1,610,200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1,717,616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620" w:type="dxa"/>
            <w:vAlign w:val="bottom"/>
          </w:tcPr>
          <w:p>
            <w:pPr>
              <w:jc w:val="center"/>
              <w:ind w:left="2776"/>
              <w:spacing w:after="0"/>
              <w:rPr>
                <w:sz w:val="20"/>
                <w:szCs w:val="20"/>
                <w:color w:val="auto"/>
              </w:rPr>
            </w:pPr>
            <w:r>
              <w:rPr>
                <w:rFonts w:ascii="Arial" w:cs="Arial" w:eastAsia="Arial" w:hAnsi="Arial"/>
                <w:sz w:val="18"/>
                <w:szCs w:val="18"/>
                <w:color w:val="auto"/>
                <w:w w:val="79"/>
              </w:rPr>
              <w:t>3</w:t>
            </w: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2,572,801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718,169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620" w:type="dxa"/>
            <w:vAlign w:val="bottom"/>
          </w:tcPr>
          <w:p>
            <w:pPr>
              <w:spacing w:after="0"/>
              <w:rPr>
                <w:sz w:val="18"/>
                <w:szCs w:val="18"/>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19,211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78,036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3"/>
              </w:rPr>
              <w:t>11,662,437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12,379,220</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Operating profits</w:t>
            </w:r>
          </w:p>
        </w:tc>
        <w:tc>
          <w:tcPr>
            <w:tcW w:w="3620" w:type="dxa"/>
            <w:vAlign w:val="bottom"/>
          </w:tcPr>
          <w:p>
            <w:pPr>
              <w:spacing w:after="0"/>
              <w:rPr>
                <w:sz w:val="24"/>
                <w:szCs w:val="24"/>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2,414,463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2,331,356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Finance revenues</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5,728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Finance costs</w:t>
            </w:r>
          </w:p>
        </w:tc>
        <w:tc>
          <w:tcPr>
            <w:tcW w:w="3620" w:type="dxa"/>
            <w:vAlign w:val="bottom"/>
          </w:tcPr>
          <w:p>
            <w:pPr>
              <w:spacing w:after="0"/>
              <w:rPr>
                <w:sz w:val="18"/>
                <w:szCs w:val="18"/>
                <w:color w:val="auto"/>
              </w:rPr>
            </w:pPr>
          </w:p>
        </w:tc>
        <w:tc>
          <w:tcPr>
            <w:tcW w:w="12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(317,361)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foreign currency differences</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887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Decrease in fair value of interest rate swaps</w:t>
            </w:r>
          </w:p>
        </w:tc>
        <w:tc>
          <w:tcPr>
            <w:tcW w:w="3620" w:type="dxa"/>
            <w:vAlign w:val="bottom"/>
          </w:tcPr>
          <w:p>
            <w:pPr>
              <w:spacing w:after="0"/>
              <w:rPr>
                <w:sz w:val="18"/>
                <w:szCs w:val="18"/>
                <w:color w:val="auto"/>
              </w:rPr>
            </w:pPr>
          </w:p>
        </w:tc>
        <w:tc>
          <w:tcPr>
            <w:tcW w:w="12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(29,481)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(90,251)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(340,227)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(349,076)</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Profits before tax</w:t>
            </w:r>
          </w:p>
        </w:tc>
        <w:tc>
          <w:tcPr>
            <w:tcW w:w="3620" w:type="dxa"/>
            <w:vAlign w:val="bottom"/>
          </w:tcPr>
          <w:p>
            <w:pPr>
              <w:spacing w:after="0"/>
              <w:rPr>
                <w:sz w:val="24"/>
                <w:szCs w:val="24"/>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2,074,236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1,982,280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3620" w:type="dxa"/>
            <w:vAlign w:val="bottom"/>
            <w:shd w:val="clear" w:color="auto" w:fill="CCEEFF"/>
          </w:tcPr>
          <w:p>
            <w:pPr>
              <w:jc w:val="center"/>
              <w:ind w:left="2776"/>
              <w:spacing w:after="0"/>
              <w:rPr>
                <w:sz w:val="20"/>
                <w:szCs w:val="20"/>
                <w:color w:val="auto"/>
              </w:rPr>
            </w:pPr>
            <w:r>
              <w:rPr>
                <w:rFonts w:ascii="Arial" w:cs="Arial" w:eastAsia="Arial" w:hAnsi="Arial"/>
                <w:sz w:val="18"/>
                <w:szCs w:val="18"/>
                <w:color w:val="auto"/>
                <w:w w:val="79"/>
              </w:rPr>
              <w:t>4</w:t>
            </w:r>
          </w:p>
        </w:tc>
        <w:tc>
          <w:tcPr>
            <w:tcW w:w="124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(5,589)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Net profits attributable to equity holders of the Company</w:t>
            </w:r>
          </w:p>
        </w:tc>
        <w:tc>
          <w:tcPr>
            <w:tcW w:w="3620" w:type="dxa"/>
            <w:vAlign w:val="bottom"/>
          </w:tcPr>
          <w:p>
            <w:pPr>
              <w:spacing w:after="0"/>
              <w:rPr>
                <w:sz w:val="24"/>
                <w:szCs w:val="24"/>
                <w:color w:val="auto"/>
              </w:rPr>
            </w:pP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2,068,647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2,039,644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3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rPr>
              <w:t>Currency translation reserve</w:t>
            </w:r>
          </w:p>
        </w:tc>
        <w:tc>
          <w:tcPr>
            <w:tcW w:w="3620" w:type="dxa"/>
            <w:vAlign w:val="bottom"/>
          </w:tcPr>
          <w:p>
            <w:pPr>
              <w:spacing w:after="0"/>
              <w:rPr>
                <w:sz w:val="18"/>
                <w:szCs w:val="18"/>
                <w:color w:val="auto"/>
              </w:rPr>
            </w:pPr>
          </w:p>
        </w:tc>
        <w:tc>
          <w:tcPr>
            <w:tcW w:w="124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(191)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Total comprehensive income attributable to equity holders of the Company</w:t>
            </w:r>
          </w:p>
        </w:tc>
        <w:tc>
          <w:tcPr>
            <w:tcW w:w="36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2,068,456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2,055,496</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3620" w:type="dxa"/>
            <w:vAlign w:val="bottom"/>
          </w:tcPr>
          <w:p>
            <w:pPr>
              <w:jc w:val="center"/>
              <w:ind w:left="2776"/>
              <w:spacing w:after="0"/>
              <w:rPr>
                <w:sz w:val="20"/>
                <w:szCs w:val="20"/>
                <w:color w:val="auto"/>
              </w:rPr>
            </w:pPr>
            <w:r>
              <w:rPr>
                <w:rFonts w:ascii="Arial" w:cs="Arial" w:eastAsia="Arial" w:hAnsi="Arial"/>
                <w:sz w:val="18"/>
                <w:szCs w:val="18"/>
                <w:color w:val="auto"/>
                <w:w w:val="79"/>
              </w:rPr>
              <w:t>5</w:t>
            </w:r>
          </w:p>
        </w:tc>
        <w:tc>
          <w:tcPr>
            <w:tcW w:w="124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41 cents</w:t>
            </w:r>
          </w:p>
        </w:tc>
        <w:tc>
          <w:tcPr>
            <w:tcW w:w="920" w:type="dxa"/>
            <w:vAlign w:val="bottom"/>
            <w:gridSpan w:val="2"/>
          </w:tcPr>
          <w:p>
            <w:pPr>
              <w:ind w:left="240"/>
              <w:spacing w:after="0"/>
              <w:rPr>
                <w:sz w:val="20"/>
                <w:szCs w:val="20"/>
                <w:color w:val="auto"/>
              </w:rPr>
            </w:pPr>
            <w:r>
              <w:rPr>
                <w:rFonts w:ascii="Arial" w:cs="Arial" w:eastAsia="Arial" w:hAnsi="Arial"/>
                <w:sz w:val="18"/>
                <w:szCs w:val="18"/>
                <w:color w:val="auto"/>
                <w:w w:val="96"/>
              </w:rPr>
              <w:t>41 cents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20" w:type="dxa"/>
            <w:vAlign w:val="bottom"/>
            <w:vMerge w:val="restart"/>
          </w:tcPr>
          <w:p>
            <w:pPr>
              <w:jc w:val="right"/>
              <w:ind w:right="3416"/>
              <w:spacing w:after="0"/>
              <w:rPr>
                <w:sz w:val="20"/>
                <w:szCs w:val="20"/>
                <w:color w:val="auto"/>
              </w:rPr>
            </w:pPr>
            <w:r>
              <w:rPr>
                <w:rFonts w:ascii="Arial" w:cs="Arial" w:eastAsia="Arial" w:hAnsi="Arial"/>
                <w:sz w:val="18"/>
                <w:szCs w:val="18"/>
                <w:color w:val="auto"/>
                <w:w w:val="99"/>
              </w:rPr>
              <w:t>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FINANCIAL POSITION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at 31 December</w:t>
            </w:r>
          </w:p>
        </w:tc>
        <w:tc>
          <w:tcPr>
            <w:tcW w:w="1040" w:type="dxa"/>
            <w:vAlign w:val="bottom"/>
            <w:gridSpan w:val="2"/>
            <w:vMerge w:val="restart"/>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2009</w:t>
            </w:r>
          </w:p>
        </w:tc>
        <w:tc>
          <w:tcPr>
            <w:tcW w:w="10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3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Notes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360" w:type="dxa"/>
            <w:vAlign w:val="bottom"/>
            <w:vMerge w:val="continue"/>
          </w:tcPr>
          <w:p>
            <w:pPr>
              <w:spacing w:after="0"/>
              <w:rPr>
                <w:sz w:val="14"/>
                <w:szCs w:val="14"/>
                <w:color w:val="auto"/>
              </w:rPr>
            </w:pPr>
          </w:p>
        </w:tc>
        <w:tc>
          <w:tcPr>
            <w:tcW w:w="21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9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Property and equipment and construction in progress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8,527,914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7,047,193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interest in land</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99"/>
              </w:rPr>
              <w:t>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464,353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Deposits for acquisition of property and equipment</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82,627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398,345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167,836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99"/>
              </w:rPr>
              <w:t>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32,588</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9,673,663</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7,999,031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202,745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and other receivables</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99"/>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Prepayments and other current assets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37,030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from related companies</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89"/>
              </w:rPr>
              <w:t>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5,228,995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2,544,291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5,917,865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3,117,601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3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99"/>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726,742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Land premiums payable</w:t>
            </w:r>
          </w:p>
        </w:tc>
        <w:tc>
          <w:tcPr>
            <w:tcW w:w="4360" w:type="dxa"/>
            <w:vAlign w:val="bottom"/>
          </w:tcPr>
          <w:p>
            <w:pPr>
              <w:jc w:val="center"/>
              <w:ind w:left="3294"/>
              <w:spacing w:after="0"/>
              <w:rPr>
                <w:sz w:val="20"/>
                <w:szCs w:val="20"/>
                <w:color w:val="auto"/>
              </w:rPr>
            </w:pPr>
            <w:r>
              <w:rPr>
                <w:rFonts w:ascii="Arial" w:cs="Arial" w:eastAsia="Arial" w:hAnsi="Arial"/>
                <w:sz w:val="18"/>
                <w:szCs w:val="18"/>
                <w:color w:val="auto"/>
                <w:w w:val="99"/>
              </w:rPr>
              <w:t>9</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payables and accruals</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2,621,093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Amounts due to related companies</w:t>
            </w:r>
          </w:p>
        </w:tc>
        <w:tc>
          <w:tcPr>
            <w:tcW w:w="4360" w:type="dxa"/>
            <w:vAlign w:val="bottom"/>
          </w:tcPr>
          <w:p>
            <w:pPr>
              <w:jc w:val="center"/>
              <w:ind w:left="3294"/>
              <w:spacing w:after="0"/>
              <w:rPr>
                <w:sz w:val="20"/>
                <w:szCs w:val="20"/>
                <w:color w:val="auto"/>
              </w:rPr>
            </w:pPr>
            <w:r>
              <w:rPr>
                <w:rFonts w:ascii="Arial" w:cs="Arial" w:eastAsia="Arial" w:hAnsi="Arial"/>
                <w:sz w:val="18"/>
                <w:szCs w:val="18"/>
                <w:color w:val="auto"/>
                <w:w w:val="89"/>
              </w:rPr>
              <w:t>11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189,500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4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15,455</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3,552,790</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2,198,136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current assets</w:t>
            </w:r>
          </w:p>
        </w:tc>
        <w:tc>
          <w:tcPr>
            <w:tcW w:w="4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2,365,075</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4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12,038,738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8,918,496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Interest-bearing loans and borrowings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8,017,177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7,972,912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 payable</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126,760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4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56,622</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8,267,772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8,180,991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3,770,966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Equity attributable to equity holders of the Company</w:t>
            </w:r>
          </w:p>
        </w:tc>
        <w:tc>
          <w:tcPr>
            <w:tcW w:w="43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capital</w:t>
            </w:r>
          </w:p>
        </w:tc>
        <w:tc>
          <w:tcPr>
            <w:tcW w:w="4360" w:type="dxa"/>
            <w:vAlign w:val="bottom"/>
            <w:shd w:val="clear" w:color="auto" w:fill="CCEEFF"/>
          </w:tcPr>
          <w:p>
            <w:pPr>
              <w:jc w:val="center"/>
              <w:ind w:left="3294"/>
              <w:spacing w:after="0"/>
              <w:rPr>
                <w:sz w:val="20"/>
                <w:szCs w:val="20"/>
                <w:color w:val="auto"/>
              </w:rPr>
            </w:pPr>
            <w:r>
              <w:rPr>
                <w:rFonts w:ascii="Arial" w:cs="Arial" w:eastAsia="Arial" w:hAnsi="Arial"/>
                <w:sz w:val="18"/>
                <w:szCs w:val="18"/>
                <w:color w:val="auto"/>
                <w:w w:val="89"/>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Share premium account</w:t>
            </w:r>
          </w:p>
        </w:tc>
        <w:tc>
          <w:tcPr>
            <w:tcW w:w="4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1,923,617</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w:t>
            </w:r>
          </w:p>
        </w:tc>
        <w:tc>
          <w:tcPr>
            <w:tcW w:w="4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1,842,161</w:t>
            </w:r>
          </w:p>
        </w:tc>
        <w:tc>
          <w:tcPr>
            <w:tcW w:w="3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4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3,770,966</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737,505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360" w:type="dxa"/>
            <w:vAlign w:val="bottom"/>
            <w:vMerge w:val="restart"/>
          </w:tcPr>
          <w:p>
            <w:pPr>
              <w:jc w:val="right"/>
              <w:ind w:right="3434"/>
              <w:spacing w:after="0"/>
              <w:rPr>
                <w:sz w:val="20"/>
                <w:szCs w:val="20"/>
                <w:color w:val="auto"/>
              </w:rPr>
            </w:pPr>
            <w:r>
              <w:rPr>
                <w:rFonts w:ascii="Arial" w:cs="Arial" w:eastAsia="Arial" w:hAnsi="Arial"/>
                <w:sz w:val="18"/>
                <w:szCs w:val="18"/>
                <w:color w:val="auto"/>
              </w:rPr>
              <w:t>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w:t>
      </w:r>
    </w:p>
    <w:p>
      <w:pPr>
        <w:spacing w:after="0" w:line="9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PRESENTATION</w:t>
      </w:r>
    </w:p>
    <w:p>
      <w:pPr>
        <w:spacing w:after="0" w:line="96"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Pursuant to the Group Reorganization which was undertaken for the purpose of the Listing of the Company’s Shares on the Hong Kong Stock Exchange, the Company acquired WM Cayman Holdings Limited II, which was at the relevant time the holding company of the subsidiaries comprising the Group, from the Company’s immediate parent company, WM Cayman Holdings Limited I. The consideration for the acquisition consisted of (a) the issue by the Company to WM Cayman Holdings Limited I of an acquisition note; and (b) the issue by the Company to WM Cayman Holdings Limited I of such number of new Shares as would amount to approximately 75% of the Company’s issued share capital (as calculated based on the Company’s issued share capital following its initial public offering and assuming no exercise of the over-allotment option). The acquisition was completed on 8 October 2009 with the relevant Shares and acquisition note being issued by the Company to WM Cayman Holdings Limited I. The acquisition note was redeemed by the Company on 9 October 2009 for a sum of HK$12.6 billion. Since the completion of Group Reorganization on 8 October 2009, the Group has been the holding company of the subsidiaries now comprising the Group. The details of the Group Reorganization are set out in the section headed “Reorganization” in Appendix VI “Statutory and General Information” to the IPO Prospectus of the Company dated 24 September 2009, filed in connection with the Listing.</w:t>
      </w:r>
    </w:p>
    <w:p>
      <w:pPr>
        <w:spacing w:after="0" w:line="28" w:lineRule="exact"/>
        <w:rPr>
          <w:rFonts w:ascii="Arial" w:cs="Arial" w:eastAsia="Arial" w:hAnsi="Arial"/>
          <w:sz w:val="18"/>
          <w:szCs w:val="18"/>
          <w:b w:val="1"/>
          <w:bCs w:val="1"/>
          <w:color w:val="auto"/>
        </w:rPr>
      </w:pPr>
    </w:p>
    <w:p>
      <w:pPr>
        <w:ind w:left="460"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financial statements have been prepared in accordance with International Financial Reporting Standards which comprise standards and interpretations approved by the International Accounting Standards Board (the “IASB”), International Accounting Standards (“IAS”) and Standing Interpretation Committee interpretations approved by the International Accounting Standards Committee and the disclosure requirements of the Companies Ordinance. The financial statements have been prepared under the historical cost convention, except for the revaluation of derivative financial instruments which have been measured at fair value. These financial statements are presented in Hong Kong dollars and all values are rounded to the nearest thousand (HK$’000) except where otherwise indicated.</w:t>
      </w:r>
    </w:p>
    <w:p>
      <w:pPr>
        <w:spacing w:after="0" w:line="39" w:lineRule="exact"/>
        <w:rPr>
          <w:rFonts w:ascii="Arial" w:cs="Arial" w:eastAsia="Arial" w:hAnsi="Arial"/>
          <w:sz w:val="18"/>
          <w:szCs w:val="18"/>
          <w:b w:val="1"/>
          <w:bCs w:val="1"/>
          <w:color w:val="auto"/>
        </w:rPr>
      </w:pPr>
    </w:p>
    <w:p>
      <w:pPr>
        <w:ind w:left="460" w:right="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financial statements have been prepared in accordance with the principles of merger accounting as a result of the Group Reorganization. On this basis, the Company has been treated as the holding company of its subsidiaries for the financial years presented rather than from the date of their acquisition. Accordingly, the results of the Group for the years ended 31 December 2008 and 2009 include the results of the Company and its subsidiaries with effect from 1 January 2008 or since their respective dates of incorporation, where this is a shorter period. The comparative consolidated statement of financial position as at 31 December 2008 has been prepared on the basis that the existing Group had been in place at that date. All income, expenses and unrealized gains and losses resulting from intercompany transactions and intercompany balances within the Group are eliminated on consolidation in full.</w:t>
      </w:r>
    </w:p>
    <w:p>
      <w:pPr>
        <w:spacing w:after="0" w:line="23"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the opinion of the Directors the consolidated financial statements prepared on the above basis presented more fairly the results and state of affairs of the Group as a whole.</w:t>
      </w:r>
    </w:p>
    <w:p>
      <w:pPr>
        <w:spacing w:after="0" w:line="50" w:lineRule="exact"/>
        <w:rPr>
          <w:rFonts w:ascii="Arial" w:cs="Arial" w:eastAsia="Arial" w:hAnsi="Arial"/>
          <w:sz w:val="18"/>
          <w:szCs w:val="18"/>
          <w:b w:val="1"/>
          <w:bCs w:val="1"/>
          <w:color w:val="auto"/>
        </w:rPr>
      </w:pPr>
    </w:p>
    <w:p>
      <w:pPr>
        <w:ind w:left="46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for the IAS 1(revised) which will affect the presentation of the Company’s financial statements, the adoption of other new interpretations and amendments have had no significant financial effect on these financial statements and there have been no significant changes to the accounting policies applied in these financial statements.</w:t>
      </w:r>
    </w:p>
    <w:p>
      <w:pPr>
        <w:spacing w:after="0" w:line="59" w:lineRule="exact"/>
        <w:rPr>
          <w:rFonts w:ascii="Arial" w:cs="Arial" w:eastAsia="Arial" w:hAnsi="Arial"/>
          <w:sz w:val="18"/>
          <w:szCs w:val="18"/>
          <w:b w:val="1"/>
          <w:bCs w:val="1"/>
          <w:color w:val="auto"/>
        </w:rPr>
      </w:pPr>
    </w:p>
    <w:p>
      <w:pPr>
        <w:ind w:left="4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IASB has issued a number of new and revised standards, amendments or interpretations that have been issued but are not yet effective. The Group has not early adopted these new and revised IFRSs.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currently operates in one business segment, namely, the management of its casino, hotel, retail and food and beverage operations. A single management team reports to the chief operating decision-makers who comprehensively manage the entire business. Accordingly, the Group does not have separate reportable segments.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7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OPERATING EXPENSES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280" w:type="dxa"/>
            <w:vAlign w:val="bottom"/>
            <w:gridSpan w:val="3"/>
          </w:tcPr>
          <w:p>
            <w:pPr>
              <w:ind w:left="840"/>
              <w:spacing w:after="0"/>
              <w:rPr>
                <w:sz w:val="20"/>
                <w:szCs w:val="20"/>
                <w:color w:val="auto"/>
              </w:rPr>
            </w:pPr>
            <w:r>
              <w:rPr>
                <w:rFonts w:ascii="Arial" w:cs="Arial" w:eastAsia="Arial" w:hAnsi="Arial"/>
                <w:sz w:val="14"/>
                <w:szCs w:val="14"/>
                <w:b w:val="1"/>
                <w:bCs w:val="1"/>
                <w:color w:val="auto"/>
                <w:w w:val="99"/>
              </w:rPr>
              <w:t>Group</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6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w w:val="89"/>
              </w:rPr>
              <w:t>For the year ended 31 December</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90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535"/>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82"/>
        </w:trPr>
        <w:tc>
          <w:tcPr>
            <w:tcW w:w="300" w:type="dxa"/>
            <w:vAlign w:val="bottom"/>
          </w:tcPr>
          <w:p>
            <w:pPr>
              <w:spacing w:after="0"/>
              <w:rPr>
                <w:sz w:val="7"/>
                <w:szCs w:val="7"/>
                <w:color w:val="auto"/>
              </w:rPr>
            </w:pPr>
          </w:p>
        </w:tc>
        <w:tc>
          <w:tcPr>
            <w:tcW w:w="108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Gaming promoters’ commissions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854,713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829,026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Royalty fees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554,525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572,084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Corporate support services and 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support services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65,452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83,393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334,702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193,110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117,483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supplies and equipment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99,109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137,180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Auditors’ remuneration</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323,986</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380,704</w:t>
            </w:r>
          </w:p>
        </w:tc>
        <w:tc>
          <w:tcPr>
            <w:tcW w:w="0" w:type="dxa"/>
            <w:vAlign w:val="bottom"/>
          </w:tcPr>
          <w:p>
            <w:pPr>
              <w:spacing w:after="0"/>
              <w:rPr>
                <w:sz w:val="1"/>
                <w:szCs w:val="1"/>
                <w:color w:val="auto"/>
              </w:rPr>
            </w:pPr>
          </w:p>
        </w:tc>
      </w:tr>
      <w:tr>
        <w:trPr>
          <w:trHeight w:val="33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2,572,801</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2,882,624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hanging="446"/>
        <w:spacing w:after="0"/>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operating rental expense of approximately HK$47.7 million for the year ended 31 December 2009 (2008: HK$42.2 million).</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BENEFIT/(EXPENSE)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the income tax benefit/(expense) for the years ended 31 December 2009 and 2008 were: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Group</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rPr>
              <w:t>HK$</w:t>
            </w:r>
          </w:p>
        </w:tc>
        <w:tc>
          <w:tcPr>
            <w:tcW w:w="620" w:type="dxa"/>
            <w:vAlign w:val="bottom"/>
          </w:tcPr>
          <w:p>
            <w:pPr>
              <w:jc w:val="right"/>
              <w:ind w:right="20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60" w:type="dxa"/>
            <w:vAlign w:val="bottom"/>
            <w:tcBorders>
              <w:top w:val="single" w:sz="8" w:color="auto"/>
            </w:tcBorders>
          </w:tcPr>
          <w:p>
            <w:pPr>
              <w:ind w:left="700"/>
              <w:spacing w:after="0"/>
              <w:rPr>
                <w:sz w:val="20"/>
                <w:szCs w:val="20"/>
                <w:color w:val="auto"/>
              </w:rPr>
            </w:pPr>
            <w:r>
              <w:rPr>
                <w:rFonts w:ascii="Arial" w:cs="Arial" w:eastAsia="Arial" w:hAnsi="Arial"/>
                <w:sz w:val="14"/>
                <w:szCs w:val="14"/>
                <w:b w:val="1"/>
                <w:bCs w:val="1"/>
                <w:color w:val="auto"/>
                <w:w w:val="81"/>
              </w:rPr>
              <w:t>(in</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1"/>
              </w:rPr>
              <w:t>thousands)</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4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Current</w:t>
            </w:r>
          </w:p>
        </w:tc>
        <w:tc>
          <w:tcPr>
            <w:tcW w:w="14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(27,967)</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22,378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20,001</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2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rPr>
              <w:t>(5,589)</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No provision for Hong Kong profits tax for the year ended 31 December 2009 has been made as there was no assessable profits generated in Hong Kong (2008: Nil). Taxation for overseas jurisdictions is charged at the appropriate prevailing rates ruling in the respective jurisdictions and the maximum rate is 12% (2008: 12%).</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charge for the years ended 31 December 2009 and 2008 was reconciled to profits before tax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85"/>
              </w:rPr>
              <w:t>Group</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5"/>
              </w:rPr>
              <w:t>For the year ended 31 December</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HK$</w:t>
            </w: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HK$</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jc w:val="right"/>
              <w:ind w:right="272"/>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4"/>
                <w:szCs w:val="14"/>
                <w:color w:val="auto"/>
              </w:rPr>
            </w:pPr>
          </w:p>
        </w:tc>
        <w:tc>
          <w:tcPr>
            <w:tcW w:w="14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Profits before tax</w:t>
            </w:r>
          </w:p>
        </w:tc>
        <w:tc>
          <w:tcPr>
            <w:tcW w:w="152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2,074,236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1,982,280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80" w:type="dxa"/>
            <w:vAlign w:val="bottom"/>
            <w:gridSpan w:val="2"/>
          </w:tcPr>
          <w:p>
            <w:pPr>
              <w:spacing w:after="0"/>
              <w:rPr>
                <w:sz w:val="20"/>
                <w:szCs w:val="20"/>
                <w:color w:val="auto"/>
              </w:rPr>
            </w:pPr>
            <w:r>
              <w:rPr>
                <w:rFonts w:ascii="Arial" w:cs="Arial" w:eastAsia="Arial" w:hAnsi="Arial"/>
                <w:sz w:val="18"/>
                <w:szCs w:val="18"/>
                <w:color w:val="auto"/>
              </w:rPr>
              <w:t>Tax at the applicable income tax rate</w:t>
            </w:r>
          </w:p>
        </w:tc>
        <w:tc>
          <w:tcPr>
            <w:tcW w:w="1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(248,908)</w:t>
            </w: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(12)</w:t>
            </w:r>
          </w:p>
        </w:tc>
        <w:tc>
          <w:tcPr>
            <w:tcW w:w="1020" w:type="dxa"/>
            <w:vAlign w:val="bottom"/>
            <w:gridSpan w:val="5"/>
          </w:tcPr>
          <w:p>
            <w:pPr>
              <w:jc w:val="right"/>
              <w:ind w:right="20"/>
              <w:spacing w:after="0"/>
              <w:rPr>
                <w:sz w:val="20"/>
                <w:szCs w:val="20"/>
                <w:color w:val="auto"/>
              </w:rPr>
            </w:pPr>
            <w:r>
              <w:rPr>
                <w:rFonts w:ascii="Arial" w:cs="Arial" w:eastAsia="Arial" w:hAnsi="Arial"/>
                <w:sz w:val="18"/>
                <w:szCs w:val="18"/>
                <w:color w:val="auto"/>
              </w:rPr>
              <w:t>(237,874)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specific provinces or enacted by local authority</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(23,054)</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(5,263)</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not subject to tax</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6"/>
              </w:rPr>
              <w:t>361,664</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17.4</w:t>
            </w:r>
          </w:p>
        </w:tc>
        <w:tc>
          <w:tcPr>
            <w:tcW w:w="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362,553</w:t>
            </w:r>
          </w:p>
        </w:tc>
        <w:tc>
          <w:tcPr>
            <w:tcW w:w="8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Expenses not deductible for tax</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Macau dividend tax</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(27,967)</w:t>
            </w:r>
          </w:p>
        </w:tc>
        <w:tc>
          <w:tcPr>
            <w:tcW w:w="440" w:type="dxa"/>
            <w:vAlign w:val="bottom"/>
            <w:gridSpan w:val="4"/>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loss not recognized</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(68,777)</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(82,473)</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Others</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1,498</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21,705</w:t>
            </w:r>
          </w:p>
        </w:tc>
        <w:tc>
          <w:tcPr>
            <w:tcW w:w="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Expense and effective tax for the year</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(5,589)</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as at 31 December 2009 and 2008 relates to the following:</w:t>
            </w:r>
          </w:p>
        </w:tc>
        <w:tc>
          <w:tcPr>
            <w:tcW w:w="5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Group</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52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5"/>
              </w:rPr>
              <w:t>Consolidated statement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8"/>
          </w:tcPr>
          <w:p>
            <w:pPr>
              <w:jc w:val="center"/>
              <w:spacing w:after="0" w:line="129" w:lineRule="exact"/>
              <w:rPr>
                <w:sz w:val="20"/>
                <w:szCs w:val="20"/>
                <w:color w:val="auto"/>
              </w:rPr>
            </w:pPr>
            <w:r>
              <w:rPr>
                <w:rFonts w:ascii="Arial" w:cs="Arial" w:eastAsia="Arial" w:hAnsi="Arial"/>
                <w:sz w:val="14"/>
                <w:szCs w:val="14"/>
                <w:b w:val="1"/>
                <w:bCs w:val="1"/>
                <w:color w:val="auto"/>
                <w:w w:val="85"/>
              </w:rPr>
              <w:t>Consolidated statement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5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6"/>
              </w:rPr>
              <w:t>of financial position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As at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8"/>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5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31 December</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87"/>
              </w:rPr>
              <w:t>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56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2009</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42"/>
              <w:spacing w:after="0" w:line="129"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HK$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HK$</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HK$</w:t>
            </w:r>
          </w:p>
        </w:tc>
        <w:tc>
          <w:tcPr>
            <w:tcW w:w="320" w:type="dxa"/>
            <w:vAlign w:val="bottom"/>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54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74"/>
              </w:rPr>
              <w:t>thousands)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ind w:right="12"/>
              <w:spacing w:after="0"/>
              <w:rPr>
                <w:sz w:val="20"/>
                <w:szCs w:val="20"/>
                <w:color w:val="auto"/>
              </w:rPr>
            </w:pPr>
            <w:r>
              <w:rPr>
                <w:rFonts w:ascii="Arial" w:cs="Arial" w:eastAsia="Arial" w:hAnsi="Arial"/>
                <w:sz w:val="14"/>
                <w:szCs w:val="14"/>
                <w:b w:val="1"/>
                <w:bCs w:val="1"/>
                <w:color w:val="auto"/>
              </w:rPr>
              <w:t>(in</w:t>
            </w:r>
          </w:p>
        </w:tc>
        <w:tc>
          <w:tcPr>
            <w:tcW w:w="1020" w:type="dxa"/>
            <w:vAlign w:val="bottom"/>
            <w:gridSpan w:val="5"/>
          </w:tcPr>
          <w:p>
            <w:pPr>
              <w:jc w:val="right"/>
              <w:ind w:right="362"/>
              <w:spacing w:after="0"/>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8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Property, equipment and other</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(50,945)</w:t>
            </w:r>
          </w:p>
        </w:tc>
        <w:tc>
          <w:tcPr>
            <w:tcW w:w="1160" w:type="dxa"/>
            <w:vAlign w:val="bottom"/>
            <w:gridSpan w:val="5"/>
          </w:tcPr>
          <w:p>
            <w:pPr>
              <w:jc w:val="right"/>
              <w:ind w:right="192"/>
              <w:spacing w:after="0"/>
              <w:rPr>
                <w:sz w:val="20"/>
                <w:szCs w:val="20"/>
                <w:color w:val="auto"/>
              </w:rPr>
            </w:pPr>
            <w:r>
              <w:rPr>
                <w:rFonts w:ascii="Arial" w:cs="Arial" w:eastAsia="Arial" w:hAnsi="Arial"/>
                <w:sz w:val="18"/>
                <w:szCs w:val="18"/>
                <w:color w:val="auto"/>
              </w:rPr>
              <w:t>(73,327)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82"/>
              <w:spacing w:after="0"/>
              <w:rPr>
                <w:sz w:val="20"/>
                <w:szCs w:val="20"/>
                <w:color w:val="auto"/>
              </w:rPr>
            </w:pPr>
            <w:r>
              <w:rPr>
                <w:rFonts w:ascii="Arial" w:cs="Arial" w:eastAsia="Arial" w:hAnsi="Arial"/>
                <w:sz w:val="18"/>
                <w:szCs w:val="18"/>
                <w:b w:val="1"/>
                <w:bCs w:val="1"/>
                <w:color w:val="auto"/>
                <w:w w:val="86"/>
              </w:rPr>
              <w:t>(22,382)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(23,802)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(50,945)</w:t>
            </w:r>
          </w:p>
        </w:tc>
        <w:tc>
          <w:tcPr>
            <w:tcW w:w="1160" w:type="dxa"/>
            <w:vAlign w:val="bottom"/>
            <w:gridSpan w:val="5"/>
            <w:shd w:val="clear" w:color="auto" w:fill="CCEEFF"/>
          </w:tcPr>
          <w:p>
            <w:pPr>
              <w:jc w:val="right"/>
              <w:ind w:right="192"/>
              <w:spacing w:after="0"/>
              <w:rPr>
                <w:sz w:val="20"/>
                <w:szCs w:val="20"/>
                <w:color w:val="auto"/>
              </w:rPr>
            </w:pPr>
            <w:r>
              <w:rPr>
                <w:rFonts w:ascii="Arial" w:cs="Arial" w:eastAsia="Arial" w:hAnsi="Arial"/>
                <w:sz w:val="18"/>
                <w:szCs w:val="18"/>
                <w:color w:val="auto"/>
              </w:rPr>
              <w:t>(73,327)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80" w:type="dxa"/>
            <w:vAlign w:val="bottom"/>
            <w:gridSpan w:val="2"/>
          </w:tcPr>
          <w:p>
            <w:pPr>
              <w:spacing w:after="0"/>
              <w:rPr>
                <w:sz w:val="20"/>
                <w:szCs w:val="20"/>
                <w:color w:val="auto"/>
              </w:rPr>
            </w:pPr>
            <w:r>
              <w:rPr>
                <w:rFonts w:ascii="Arial" w:cs="Arial" w:eastAsia="Arial" w:hAnsi="Arial"/>
                <w:sz w:val="18"/>
                <w:szCs w:val="18"/>
                <w:color w:val="auto"/>
              </w:rPr>
              <w:t>Deferred income tax asset:</w:t>
            </w: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market value adjustment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15,199</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b w:val="1"/>
                <w:bCs w:val="1"/>
                <w:color w:val="auto"/>
              </w:rPr>
              <w:t>(3,537)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Allowance for doubtful accounts</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82"/>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 and other</w:t>
            </w:r>
          </w:p>
        </w:tc>
        <w:tc>
          <w:tcPr>
            <w:tcW w:w="68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39,530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Tax losses carried forward</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68,305</w:t>
            </w:r>
          </w:p>
        </w:tc>
        <w:tc>
          <w:tcPr>
            <w:tcW w:w="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71,732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(26,944)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83,533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83,537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8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182"/>
              <w:spacing w:after="0"/>
              <w:rPr>
                <w:sz w:val="20"/>
                <w:szCs w:val="20"/>
                <w:color w:val="auto"/>
              </w:rPr>
            </w:pPr>
            <w:r>
              <w:rPr>
                <w:rFonts w:ascii="Arial" w:cs="Arial" w:eastAsia="Arial" w:hAnsi="Arial"/>
                <w:sz w:val="18"/>
                <w:szCs w:val="18"/>
                <w:b w:val="1"/>
                <w:bCs w:val="1"/>
                <w:color w:val="auto"/>
                <w:w w:val="86"/>
              </w:rPr>
              <w:t>(22,378)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(20,001)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32,588</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Group incurred Macau tax losses of approximately HK$532.1 million, HK$966.2 million, and HK$1,132.4 million during the tax years ended</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31 December 2009, 2008 and 2007, respectively. These tax losses will expire in 2012, 2011 and 2010, respectively. As at 31 December 2009 and 2008, deferred tax assets, relating to pre-opening expenses and tax losses carried forward, amounting to HK$247.6 million and HK$179.1 million, respectively, were not recognized as the Group determined it was not probable that future taxable profits will be available against which the deferred tax asset could be utilized.</w:t>
      </w:r>
    </w:p>
    <w:p>
      <w:pPr>
        <w:spacing w:after="0" w:line="13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00"/>
          </w:cols>
          <w:pgMar w:left="700" w:top="280" w:right="399" w:bottom="1440" w:gutter="0" w:footer="0" w:header="0"/>
        </w:sectPr>
      </w:pPr>
    </w:p>
    <w:bookmarkStart w:id="9" w:name="page10"/>
    <w:bookmarkEnd w:id="9"/>
    <w:p>
      <w:pPr>
        <w:ind w:left="452"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6 September 2006, WRM received a 5-year exemption from Macau’s 12% Complementary Tax on casino gaming profits (“Tax Holiday”). Accordingly, the Group was exempted from the payment of approximately HK$242.6 million in such taxes for the year ended 31 December 2009 (2008: HK$189.6 million). The Group’s non-gaming profits remain subject to the Macau Complementary Tax and its casino winnings remain subject to the Macau Special Gaming tax and other levies in accordance with its Concession Agreement.</w:t>
      </w:r>
    </w:p>
    <w:p>
      <w:pPr>
        <w:spacing w:after="0" w:line="62"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color w:val="auto"/>
        </w:rPr>
        <w:t>During June 2009, WRM entered into an agreement, effective retroactively to 2006, with the Macau Special Administrative Region that provides for an annual payment of MOP7.2 million (approximately HK$7.0 million) to the Macau Special Administrative Region in lieu of complementary tax on dividend distributions to its shareholders from gaming profits. The term of this agreement is five years, which coincides with the Tax Holiday which began in 2006. The agreement explicitly states that MOP21.6 million (approximately HK$21.0 million) was due upon execution of the agreement for the periods 2006 to 2008, and the remaining payments are due by 31 January of each year that the gaming profits are exempt from Complementary Tax. Therefore, included in the tax provision for the year 2009 are the amounts accrued for the years 2006 through 2009. In November 2009, the Group made a payment of MOP21.6 million (approximately HK$21.0 million) for the periods 2006 to 2008, whereas, MOP7.2 million (approximately HK$7.0 million) has been accrued for the year ended 31 December 2009.</w:t>
      </w:r>
    </w:p>
    <w:p>
      <w:pPr>
        <w:spacing w:after="0" w:line="37"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The Group is exempt from income tax in the Isle of Man and the Cayman Islands. The Group’s subsidiaries file income tax returns in Macau and various foreign jurisdictions as required by law. The Group’s income tax returns are subject to examination by tax authorities in the locations where it operates. As at 31 December 2009, the Group has filed all significant income tax returns for the years 2002 to 2008. The Group’s 2006 to 2008 Macau income tax returns remain subject to examination by the Macau Finance Bureau.</w:t>
      </w:r>
    </w:p>
    <w:p>
      <w:pPr>
        <w:spacing w:after="0" w:line="62" w:lineRule="exact"/>
        <w:rPr>
          <w:sz w:val="20"/>
          <w:szCs w:val="20"/>
          <w:color w:val="auto"/>
        </w:rPr>
      </w:pPr>
    </w:p>
    <w:p>
      <w:pPr>
        <w:ind w:left="452" w:right="20"/>
        <w:spacing w:after="0" w:line="290" w:lineRule="auto"/>
        <w:rPr>
          <w:sz w:val="20"/>
          <w:szCs w:val="20"/>
          <w:color w:val="auto"/>
        </w:rPr>
      </w:pPr>
      <w:r>
        <w:rPr>
          <w:rFonts w:ascii="Arial" w:cs="Arial" w:eastAsia="Arial" w:hAnsi="Arial"/>
          <w:sz w:val="16"/>
          <w:szCs w:val="16"/>
          <w:color w:val="auto"/>
        </w:rPr>
        <w:t>Quarterly, the Group reviews any potentially unfavorable tax outcome and when an unfavorable outcome is identified as probable and can be reasonably estimated, the Group then establishes a tax reserve for such possible unfavorable outcome. Estimating potential tax outcomes for any uncertain tax issues is highly judgmental and may not be indicative of the ultimate settlement with tax authorities. With respect to these items, as at 31 December 2009, the Group has provided a reserve of HK$37.4 million (2008: HK$37.4 million), and has included this amount in “other long-term liabilities”. The Group believes that it has adequately provided reasonable reserves for prudent and foreseeable outcomes related to uncertain tax matters. As a result of the lack of authoritative guidance regarding the computation of the Group’s complementary tax exemptions, the Group establishes reserves for its estimates of additional tax exposures if such exemptions are denied by the tax authorities.</w:t>
      </w:r>
    </w:p>
    <w:p>
      <w:pPr>
        <w:spacing w:after="0" w:line="234"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ATTRIBUTABLE TO ORDINARY EQUITY HOLDERS OF THE COMPANY</w:t>
      </w:r>
    </w:p>
    <w:p>
      <w:pPr>
        <w:spacing w:after="0" w:line="96" w:lineRule="exact"/>
        <w:rPr>
          <w:rFonts w:ascii="Arial" w:cs="Arial" w:eastAsia="Arial" w:hAnsi="Arial"/>
          <w:sz w:val="18"/>
          <w:szCs w:val="18"/>
          <w:b w:val="1"/>
          <w:bCs w:val="1"/>
          <w:color w:val="auto"/>
        </w:rPr>
      </w:pPr>
    </w:p>
    <w:p>
      <w:pPr>
        <w:ind w:left="452"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calculation of basic earnings per Share for the year is based on the consolidated net profit attributable to ordinary equity holders of the Company and on the weighted average number of 5,040,068,493 (2008: 5,000,000,000) Shares in issue during the year on the assumption that the Group Reorganization as determined in note 10 had been effective on 1 January 2008.</w:t>
      </w:r>
    </w:p>
    <w:p>
      <w:pPr>
        <w:spacing w:after="0" w:line="59"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used to calculate the basic earnings per Share for the year ended 31 December 2008 includes the pro forma issued share capital of the Company of 5,000,000,000 Shares, comprising:</w:t>
      </w:r>
    </w:p>
    <w:p>
      <w:pPr>
        <w:spacing w:after="0" w:line="50" w:lineRule="exact"/>
        <w:rPr>
          <w:rFonts w:ascii="Arial" w:cs="Arial" w:eastAsia="Arial" w:hAnsi="Arial"/>
          <w:sz w:val="18"/>
          <w:szCs w:val="18"/>
          <w:b w:val="1"/>
          <w:bCs w:val="1"/>
          <w:color w:val="auto"/>
        </w:rPr>
      </w:pPr>
    </w:p>
    <w:p>
      <w:pPr>
        <w:ind w:left="892" w:right="300"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 share of the Company allotted and issued at HK$1 paid on 4 September 2009 and subdivided into 1,000 Shares of par value of HK$0.001 each (note 10(iii)); and</w:t>
      </w:r>
    </w:p>
    <w:p>
      <w:pPr>
        <w:spacing w:after="0" w:line="50" w:lineRule="exact"/>
        <w:rPr>
          <w:rFonts w:ascii="Arial" w:cs="Arial" w:eastAsia="Arial" w:hAnsi="Arial"/>
          <w:sz w:val="18"/>
          <w:szCs w:val="18"/>
          <w:color w:val="auto"/>
        </w:rPr>
      </w:pPr>
    </w:p>
    <w:p>
      <w:pPr>
        <w:ind w:left="892" w:right="520" w:hanging="446"/>
        <w:spacing w:after="0" w:line="268" w:lineRule="auto"/>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3,749,999,000 Shares issued pursuant to the Group Reorganization on 8 October 2009 and the 1,250,000,000 Shares issued pursuant to the Company’s initial public offering on 9 October 2009 (note 10(iv)).</w:t>
      </w:r>
    </w:p>
    <w:p>
      <w:pPr>
        <w:spacing w:after="0" w:line="51" w:lineRule="exact"/>
        <w:rPr>
          <w:sz w:val="20"/>
          <w:szCs w:val="20"/>
          <w:color w:val="auto"/>
        </w:rPr>
      </w:pPr>
    </w:p>
    <w:p>
      <w:pPr>
        <w:jc w:val="both"/>
        <w:ind w:left="452" w:right="20"/>
        <w:spacing w:after="0" w:line="259" w:lineRule="auto"/>
        <w:rPr>
          <w:sz w:val="20"/>
          <w:szCs w:val="20"/>
          <w:color w:val="auto"/>
        </w:rPr>
      </w:pPr>
      <w:r>
        <w:rPr>
          <w:rFonts w:ascii="Arial" w:cs="Arial" w:eastAsia="Arial" w:hAnsi="Arial"/>
          <w:sz w:val="18"/>
          <w:szCs w:val="18"/>
          <w:color w:val="auto"/>
        </w:rPr>
        <w:t>The weighted average number of Shares used to calculate the basic earnings per Share for the year ended 31 December 2009 includes the weighted average of 40,068,493 Shares issued upon the full exercise of the over-allotment option of the Company’s Shares on the Hong Kong Stock Exchange on 14 October 2009 in addition to the aforementioned 5,000,000,000 Shares.</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 diluted earnings per Share is presented as there were no potential dilutive Shares outstanding during the years.</w:t>
      </w:r>
    </w:p>
    <w:p>
      <w:pPr>
        <w:spacing w:after="0" w:line="158"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80" w:right="239" w:bottom="1440" w:gutter="0" w:footer="0" w:header="0"/>
        </w:sectPr>
      </w:pPr>
    </w:p>
    <w:bookmarkStart w:id="10" w:name="page11"/>
    <w:bookmarkEnd w:id="10"/>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LEASEHOLD INTEREST IN LAND</w:t>
      </w:r>
    </w:p>
    <w:p>
      <w:pPr>
        <w:spacing w:after="0" w:line="96"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has the leasing right for certain land under a 25-year concession granted by the Macau government in return for the payment of premiums as described in note 9. In 2004, the Group also paid approximately HK$140 million to an unrelated third party for its relinquishment of rights to a portion of land. In November 2009, the Group paid HK$110.1 million to the Macau government related to government required modifications to the land concession due to construction of Encore at Wynn Macau, expansion of Wynn Macau and the additional square footage that will be added as a result of all such construction and expansion.</w:t>
      </w:r>
    </w:p>
    <w:p>
      <w:pPr>
        <w:spacing w:after="0" w:line="6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Leasehold interest activity is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w w:val="98"/>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00" w:type="dxa"/>
            <w:vAlign w:val="bottom"/>
          </w:tcPr>
          <w:p>
            <w:pPr>
              <w:jc w:val="right"/>
              <w:ind w:right="101"/>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99"/>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59"/>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At beginning of the year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451,495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Addition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110,138</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0"/>
        </w:trPr>
        <w:tc>
          <w:tcPr>
            <w:tcW w:w="7200" w:type="dxa"/>
            <w:vAlign w:val="bottom"/>
            <w:gridSpan w:val="2"/>
          </w:tcPr>
          <w:p>
            <w:pPr>
              <w:spacing w:after="0"/>
              <w:rPr>
                <w:sz w:val="20"/>
                <w:szCs w:val="20"/>
                <w:color w:val="auto"/>
              </w:rPr>
            </w:pPr>
            <w:r>
              <w:rPr>
                <w:rFonts w:ascii="Arial" w:cs="Arial" w:eastAsia="Arial" w:hAnsi="Arial"/>
                <w:sz w:val="18"/>
                <w:szCs w:val="18"/>
                <w:color w:val="auto"/>
              </w:rPr>
              <w:t>At end of the year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561,633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451,495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At beginning of the year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79,222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 for the year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18,058</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0" w:type="dxa"/>
            <w:vAlign w:val="bottom"/>
          </w:tcPr>
          <w:p>
            <w:pPr>
              <w:spacing w:after="0"/>
              <w:rPr>
                <w:sz w:val="1"/>
                <w:szCs w:val="1"/>
                <w:color w:val="auto"/>
              </w:rPr>
            </w:pPr>
          </w:p>
        </w:tc>
      </w:tr>
      <w:tr>
        <w:trPr>
          <w:trHeight w:val="330"/>
        </w:trPr>
        <w:tc>
          <w:tcPr>
            <w:tcW w:w="7200" w:type="dxa"/>
            <w:vAlign w:val="bottom"/>
            <w:gridSpan w:val="2"/>
          </w:tcPr>
          <w:p>
            <w:pPr>
              <w:spacing w:after="0"/>
              <w:rPr>
                <w:sz w:val="20"/>
                <w:szCs w:val="20"/>
                <w:color w:val="auto"/>
              </w:rPr>
            </w:pPr>
            <w:r>
              <w:rPr>
                <w:rFonts w:ascii="Arial" w:cs="Arial" w:eastAsia="Arial" w:hAnsi="Arial"/>
                <w:sz w:val="18"/>
                <w:szCs w:val="18"/>
                <w:color w:val="auto"/>
              </w:rPr>
              <w:t>At end of the year</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97,280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79,222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464,353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Trade and other receivables consist of the following as at 31 December 2009 and 2008:</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740" w:type="dxa"/>
            <w:vAlign w:val="bottom"/>
            <w:gridSpan w:val="5"/>
          </w:tcPr>
          <w:p>
            <w:pPr>
              <w:ind w:left="62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20" w:type="dxa"/>
            <w:vAlign w:val="bottom"/>
            <w:tcBorders>
              <w:top w:val="single" w:sz="8" w:color="auto"/>
            </w:tcBorders>
          </w:tcPr>
          <w:p>
            <w:pPr>
              <w:jc w:val="right"/>
              <w:ind w:right="107"/>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99"/>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7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430,758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Hotel</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5,328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158,220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594,306</w:t>
            </w: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497,963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9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(268,917)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(289,884)</w:t>
            </w:r>
          </w:p>
        </w:tc>
        <w:tc>
          <w:tcPr>
            <w:tcW w:w="0" w:type="dxa"/>
            <w:vAlign w:val="bottom"/>
          </w:tcPr>
          <w:p>
            <w:pPr>
              <w:spacing w:after="0"/>
              <w:rPr>
                <w:sz w:val="1"/>
                <w:szCs w:val="1"/>
                <w:color w:val="auto"/>
              </w:rPr>
            </w:pPr>
          </w:p>
        </w:tc>
      </w:tr>
      <w:tr>
        <w:trPr>
          <w:trHeight w:val="330"/>
        </w:trPr>
        <w:tc>
          <w:tcPr>
            <w:tcW w:w="4800" w:type="dxa"/>
            <w:vAlign w:val="bottom"/>
            <w:gridSpan w:val="2"/>
          </w:tcPr>
          <w:p>
            <w:pPr>
              <w:spacing w:after="0"/>
              <w:rPr>
                <w:sz w:val="20"/>
                <w:szCs w:val="20"/>
                <w:color w:val="auto"/>
              </w:rPr>
            </w:pPr>
            <w:r>
              <w:rPr>
                <w:rFonts w:ascii="Arial" w:cs="Arial" w:eastAsia="Arial" w:hAnsi="Arial"/>
                <w:sz w:val="18"/>
                <w:szCs w:val="18"/>
                <w:color w:val="auto"/>
              </w:rPr>
              <w:t>Total trade and other receivables, net</w:t>
            </w:r>
          </w:p>
        </w:tc>
        <w:tc>
          <w:tcPr>
            <w:tcW w:w="214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325,389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208,079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892" w:hanging="446"/>
        <w:spacing w:after="0" w:line="268"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retail sales in 2009 compared to 2008 and the timing of billing and collecting retail percentage rentals are reflected in the comparative difference of other receivables.</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27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aged analysis of receivables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gridSpan w:val="5"/>
          </w:tcPr>
          <w:p>
            <w:pPr>
              <w:ind w:left="620"/>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40" w:type="dxa"/>
            <w:vAlign w:val="bottom"/>
            <w:gridSpan w:val="5"/>
          </w:tcPr>
          <w:p>
            <w:pPr>
              <w:ind w:left="260"/>
              <w:spacing w:after="0"/>
              <w:rPr>
                <w:sz w:val="20"/>
                <w:szCs w:val="20"/>
                <w:color w:val="auto"/>
              </w:rPr>
            </w:pPr>
            <w:r>
              <w:rPr>
                <w:rFonts w:ascii="Arial" w:cs="Arial" w:eastAsia="Arial" w:hAnsi="Arial"/>
                <w:sz w:val="14"/>
                <w:szCs w:val="14"/>
                <w:b w:val="1"/>
                <w:bCs w:val="1"/>
                <w:color w:val="auto"/>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183,187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Between 31 to 60 days</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135,679</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10,922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Over 90 days</w:t>
            </w: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264,518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246,841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594,306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4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29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(268,917)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(289,884)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325,389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trade and other receivables as at 31 December 2009 were repayable within 14 days.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at 31 December 2009, trade and other receivables at nominal value of HK$268.9 million (2008: HK$289.9 million) were impaired and fully provided for. Movements in the provision for impairment of receivables of the Group were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0"/>
              </w:rPr>
              <w:t>Individually</w:t>
            </w:r>
          </w:p>
        </w:tc>
        <w:tc>
          <w:tcPr>
            <w:tcW w:w="4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Collectively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Impaired</w:t>
            </w:r>
          </w:p>
        </w:tc>
        <w:tc>
          <w:tcPr>
            <w:tcW w:w="44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Impaired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HK$</w:t>
            </w: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5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HK$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160" w:type="dxa"/>
            <w:vAlign w:val="bottom"/>
          </w:tcPr>
          <w:p>
            <w:pPr>
              <w:spacing w:after="0"/>
              <w:rPr>
                <w:sz w:val="7"/>
                <w:szCs w:val="7"/>
                <w:color w:val="auto"/>
              </w:rPr>
            </w:pPr>
          </w:p>
        </w:tc>
        <w:tc>
          <w:tcPr>
            <w:tcW w:w="3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121,225</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121,225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Charge for the year</w:t>
            </w:r>
          </w:p>
        </w:tc>
        <w:tc>
          <w:tcPr>
            <w:tcW w:w="3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193,110</w:t>
            </w:r>
          </w:p>
        </w:tc>
        <w:tc>
          <w:tcPr>
            <w:tcW w:w="5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193,110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(24,451)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(24,451)</w:t>
            </w:r>
          </w:p>
        </w:tc>
        <w:tc>
          <w:tcPr>
            <w:tcW w:w="0" w:type="dxa"/>
            <w:vAlign w:val="bottom"/>
          </w:tcPr>
          <w:p>
            <w:pPr>
              <w:spacing w:after="0"/>
              <w:rPr>
                <w:sz w:val="1"/>
                <w:szCs w:val="1"/>
                <w:color w:val="auto"/>
              </w:rPr>
            </w:pPr>
          </w:p>
        </w:tc>
      </w:tr>
      <w:tr>
        <w:trPr>
          <w:trHeight w:val="330"/>
        </w:trPr>
        <w:tc>
          <w:tcPr>
            <w:tcW w:w="3160" w:type="dxa"/>
            <w:vAlign w:val="bottom"/>
          </w:tcPr>
          <w:p>
            <w:pPr>
              <w:spacing w:after="0"/>
              <w:rPr>
                <w:sz w:val="20"/>
                <w:szCs w:val="20"/>
                <w:color w:val="auto"/>
              </w:rPr>
            </w:pPr>
            <w:r>
              <w:rPr>
                <w:rFonts w:ascii="Arial" w:cs="Arial" w:eastAsia="Arial" w:hAnsi="Arial"/>
                <w:sz w:val="18"/>
                <w:szCs w:val="18"/>
                <w:color w:val="auto"/>
              </w:rPr>
              <w:t>At 31 December 2008</w:t>
            </w:r>
          </w:p>
        </w:tc>
        <w:tc>
          <w:tcPr>
            <w:tcW w:w="33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289,884</w:t>
            </w:r>
          </w:p>
        </w:tc>
        <w:tc>
          <w:tcPr>
            <w:tcW w:w="54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289,884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Amounts written off</w:t>
            </w:r>
          </w:p>
        </w:tc>
        <w:tc>
          <w:tcPr>
            <w:tcW w:w="3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color w:val="auto"/>
              </w:rPr>
              <w:t>(32,623)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(32,623)</w:t>
            </w:r>
          </w:p>
        </w:tc>
        <w:tc>
          <w:tcPr>
            <w:tcW w:w="0" w:type="dxa"/>
            <w:vAlign w:val="bottom"/>
          </w:tcPr>
          <w:p>
            <w:pPr>
              <w:spacing w:after="0"/>
              <w:rPr>
                <w:sz w:val="1"/>
                <w:szCs w:val="1"/>
                <w:color w:val="auto"/>
              </w:rPr>
            </w:pPr>
          </w:p>
        </w:tc>
      </w:tr>
      <w:tr>
        <w:trPr>
          <w:trHeight w:val="115"/>
        </w:trPr>
        <w:tc>
          <w:tcPr>
            <w:tcW w:w="31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2009</w:t>
            </w:r>
          </w:p>
        </w:tc>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268,917</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268,917</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360" w:type="dxa"/>
            <w:vAlign w:val="bottom"/>
            <w:vMerge w:val="restart"/>
          </w:tcPr>
          <w:p>
            <w:pPr>
              <w:jc w:val="right"/>
              <w:ind w:right="1592"/>
              <w:spacing w:after="0"/>
              <w:rPr>
                <w:sz w:val="20"/>
                <w:szCs w:val="20"/>
                <w:color w:val="auto"/>
              </w:rPr>
            </w:pPr>
            <w:r>
              <w:rPr>
                <w:rFonts w:ascii="Arial" w:cs="Arial" w:eastAsia="Arial" w:hAnsi="Arial"/>
                <w:sz w:val="18"/>
                <w:szCs w:val="18"/>
                <w:color w:val="auto"/>
              </w:rPr>
              <w:t>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700" w:top="280" w:right="459" w:bottom="1440" w:gutter="0" w:footer="0" w:header="0"/>
        </w:sectPr>
      </w:pPr>
    </w:p>
    <w:bookmarkStart w:id="12" w:name="page13"/>
    <w:bookmarkEnd w:id="12"/>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PAYABLE</w:t>
      </w:r>
    </w:p>
    <w:p>
      <w:pPr>
        <w:spacing w:after="0" w:line="96" w:lineRule="exact"/>
        <w:rPr>
          <w:rFonts w:ascii="Arial" w:cs="Arial" w:eastAsia="Arial" w:hAnsi="Arial"/>
          <w:sz w:val="18"/>
          <w:szCs w:val="18"/>
          <w:b w:val="1"/>
          <w:bCs w:val="1"/>
          <w:color w:val="auto"/>
        </w:rPr>
      </w:pPr>
    </w:p>
    <w:p>
      <w:pPr>
        <w:ind w:left="452"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year, the Group normally received credit terms of 30 days. An aged analysis of accounts payable, based on the invoice date, consists of the following as at 31 December 2009 and 2008.</w:t>
      </w:r>
    </w:p>
    <w:p>
      <w:pPr>
        <w:spacing w:after="0" w:line="156"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8"/>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0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rPr>
              <w:t>2009</w:t>
            </w:r>
          </w:p>
        </w:tc>
        <w:tc>
          <w:tcPr>
            <w:tcW w:w="880" w:type="dxa"/>
            <w:vAlign w:val="bottom"/>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00" w:type="dxa"/>
            <w:vAlign w:val="bottom"/>
          </w:tcPr>
          <w:p>
            <w:pPr>
              <w:jc w:val="right"/>
              <w:ind w:right="42"/>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2"/>
          </w:tcPr>
          <w:p>
            <w:pPr>
              <w:jc w:val="right"/>
              <w:ind w:right="272"/>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722,504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Between 31 to 60 days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Over 90 days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726,742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LAND PREMIUMS PAYABLE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leases land from the Macau government under a 25-year land concession that expires in August 2029. Land premiums to the Macau government under the land concession are made as follows:</w:t>
      </w:r>
    </w:p>
    <w:p>
      <w:pPr>
        <w:spacing w:after="0" w:line="212"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For Phase I</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10"/>
        </w:numPr>
        <w:rPr>
          <w:rFonts w:ascii="Arial" w:cs="Arial" w:eastAsia="Arial" w:hAnsi="Arial"/>
          <w:sz w:val="16"/>
          <w:szCs w:val="16"/>
          <w:color w:val="auto"/>
        </w:rPr>
      </w:pPr>
      <w:r>
        <w:rPr>
          <w:rFonts w:ascii="Arial" w:cs="Arial" w:eastAsia="Arial" w:hAnsi="Arial"/>
          <w:sz w:val="16"/>
          <w:szCs w:val="16"/>
          <w:color w:val="auto"/>
        </w:rPr>
        <w:t>HK$24.3 million for acceptance of the land concession contract terms in accordance with Lei no. 6/80/M Article 125 of 5 July 2004; and</w:t>
      </w:r>
    </w:p>
    <w:p>
      <w:pPr>
        <w:spacing w:after="0" w:line="113" w:lineRule="exact"/>
        <w:rPr>
          <w:rFonts w:ascii="Arial" w:cs="Arial" w:eastAsia="Arial" w:hAnsi="Arial"/>
          <w:sz w:val="16"/>
          <w:szCs w:val="16"/>
          <w:color w:val="auto"/>
        </w:rPr>
      </w:pPr>
    </w:p>
    <w:p>
      <w:pPr>
        <w:ind w:left="892" w:hanging="446"/>
        <w:spacing w:after="0"/>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HK$185.6 million in five semi-annual installments, including interest at 5% of the outstanding balance.</w:t>
      </w:r>
    </w:p>
    <w:p>
      <w:pPr>
        <w:spacing w:after="0" w:line="252"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For Phase II</w:t>
      </w:r>
    </w:p>
    <w:p>
      <w:pPr>
        <w:spacing w:after="0" w:line="90"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HK$122.0 million in five semi-annual installments, including interest at 5% of the outstanding balance.</w:t>
      </w:r>
    </w:p>
    <w:p>
      <w:pPr>
        <w:spacing w:after="0" w:line="252"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For Encore at Wynn Macau and other adjustments to Phase I and Phase II</w:t>
      </w:r>
    </w:p>
    <w:p>
      <w:pPr>
        <w:spacing w:after="0" w:line="90"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HK$110.1 million paid in November 2009.</w:t>
      </w:r>
    </w:p>
    <w:p>
      <w:pPr>
        <w:spacing w:after="0" w:line="90" w:lineRule="exact"/>
        <w:rPr>
          <w:sz w:val="20"/>
          <w:szCs w:val="20"/>
          <w:color w:val="auto"/>
        </w:rPr>
      </w:pPr>
    </w:p>
    <w:p>
      <w:pPr>
        <w:jc w:val="center"/>
        <w:ind w:right="468"/>
        <w:spacing w:after="0" w:line="440" w:lineRule="auto"/>
        <w:rPr>
          <w:sz w:val="20"/>
          <w:szCs w:val="20"/>
          <w:color w:val="auto"/>
        </w:rPr>
      </w:pPr>
      <w:r>
        <w:rPr>
          <w:rFonts w:ascii="Arial" w:cs="Arial" w:eastAsia="Arial" w:hAnsi="Arial"/>
          <w:sz w:val="18"/>
          <w:szCs w:val="18"/>
          <w:color w:val="auto"/>
        </w:rPr>
        <w:t>As at 31 December 2009, all land premiums due under the 25-year land concession have been fully paid (2008: HK$47.0 million outstanding). 10</w:t>
      </w:r>
    </w:p>
    <w:p>
      <w:pPr>
        <w:sectPr>
          <w:pgSz w:w="11900" w:h="16838" w:orient="portrait"/>
          <w:cols w:equalWidth="0" w:num="1">
            <w:col w:w="11412"/>
          </w:cols>
          <w:pgMar w:left="248" w:top="274" w:right="239" w:bottom="1440" w:gutter="0" w:footer="0" w:header="0"/>
        </w:sectPr>
      </w:pPr>
    </w:p>
    <w:bookmarkStart w:id="13" w:name="page14"/>
    <w:bookmarkEnd w:id="13"/>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w:t>
        <w:tab/>
        <w:t>ISSUED CAPITAL</w:t>
      </w:r>
    </w:p>
    <w:p>
      <w:pPr>
        <w:spacing w:after="0" w:line="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740" w:type="dxa"/>
            <w:vAlign w:val="bottom"/>
            <w:gridSpan w:val="2"/>
          </w:tcPr>
          <w:p>
            <w:pPr>
              <w:jc w:val="center"/>
              <w:ind w:left="1542"/>
              <w:spacing w:after="0"/>
              <w:rPr>
                <w:sz w:val="20"/>
                <w:szCs w:val="20"/>
                <w:color w:val="auto"/>
              </w:rPr>
            </w:pPr>
            <w:r>
              <w:rPr>
                <w:rFonts w:ascii="Arial" w:cs="Arial" w:eastAsia="Arial" w:hAnsi="Arial"/>
                <w:sz w:val="14"/>
                <w:szCs w:val="14"/>
                <w:b w:val="1"/>
                <w:bCs w:val="1"/>
                <w:color w:val="auto"/>
                <w:w w:val="86"/>
              </w:rPr>
              <w:t>As at 31 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740" w:type="dxa"/>
            <w:vAlign w:val="bottom"/>
            <w:gridSpan w:val="2"/>
          </w:tcPr>
          <w:p>
            <w:pPr>
              <w:jc w:val="center"/>
              <w:ind w:left="1542"/>
              <w:spacing w:after="0" w:line="149" w:lineRule="exact"/>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Authorized:</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20,000,000,000 Shares of HK$0.001 each</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Issued and fully paid:</w:t>
            </w:r>
          </w:p>
        </w:tc>
        <w:tc>
          <w:tcPr>
            <w:tcW w:w="1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5,187,500,000 Shares of HK$0.001 each</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changes in the Company’s authorized and issued share capital took place during the period from 4 September 2009 (date of incorporation) to 31 December 2009:</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Shares</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Nominal value of</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of HK$0.001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68"/>
        </w:trPr>
        <w:tc>
          <w:tcPr>
            <w:tcW w:w="60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HK$</w:t>
            </w:r>
          </w:p>
        </w:tc>
        <w:tc>
          <w:tcPr>
            <w:tcW w:w="0" w:type="dxa"/>
            <w:vAlign w:val="bottom"/>
          </w:tcPr>
          <w:p>
            <w:pPr>
              <w:spacing w:after="0"/>
              <w:rPr>
                <w:sz w:val="1"/>
                <w:szCs w:val="1"/>
                <w:color w:val="auto"/>
              </w:rPr>
            </w:pPr>
          </w:p>
        </w:tc>
      </w:tr>
      <w:tr>
        <w:trPr>
          <w:trHeight w:val="82"/>
        </w:trPr>
        <w:tc>
          <w:tcPr>
            <w:tcW w:w="6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Authorized:</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20" w:type="dxa"/>
            <w:vAlign w:val="bottom"/>
          </w:tcPr>
          <w:p>
            <w:pPr>
              <w:ind w:left="440"/>
              <w:spacing w:after="0"/>
              <w:rPr>
                <w:sz w:val="20"/>
                <w:szCs w:val="20"/>
                <w:color w:val="auto"/>
              </w:rPr>
            </w:pPr>
            <w:r>
              <w:rPr>
                <w:rFonts w:ascii="Arial" w:cs="Arial" w:eastAsia="Arial" w:hAnsi="Arial"/>
                <w:sz w:val="18"/>
                <w:szCs w:val="18"/>
                <w:color w:val="auto"/>
              </w:rPr>
              <w:t>Upon incorporation and after the subdivision</w:t>
            </w:r>
          </w:p>
        </w:tc>
        <w:tc>
          <w:tcPr>
            <w:tcW w:w="1100" w:type="dxa"/>
            <w:vAlign w:val="bottom"/>
          </w:tcPr>
          <w:p>
            <w:pPr>
              <w:jc w:val="center"/>
              <w:spacing w:after="0"/>
              <w:rPr>
                <w:sz w:val="20"/>
                <w:szCs w:val="20"/>
                <w:color w:val="auto"/>
              </w:rPr>
            </w:pPr>
            <w:r>
              <w:rPr>
                <w:rFonts w:ascii="Arial" w:cs="Arial" w:eastAsia="Arial" w:hAnsi="Arial"/>
                <w:sz w:val="18"/>
                <w:szCs w:val="18"/>
                <w:color w:val="auto"/>
              </w:rPr>
              <w:t>(i)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5,000,000,000</w:t>
            </w:r>
          </w:p>
        </w:tc>
        <w:tc>
          <w:tcPr>
            <w:tcW w:w="98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102"/>
        </w:trPr>
        <w:tc>
          <w:tcPr>
            <w:tcW w:w="6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authorized share capital</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15,000,000,000</w:t>
            </w:r>
          </w:p>
        </w:tc>
        <w:tc>
          <w:tcPr>
            <w:tcW w:w="3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330"/>
        </w:trPr>
        <w:tc>
          <w:tcPr>
            <w:tcW w:w="6020" w:type="dxa"/>
            <w:vAlign w:val="bottom"/>
          </w:tcPr>
          <w:p>
            <w:pPr>
              <w:spacing w:after="0"/>
              <w:rPr>
                <w:sz w:val="20"/>
                <w:szCs w:val="20"/>
                <w:color w:val="auto"/>
              </w:rPr>
            </w:pPr>
            <w:r>
              <w:rPr>
                <w:rFonts w:ascii="Arial" w:cs="Arial" w:eastAsia="Arial" w:hAnsi="Arial"/>
                <w:sz w:val="18"/>
                <w:szCs w:val="18"/>
                <w:b w:val="1"/>
                <w:bCs w:val="1"/>
                <w:color w:val="auto"/>
              </w:rPr>
              <w:t>As at 31 December 2009</w:t>
            </w:r>
          </w:p>
        </w:tc>
        <w:tc>
          <w:tcPr>
            <w:tcW w:w="1100" w:type="dxa"/>
            <w:vAlign w:val="bottom"/>
          </w:tcPr>
          <w:p>
            <w:pPr>
              <w:spacing w:after="0"/>
              <w:rPr>
                <w:sz w:val="24"/>
                <w:szCs w:val="24"/>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6"/>
              </w:rPr>
              <w:t>20,000,000,000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20,000,000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Allotted and issued</w:t>
            </w:r>
          </w:p>
        </w:tc>
        <w:tc>
          <w:tcPr>
            <w:tcW w:w="1100" w:type="dxa"/>
            <w:vAlign w:val="bottom"/>
          </w:tcPr>
          <w:p>
            <w:pPr>
              <w:jc w:val="center"/>
              <w:spacing w:after="0"/>
              <w:rPr>
                <w:sz w:val="20"/>
                <w:szCs w:val="20"/>
                <w:color w:val="auto"/>
              </w:rPr>
            </w:pPr>
            <w:r>
              <w:rPr>
                <w:rFonts w:ascii="Arial" w:cs="Arial" w:eastAsia="Arial" w:hAnsi="Arial"/>
                <w:sz w:val="18"/>
                <w:szCs w:val="18"/>
                <w:color w:val="auto"/>
              </w:rPr>
              <w:t>(iii)</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Shares issued in connection with the Group Reorganization and the initial</w:t>
            </w: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public offering</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(iv)</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4,999,999,000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4,999,999</w:t>
            </w:r>
          </w:p>
        </w:tc>
        <w:tc>
          <w:tcPr>
            <w:tcW w:w="0" w:type="dxa"/>
            <w:vAlign w:val="bottom"/>
          </w:tcPr>
          <w:p>
            <w:pPr>
              <w:spacing w:after="0"/>
              <w:rPr>
                <w:sz w:val="1"/>
                <w:szCs w:val="1"/>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New issue of Shares in connection with the over-allotment option</w:t>
            </w:r>
          </w:p>
        </w:tc>
        <w:tc>
          <w:tcPr>
            <w:tcW w:w="1100" w:type="dxa"/>
            <w:vAlign w:val="bottom"/>
          </w:tcPr>
          <w:p>
            <w:pPr>
              <w:jc w:val="center"/>
              <w:spacing w:after="0"/>
              <w:rPr>
                <w:sz w:val="20"/>
                <w:szCs w:val="20"/>
                <w:color w:val="auto"/>
              </w:rPr>
            </w:pPr>
            <w:r>
              <w:rPr>
                <w:rFonts w:ascii="Arial" w:cs="Arial" w:eastAsia="Arial" w:hAnsi="Arial"/>
                <w:sz w:val="18"/>
                <w:szCs w:val="18"/>
                <w:color w:val="auto"/>
              </w:rPr>
              <w:t>(v)</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187,500,000</w:t>
            </w:r>
          </w:p>
        </w:tc>
        <w:tc>
          <w:tcPr>
            <w:tcW w:w="980" w:type="dxa"/>
            <w:vAlign w:val="bottom"/>
          </w:tcPr>
          <w:p>
            <w:pPr>
              <w:jc w:val="right"/>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115"/>
        </w:trPr>
        <w:tc>
          <w:tcPr>
            <w:tcW w:w="6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31 December 2009</w:t>
            </w:r>
          </w:p>
        </w:tc>
        <w:tc>
          <w:tcPr>
            <w:tcW w:w="1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3"/>
              </w:rPr>
              <w:t>5,187,500,000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5,187,500</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180" w:hanging="446"/>
        <w:spacing w:after="0" w:line="25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incorporation of the Company on 4 September 2009, the authorized share capital of the Company was HK$5,000,000 divided into 5,000,000 shares of HK$1 each. On 16 September 2009, the authorized share capital and each ordinary share of par value of HK$1 in the authorized share capital of the Company was subdivided into 1,000 Shares of par value of HK$0.001 each.</w:t>
      </w: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Immediately after the subdivision as in note (i) above on 16 September 2009, the authorized share capital of the Company was increased from</w:t>
      </w:r>
    </w:p>
    <w:p>
      <w:pPr>
        <w:spacing w:after="0" w:line="32" w:lineRule="exact"/>
        <w:rPr>
          <w:rFonts w:ascii="Arial" w:cs="Arial" w:eastAsia="Arial" w:hAnsi="Arial"/>
          <w:sz w:val="16"/>
          <w:szCs w:val="16"/>
          <w:color w:val="auto"/>
        </w:rPr>
      </w:pPr>
    </w:p>
    <w:p>
      <w:pPr>
        <w:ind w:left="900" w:right="80"/>
        <w:spacing w:after="0" w:line="250" w:lineRule="auto"/>
        <w:rPr>
          <w:rFonts w:ascii="Arial" w:cs="Arial" w:eastAsia="Arial" w:hAnsi="Arial"/>
          <w:sz w:val="16"/>
          <w:szCs w:val="16"/>
          <w:color w:val="auto"/>
        </w:rPr>
      </w:pPr>
      <w:r>
        <w:rPr>
          <w:rFonts w:ascii="Arial" w:cs="Arial" w:eastAsia="Arial" w:hAnsi="Arial"/>
          <w:sz w:val="18"/>
          <w:szCs w:val="18"/>
          <w:color w:val="auto"/>
        </w:rPr>
        <w:t>HK$5,000,000 divided into 5,000,000,000 Shares of a par value of HK$0.001 each to HK$20,000,000 divided into 20,000,000,000 Shares each of a par value of HK$0.001 by the creation of additional 15,000,000,000 Shares with par value of HK$0.001 each.</w:t>
      </w:r>
    </w:p>
    <w:p>
      <w:pPr>
        <w:ind w:left="900" w:right="220" w:hanging="446"/>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4 September 2009, one share of HK$1 was issued at par to Mapcal Limited as the subscriber and was transferred to WM Cayman Holdings Limited I for HK$1. On 16 September 2009, the Company’s ordinary share at par value of HK$1 was subdivided into 1,000 Shares of par value of HK$0.001 each.</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4" w:name="page15"/>
    <w:bookmarkEnd w:id="14"/>
    <w:p>
      <w:pPr>
        <w:ind w:left="892" w:right="60" w:hanging="446"/>
        <w:spacing w:after="0" w:line="256"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resolutions of the sole Shareholder passed on 16 September 2009 and the Group Reorganization which was completed on 8 October 2009, 3,749,999,000 Shares of HK$0.001 each in the Company were allotted and issued and credited as fully paid at par, as partial consideration for the acquisition of the entire issued capital of a subsidiary, to the then sole Shareholder of the Company, whose name appeared in the register of the Company on 8 October 2009.</w:t>
      </w:r>
    </w:p>
    <w:p>
      <w:pPr>
        <w:spacing w:after="0" w:line="62" w:lineRule="exact"/>
        <w:rPr>
          <w:sz w:val="20"/>
          <w:szCs w:val="20"/>
          <w:color w:val="auto"/>
        </w:rPr>
      </w:pPr>
    </w:p>
    <w:p>
      <w:pPr>
        <w:ind w:left="912" w:right="60"/>
        <w:spacing w:after="0" w:line="259" w:lineRule="auto"/>
        <w:rPr>
          <w:sz w:val="20"/>
          <w:szCs w:val="20"/>
          <w:color w:val="auto"/>
        </w:rPr>
      </w:pPr>
      <w:r>
        <w:rPr>
          <w:rFonts w:ascii="Arial" w:cs="Arial" w:eastAsia="Arial" w:hAnsi="Arial"/>
          <w:sz w:val="18"/>
          <w:szCs w:val="18"/>
          <w:color w:val="auto"/>
        </w:rPr>
        <w:t>In connection with the Company’s initial public offering, 1,250,000,000 Shares of HK$0.001 each were issued at a price of HK$10.08 per Share for a total cash consideration, before expenses, of HK$12,600,000,000. Dealings in these Shares on the Hong Kong Stock Exchange commenced on 9 October 2009.</w:t>
      </w:r>
    </w:p>
    <w:p>
      <w:pPr>
        <w:spacing w:after="0" w:line="59" w:lineRule="exact"/>
        <w:rPr>
          <w:sz w:val="20"/>
          <w:szCs w:val="20"/>
          <w:color w:val="auto"/>
        </w:rPr>
      </w:pPr>
    </w:p>
    <w:p>
      <w:pPr>
        <w:ind w:left="892" w:right="520" w:hanging="446"/>
        <w:spacing w:after="0" w:line="259" w:lineRule="auto"/>
        <w:tabs>
          <w:tab w:leader="none" w:pos="8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connection with the Company’s full exercise of the over-allotment option, 187,500,000 Shares of HK$0.001 each were issued at a price of HK$10.08 per Share for a total cash consideration, before expenses, of HK$1,890,000,000. Dealings in these Shares on the Hong Kong Stock Exchange commenced on 14 October 2009.</w:t>
      </w:r>
    </w:p>
    <w:p>
      <w:pPr>
        <w:spacing w:after="0" w:line="59" w:lineRule="exact"/>
        <w:rPr>
          <w:sz w:val="20"/>
          <w:szCs w:val="20"/>
          <w:color w:val="auto"/>
        </w:rPr>
      </w:pPr>
    </w:p>
    <w:p>
      <w:pPr>
        <w:ind w:left="912"/>
        <w:spacing w:after="0" w:line="291" w:lineRule="auto"/>
        <w:rPr>
          <w:sz w:val="20"/>
          <w:szCs w:val="20"/>
          <w:color w:val="auto"/>
        </w:rPr>
      </w:pPr>
      <w:r>
        <w:rPr>
          <w:rFonts w:ascii="Arial" w:cs="Arial" w:eastAsia="Arial" w:hAnsi="Arial"/>
          <w:sz w:val="16"/>
          <w:szCs w:val="16"/>
          <w:color w:val="auto"/>
        </w:rPr>
        <w:t>Except as otherwise provided by the Company’s articles of association or Cayman Islands law, each holder of Shares is entitled to one vote for each Share held of record on each matter submitted to a vote of Shareholders. Holders of the Shares have no cumulative voting conversion, redemption or preemptive rights or other rights to subscribe for additional Shares. Subject to any preferences that may be granted to the holders of the Company’s preferred stock, each Shareholder is entitled to receive ratably such dividends as may be declared by the Board out of funds legally available therefor, as well as any distributions to the Shareholders and, in the event of liquidation, dissolution or winding up of the Company, is entitled to share ratably in all assets of the Company remaining after payment of liabilities.</w:t>
      </w:r>
    </w:p>
    <w:p>
      <w:pPr>
        <w:spacing w:after="0" w:line="236"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As at 31 December 2009 and 2008, the outstanding balances between the Group and the related companies were as follows:</w:t>
      </w:r>
    </w:p>
    <w:p>
      <w:pPr>
        <w:spacing w:after="0" w:line="19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gridSpan w:val="3"/>
          </w:tcPr>
          <w:p>
            <w:pPr>
              <w:ind w:left="600"/>
              <w:spacing w:after="0"/>
              <w:rPr>
                <w:sz w:val="20"/>
                <w:szCs w:val="20"/>
                <w:color w:val="auto"/>
              </w:rPr>
            </w:pPr>
            <w:r>
              <w:rPr>
                <w:rFonts w:ascii="Arial" w:cs="Arial" w:eastAsia="Arial" w:hAnsi="Arial"/>
                <w:sz w:val="14"/>
                <w:szCs w:val="14"/>
                <w:b w:val="1"/>
                <w:bCs w:val="1"/>
                <w:color w:val="auto"/>
                <w:w w:val="85"/>
              </w:rPr>
              <w:t>Group</w:t>
            </w:r>
          </w:p>
        </w:tc>
        <w:tc>
          <w:tcPr>
            <w:tcW w:w="580" w:type="dxa"/>
            <w:vAlign w:val="bottom"/>
          </w:tcPr>
          <w:p>
            <w:pPr>
              <w:spacing w:after="0"/>
              <w:rPr>
                <w:sz w:val="14"/>
                <w:szCs w:val="14"/>
                <w:color w:val="auto"/>
              </w:rPr>
            </w:pPr>
          </w:p>
        </w:tc>
      </w:tr>
      <w:tr>
        <w:trPr>
          <w:trHeight w:val="161"/>
        </w:trPr>
        <w:tc>
          <w:tcPr>
            <w:tcW w:w="4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As at 31 December</w:t>
            </w:r>
          </w:p>
        </w:tc>
      </w:tr>
      <w:tr>
        <w:trPr>
          <w:trHeight w:val="129"/>
        </w:trPr>
        <w:tc>
          <w:tcPr>
            <w:tcW w:w="40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2008</w:t>
            </w:r>
          </w:p>
        </w:tc>
      </w:t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color w:val="auto"/>
              </w:rPr>
              <w:t>Name of related company</w:t>
            </w:r>
          </w:p>
        </w:tc>
        <w:tc>
          <w:tcPr>
            <w:tcW w:w="4020" w:type="dxa"/>
            <w:vAlign w:val="bottom"/>
          </w:tcPr>
          <w:p>
            <w:pPr>
              <w:ind w:left="1080"/>
              <w:spacing w:after="0"/>
              <w:rPr>
                <w:sz w:val="20"/>
                <w:szCs w:val="20"/>
                <w:color w:val="auto"/>
              </w:rPr>
            </w:pPr>
            <w:r>
              <w:rPr>
                <w:rFonts w:ascii="Arial" w:cs="Arial" w:eastAsia="Arial" w:hAnsi="Arial"/>
                <w:sz w:val="14"/>
                <w:szCs w:val="14"/>
                <w:b w:val="1"/>
                <w:bCs w:val="1"/>
                <w:color w:val="auto"/>
              </w:rPr>
              <w:t>Relation to the Company</w:t>
            </w: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HK$</w:t>
            </w:r>
          </w:p>
        </w:tc>
      </w:tr>
      <w:tr>
        <w:trPr>
          <w:trHeight w:val="168"/>
        </w:trPr>
        <w:tc>
          <w:tcPr>
            <w:tcW w:w="40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8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76"/>
              <w:spacing w:after="0"/>
              <w:rPr>
                <w:sz w:val="20"/>
                <w:szCs w:val="20"/>
                <w:color w:val="auto"/>
              </w:rPr>
            </w:pPr>
            <w:r>
              <w:rPr>
                <w:rFonts w:ascii="Arial" w:cs="Arial" w:eastAsia="Arial" w:hAnsi="Arial"/>
                <w:sz w:val="12"/>
                <w:szCs w:val="12"/>
                <w:b w:val="1"/>
                <w:bCs w:val="1"/>
                <w:color w:val="auto"/>
                <w:w w:val="77"/>
              </w:rPr>
              <w:t>thousands)</w:t>
            </w:r>
          </w:p>
        </w:tc>
      </w:tr>
      <w:tr>
        <w:trPr>
          <w:trHeight w:val="82"/>
        </w:trPr>
        <w:tc>
          <w:tcPr>
            <w:tcW w:w="40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related companies — current</w:t>
            </w:r>
          </w:p>
        </w:tc>
        <w:tc>
          <w:tcPr>
            <w:tcW w:w="4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WIML</w:t>
            </w:r>
          </w:p>
        </w:tc>
        <w:tc>
          <w:tcPr>
            <w:tcW w:w="4020" w:type="dxa"/>
            <w:vAlign w:val="bottom"/>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123,407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112,741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Wynn Hotel Sales &amp; Marketing, LLC</w:t>
            </w:r>
          </w:p>
        </w:tc>
        <w:tc>
          <w:tcPr>
            <w:tcW w:w="4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330"/>
        </w:trPr>
        <w:tc>
          <w:tcPr>
            <w:tcW w:w="4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123,706</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113,575</w:t>
            </w:r>
          </w:p>
        </w:tc>
      </w:tr>
      <w:tr>
        <w:trPr>
          <w:trHeight w:val="20"/>
        </w:trPr>
        <w:tc>
          <w:tcPr>
            <w:tcW w:w="4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03"/>
        </w:trPr>
        <w:tc>
          <w:tcPr>
            <w:tcW w:w="400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related companies — current</w:t>
            </w:r>
          </w:p>
        </w:tc>
        <w:tc>
          <w:tcPr>
            <w:tcW w:w="4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Wynn Las Vegas, LLC</w:t>
            </w:r>
          </w:p>
        </w:tc>
        <w:tc>
          <w:tcPr>
            <w:tcW w:w="4020" w:type="dxa"/>
            <w:vAlign w:val="bottom"/>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41,097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53,942</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WM Cayman Holdings Limited I</w:t>
            </w:r>
          </w:p>
        </w:tc>
        <w:tc>
          <w:tcPr>
            <w:tcW w:w="4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Wynn Design &amp; Development</w:t>
            </w:r>
          </w:p>
        </w:tc>
        <w:tc>
          <w:tcPr>
            <w:tcW w:w="4020" w:type="dxa"/>
            <w:vAlign w:val="bottom"/>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44,183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21,306</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4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Ultimate parent company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Worldwide Wynn</w:t>
            </w:r>
          </w:p>
        </w:tc>
        <w:tc>
          <w:tcPr>
            <w:tcW w:w="4020" w:type="dxa"/>
            <w:vAlign w:val="bottom"/>
          </w:tcPr>
          <w:p>
            <w:pPr>
              <w:ind w:left="1080"/>
              <w:spacing w:after="0"/>
              <w:rPr>
                <w:sz w:val="20"/>
                <w:szCs w:val="20"/>
                <w:color w:val="auto"/>
              </w:rPr>
            </w:pPr>
            <w:r>
              <w:rPr>
                <w:rFonts w:ascii="Arial" w:cs="Arial" w:eastAsia="Arial" w:hAnsi="Arial"/>
                <w:sz w:val="18"/>
                <w:szCs w:val="18"/>
                <w:color w:val="auto"/>
              </w:rPr>
              <w:t>Subsidiary of WRL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4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Subsidiary of WRL</w:t>
            </w:r>
          </w:p>
        </w:tc>
        <w:tc>
          <w:tcPr>
            <w:tcW w:w="98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330"/>
        </w:trPr>
        <w:tc>
          <w:tcPr>
            <w:tcW w:w="4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189,500</w:t>
            </w:r>
          </w:p>
        </w:tc>
        <w:tc>
          <w:tcPr>
            <w:tcW w:w="2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102,995</w:t>
            </w:r>
          </w:p>
        </w:tc>
      </w:tr>
      <w:tr>
        <w:trPr>
          <w:trHeight w:val="20"/>
        </w:trPr>
        <w:tc>
          <w:tcPr>
            <w:tcW w:w="4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Unless indicated in the above table, the amounts are unsecured, interest-free and repayable on demand.</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8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Group had the following material transactions with related parties: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Group</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Related</w:t>
            </w:r>
          </w:p>
        </w:tc>
        <w:tc>
          <w:tcPr>
            <w:tcW w:w="500" w:type="dxa"/>
            <w:vAlign w:val="bottom"/>
          </w:tcPr>
          <w:p>
            <w:pPr>
              <w:spacing w:after="0"/>
              <w:rPr>
                <w:sz w:val="14"/>
                <w:szCs w:val="14"/>
                <w:color w:val="auto"/>
              </w:rPr>
            </w:pPr>
          </w:p>
        </w:tc>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Relation to the</w:t>
            </w:r>
          </w:p>
        </w:tc>
        <w:tc>
          <w:tcPr>
            <w:tcW w:w="740" w:type="dxa"/>
            <w:vAlign w:val="bottom"/>
          </w:tcPr>
          <w:p>
            <w:pPr>
              <w:spacing w:after="0"/>
              <w:rPr>
                <w:sz w:val="14"/>
                <w:szCs w:val="14"/>
                <w:color w:val="auto"/>
              </w:rPr>
            </w:pPr>
          </w:p>
        </w:tc>
        <w:tc>
          <w:tcPr>
            <w:tcW w:w="28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Primary Nature of</w:t>
            </w:r>
          </w:p>
        </w:tc>
        <w:tc>
          <w:tcPr>
            <w:tcW w:w="264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year ended 31 December</w:t>
            </w:r>
          </w:p>
        </w:tc>
        <w:tc>
          <w:tcPr>
            <w:tcW w:w="0" w:type="dxa"/>
            <w:vAlign w:val="bottom"/>
          </w:tcPr>
          <w:p>
            <w:pPr>
              <w:spacing w:after="0"/>
              <w:rPr>
                <w:sz w:val="1"/>
                <w:szCs w:val="1"/>
                <w:color w:val="auto"/>
              </w:rPr>
            </w:pPr>
          </w:p>
        </w:tc>
      </w:tr>
      <w:tr>
        <w:trPr>
          <w:trHeight w:val="129"/>
        </w:trPr>
        <w:tc>
          <w:tcPr>
            <w:tcW w:w="266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90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500" w:type="dxa"/>
            <w:vAlign w:val="bottom"/>
          </w:tcPr>
          <w:p>
            <w:pPr>
              <w:spacing w:after="0"/>
              <w:rPr>
                <w:sz w:val="14"/>
                <w:szCs w:val="14"/>
                <w:color w:val="auto"/>
              </w:rPr>
            </w:pPr>
          </w:p>
        </w:tc>
        <w:tc>
          <w:tcPr>
            <w:tcW w:w="2040" w:type="dxa"/>
            <w:vAlign w:val="bottom"/>
          </w:tcPr>
          <w:p>
            <w:pPr>
              <w:ind w:left="740"/>
              <w:spacing w:after="0"/>
              <w:rPr>
                <w:sz w:val="20"/>
                <w:szCs w:val="20"/>
                <w:color w:val="auto"/>
              </w:rPr>
            </w:pPr>
            <w:r>
              <w:rPr>
                <w:rFonts w:ascii="Arial" w:cs="Arial" w:eastAsia="Arial" w:hAnsi="Arial"/>
                <w:sz w:val="14"/>
                <w:szCs w:val="14"/>
                <w:b w:val="1"/>
                <w:bCs w:val="1"/>
                <w:color w:val="auto"/>
              </w:rPr>
              <w:t>Company</w:t>
            </w:r>
          </w:p>
        </w:tc>
        <w:tc>
          <w:tcPr>
            <w:tcW w:w="740" w:type="dxa"/>
            <w:vAlign w:val="bottom"/>
          </w:tcPr>
          <w:p>
            <w:pPr>
              <w:spacing w:after="0"/>
              <w:rPr>
                <w:sz w:val="14"/>
                <w:szCs w:val="14"/>
                <w:color w:val="auto"/>
              </w:rPr>
            </w:pPr>
          </w:p>
        </w:tc>
        <w:tc>
          <w:tcPr>
            <w:tcW w:w="28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Transactions</w:t>
            </w:r>
          </w:p>
        </w:tc>
        <w:tc>
          <w:tcPr>
            <w:tcW w:w="1820" w:type="dxa"/>
            <w:vAlign w:val="bottom"/>
            <w:gridSpan w:val="3"/>
          </w:tcPr>
          <w:p>
            <w:pPr>
              <w:ind w:left="320"/>
              <w:spacing w:after="0"/>
              <w:rPr>
                <w:sz w:val="20"/>
                <w:szCs w:val="20"/>
                <w:color w:val="auto"/>
              </w:rPr>
            </w:pPr>
            <w:r>
              <w:rPr>
                <w:rFonts w:ascii="Arial" w:cs="Arial" w:eastAsia="Arial" w:hAnsi="Arial"/>
                <w:sz w:val="14"/>
                <w:szCs w:val="14"/>
                <w:b w:val="1"/>
                <w:bCs w:val="1"/>
                <w:color w:val="auto"/>
              </w:rPr>
              <w:t>HK$</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gridSpan w:val="3"/>
          </w:tcPr>
          <w:p>
            <w:pPr>
              <w:jc w:val="center"/>
              <w:ind w:left="638"/>
              <w:spacing w:after="0"/>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Ultimate parent company</w:t>
            </w:r>
          </w:p>
        </w:tc>
        <w:tc>
          <w:tcPr>
            <w:tcW w:w="3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Corporate support services (i)</w:t>
            </w:r>
          </w:p>
        </w:tc>
        <w:tc>
          <w:tcPr>
            <w:tcW w:w="16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89,799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540" w:type="dxa"/>
            <w:vAlign w:val="bottom"/>
            <w:gridSpan w:val="2"/>
          </w:tcPr>
          <w:p>
            <w:pPr>
              <w:ind w:left="500"/>
              <w:spacing w:after="0"/>
              <w:rPr>
                <w:sz w:val="20"/>
                <w:szCs w:val="20"/>
                <w:color w:val="auto"/>
              </w:rPr>
            </w:pPr>
            <w:r>
              <w:rPr>
                <w:rFonts w:ascii="Arial" w:cs="Arial" w:eastAsia="Arial" w:hAnsi="Arial"/>
                <w:sz w:val="18"/>
                <w:szCs w:val="18"/>
                <w:color w:val="auto"/>
              </w:rPr>
              <w:t>Ultimate parent company</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Royalty fees (ii)</w:t>
            </w:r>
          </w:p>
        </w:tc>
        <w:tc>
          <w:tcPr>
            <w:tcW w:w="16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554,525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572,084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WIML</w:t>
            </w:r>
          </w:p>
        </w:tc>
        <w:tc>
          <w:tcPr>
            <w:tcW w:w="2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Subsidiary of Wynn Resorts,</w:t>
            </w:r>
          </w:p>
        </w:tc>
        <w:tc>
          <w:tcPr>
            <w:tcW w:w="3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International marketing</w:t>
            </w:r>
          </w:p>
        </w:tc>
        <w:tc>
          <w:tcPr>
            <w:tcW w:w="16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64,146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7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expenses (iii)</w:t>
            </w: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Worldwide Wynn</w:t>
            </w:r>
          </w:p>
        </w:tc>
        <w:tc>
          <w:tcPr>
            <w:tcW w:w="2540" w:type="dxa"/>
            <w:vAlign w:val="bottom"/>
            <w:gridSpan w:val="2"/>
          </w:tcPr>
          <w:p>
            <w:pPr>
              <w:ind w:left="500"/>
              <w:spacing w:after="0"/>
              <w:rPr>
                <w:sz w:val="20"/>
                <w:szCs w:val="20"/>
                <w:color w:val="auto"/>
              </w:rPr>
            </w:pPr>
            <w:r>
              <w:rPr>
                <w:rFonts w:ascii="Arial" w:cs="Arial" w:eastAsia="Arial" w:hAnsi="Arial"/>
                <w:sz w:val="18"/>
                <w:szCs w:val="18"/>
                <w:color w:val="auto"/>
                <w:w w:val="88"/>
              </w:rPr>
              <w:t>Subsidiary of Wynn Resorts,</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Staff secondment payroll</w:t>
            </w:r>
          </w:p>
        </w:tc>
        <w:tc>
          <w:tcPr>
            <w:tcW w:w="16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46,459</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43,321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Limited</w:t>
            </w:r>
          </w:p>
        </w:tc>
        <w:tc>
          <w:tcPr>
            <w:tcW w:w="740" w:type="dxa"/>
            <w:vAlign w:val="bottom"/>
          </w:tcPr>
          <w:p>
            <w:pPr>
              <w:spacing w:after="0"/>
              <w:rPr>
                <w:sz w:val="19"/>
                <w:szCs w:val="19"/>
                <w:color w:val="auto"/>
              </w:rPr>
            </w:pP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charges (iv)</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Design &amp; Development</w:t>
            </w:r>
          </w:p>
        </w:tc>
        <w:tc>
          <w:tcPr>
            <w:tcW w:w="2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Subsidiary of Wynn Resorts,</w:t>
            </w:r>
          </w:p>
        </w:tc>
        <w:tc>
          <w:tcPr>
            <w:tcW w:w="3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Design/development payroll</w:t>
            </w:r>
          </w:p>
        </w:tc>
        <w:tc>
          <w:tcPr>
            <w:tcW w:w="16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17,708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7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Wynn Resorts, Limited</w:t>
            </w:r>
          </w:p>
        </w:tc>
        <w:tc>
          <w:tcPr>
            <w:tcW w:w="2540" w:type="dxa"/>
            <w:vAlign w:val="bottom"/>
            <w:gridSpan w:val="2"/>
          </w:tcPr>
          <w:p>
            <w:pPr>
              <w:ind w:left="500"/>
              <w:spacing w:after="0"/>
              <w:rPr>
                <w:sz w:val="20"/>
                <w:szCs w:val="20"/>
                <w:color w:val="auto"/>
              </w:rPr>
            </w:pPr>
            <w:r>
              <w:rPr>
                <w:rFonts w:ascii="Arial" w:cs="Arial" w:eastAsia="Arial" w:hAnsi="Arial"/>
                <w:sz w:val="18"/>
                <w:szCs w:val="18"/>
                <w:color w:val="auto"/>
              </w:rPr>
              <w:t>Ultimate parent company</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Share-based payment</w:t>
            </w:r>
          </w:p>
        </w:tc>
        <w:tc>
          <w:tcPr>
            <w:tcW w:w="16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45,279</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32,209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expenses</w:t>
            </w: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Subsidiary of Wynn Resorts,</w:t>
            </w:r>
          </w:p>
        </w:tc>
        <w:tc>
          <w:tcPr>
            <w:tcW w:w="3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Airplane usage charges (i)</w:t>
            </w:r>
          </w:p>
        </w:tc>
        <w:tc>
          <w:tcPr>
            <w:tcW w:w="16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5,481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w:t>
            </w:r>
          </w:p>
        </w:tc>
        <w:tc>
          <w:tcPr>
            <w:tcW w:w="7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Wynn Resorts Hotel Sales &amp;</w:t>
            </w:r>
          </w:p>
        </w:tc>
        <w:tc>
          <w:tcPr>
            <w:tcW w:w="2540" w:type="dxa"/>
            <w:vAlign w:val="bottom"/>
            <w:gridSpan w:val="2"/>
          </w:tcPr>
          <w:p>
            <w:pPr>
              <w:ind w:left="500"/>
              <w:spacing w:after="0"/>
              <w:rPr>
                <w:sz w:val="20"/>
                <w:szCs w:val="20"/>
                <w:color w:val="auto"/>
              </w:rPr>
            </w:pPr>
            <w:r>
              <w:rPr>
                <w:rFonts w:ascii="Arial" w:cs="Arial" w:eastAsia="Arial" w:hAnsi="Arial"/>
                <w:sz w:val="18"/>
                <w:szCs w:val="18"/>
                <w:color w:val="auto"/>
                <w:w w:val="88"/>
              </w:rPr>
              <w:t>Subsidiary of Wynn Resorts,</w:t>
            </w:r>
          </w:p>
        </w:tc>
        <w:tc>
          <w:tcPr>
            <w:tcW w:w="3580" w:type="dxa"/>
            <w:vAlign w:val="bottom"/>
            <w:gridSpan w:val="3"/>
          </w:tcPr>
          <w:p>
            <w:pPr>
              <w:ind w:left="740"/>
              <w:spacing w:after="0"/>
              <w:rPr>
                <w:sz w:val="20"/>
                <w:szCs w:val="20"/>
                <w:color w:val="auto"/>
              </w:rPr>
            </w:pPr>
            <w:r>
              <w:rPr>
                <w:rFonts w:ascii="Arial" w:cs="Arial" w:eastAsia="Arial" w:hAnsi="Arial"/>
                <w:sz w:val="18"/>
                <w:szCs w:val="18"/>
                <w:color w:val="auto"/>
              </w:rPr>
              <w:t>Hotel marketing expenses (v)</w:t>
            </w:r>
          </w:p>
        </w:tc>
        <w:tc>
          <w:tcPr>
            <w:tcW w:w="16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1,306</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gridSpan w:val="2"/>
          </w:tcPr>
          <w:p>
            <w:pPr>
              <w:ind w:left="200"/>
              <w:spacing w:after="0"/>
              <w:rPr>
                <w:sz w:val="20"/>
                <w:szCs w:val="20"/>
                <w:color w:val="auto"/>
              </w:rPr>
            </w:pPr>
            <w:r>
              <w:rPr>
                <w:rFonts w:ascii="Arial" w:cs="Arial" w:eastAsia="Arial" w:hAnsi="Arial"/>
                <w:sz w:val="18"/>
                <w:szCs w:val="18"/>
                <w:color w:val="auto"/>
              </w:rPr>
              <w:t>Marketing, LLC</w:t>
            </w:r>
          </w:p>
        </w:tc>
        <w:tc>
          <w:tcPr>
            <w:tcW w:w="500" w:type="dxa"/>
            <w:vAlign w:val="bottom"/>
          </w:tcPr>
          <w:p>
            <w:pPr>
              <w:spacing w:after="0"/>
              <w:rPr>
                <w:sz w:val="19"/>
                <w:szCs w:val="19"/>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Limited</w:t>
            </w:r>
          </w:p>
        </w:tc>
        <w:tc>
          <w:tcPr>
            <w:tcW w:w="7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Ultimate parent company</w:t>
            </w:r>
          </w:p>
        </w:tc>
        <w:tc>
          <w:tcPr>
            <w:tcW w:w="35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Loan interest income (vi)</w:t>
            </w:r>
          </w:p>
        </w:tc>
        <w:tc>
          <w:tcPr>
            <w:tcW w:w="182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transactions are noted as continuing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support services</w:t>
      </w:r>
    </w:p>
    <w:p>
      <w:pPr>
        <w:spacing w:after="0" w:line="90" w:lineRule="exact"/>
        <w:rPr>
          <w:rFonts w:ascii="Arial" w:cs="Arial" w:eastAsia="Arial" w:hAnsi="Arial"/>
          <w:sz w:val="18"/>
          <w:szCs w:val="18"/>
          <w:color w:val="auto"/>
        </w:rPr>
      </w:pPr>
    </w:p>
    <w:p>
      <w:pPr>
        <w:ind w:left="460" w:right="60"/>
        <w:spacing w:after="0" w:line="290" w:lineRule="auto"/>
        <w:rPr>
          <w:rFonts w:ascii="Arial" w:cs="Arial" w:eastAsia="Arial" w:hAnsi="Arial"/>
          <w:sz w:val="18"/>
          <w:szCs w:val="18"/>
          <w:color w:val="auto"/>
        </w:rPr>
      </w:pPr>
      <w:r>
        <w:rPr>
          <w:rFonts w:ascii="Arial" w:cs="Arial" w:eastAsia="Arial" w:hAnsi="Arial"/>
          <w:sz w:val="16"/>
          <w:szCs w:val="16"/>
          <w:color w:val="auto"/>
        </w:rPr>
        <w:t>Wynn Resorts, Limited provides corporate support services in large part related to assisting the Group with U.S. regulatory requirements. These services consist of a limited number of executives in relevant areas assisting the Group on U.S. regulatory and certain limited other matters. The assistance includes guidance on certain issues and ensuring that from a regulatory standpoint Wynn Resorts, Limited standard operating procedures are followed and maintained by the Group. 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37" w:lineRule="exact"/>
        <w:rPr>
          <w:rFonts w:ascii="Arial" w:cs="Arial" w:eastAsia="Arial" w:hAnsi="Arial"/>
          <w:sz w:val="18"/>
          <w:szCs w:val="18"/>
          <w:color w:val="auto"/>
        </w:rPr>
      </w:pPr>
    </w:p>
    <w:p>
      <w:pPr>
        <w:ind w:left="460" w:right="200"/>
        <w:spacing w:after="0" w:line="298" w:lineRule="auto"/>
        <w:rPr>
          <w:rFonts w:ascii="Arial" w:cs="Arial" w:eastAsia="Arial" w:hAnsi="Arial"/>
          <w:sz w:val="18"/>
          <w:szCs w:val="18"/>
          <w:color w:val="auto"/>
        </w:rPr>
      </w:pPr>
      <w:r>
        <w:rPr>
          <w:rFonts w:ascii="Arial" w:cs="Arial" w:eastAsia="Arial" w:hAnsi="Arial"/>
          <w:sz w:val="16"/>
          <w:szCs w:val="16"/>
          <w:color w:val="auto"/>
        </w:rPr>
        <w:t>Similarly, WML and WRM had reciprocal arrangements to allow Wynn Resorts, Limited or its subsidiaries (other than the Group) to have access to the services of any of the Group’s employees provided that such services do not materially interfere with such employee’s obligations to, and responsibilities with, the Group. For services provided by the Group’s employees, Wynn Resorts, Limited shall pay for the services based on an actual cost (including salaries and benefits for such employees during the period when such services are being rendered) and expense reimbursement basis.</w:t>
      </w:r>
    </w:p>
    <w:p>
      <w:pPr>
        <w:spacing w:after="0" w:line="31" w:lineRule="exact"/>
        <w:rPr>
          <w:rFonts w:ascii="Arial" w:cs="Arial" w:eastAsia="Arial" w:hAnsi="Arial"/>
          <w:sz w:val="18"/>
          <w:szCs w:val="18"/>
          <w:color w:val="auto"/>
        </w:rPr>
      </w:pPr>
    </w:p>
    <w:p>
      <w:pPr>
        <w:ind w:left="460" w:right="160"/>
        <w:spacing w:after="0" w:line="306" w:lineRule="auto"/>
        <w:rPr>
          <w:rFonts w:ascii="Arial" w:cs="Arial" w:eastAsia="Arial" w:hAnsi="Arial"/>
          <w:sz w:val="18"/>
          <w:szCs w:val="18"/>
          <w:color w:val="auto"/>
        </w:rPr>
      </w:pPr>
      <w:r>
        <w:rPr>
          <w:rFonts w:ascii="Arial" w:cs="Arial" w:eastAsia="Arial" w:hAnsi="Arial"/>
          <w:sz w:val="16"/>
          <w:szCs w:val="16"/>
          <w:color w:val="auto"/>
        </w:rPr>
        <w:t>Wynn Resorts, Limited allows WRM and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ind w:left="446" w:hanging="446"/>
        <w:spacing w:after="0"/>
        <w:tabs>
          <w:tab w:leader="none" w:pos="446"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Royalty Fees</w:t>
      </w:r>
    </w:p>
    <w:p>
      <w:pPr>
        <w:spacing w:after="0" w:line="90" w:lineRule="exact"/>
        <w:rPr>
          <w:sz w:val="20"/>
          <w:szCs w:val="20"/>
          <w:color w:val="auto"/>
        </w:rPr>
      </w:pPr>
    </w:p>
    <w:p>
      <w:pPr>
        <w:ind w:left="466"/>
        <w:spacing w:after="0" w:line="288" w:lineRule="auto"/>
        <w:rPr>
          <w:sz w:val="20"/>
          <w:szCs w:val="20"/>
          <w:color w:val="auto"/>
        </w:rPr>
      </w:pPr>
      <w:r>
        <w:rPr>
          <w:rFonts w:ascii="Arial" w:cs="Arial" w:eastAsia="Arial" w:hAnsi="Arial"/>
          <w:sz w:val="16"/>
          <w:szCs w:val="16"/>
          <w:color w:val="auto"/>
        </w:rPr>
        <w:t>Prior to Listing, WRM had an arrangement with Wynn Resorts, Limited and Wynn Resorts Holdings, LLC (together, the “Licensors”) under which the Licensors licensed to WRM certain trademarks and service marks, other marks and works, domain names, hotel casino design, development, and management know-how (collectively, the “Intellectual Property Rights”). On 19 September 2009, each of the Company and WRM entered into an intellectual property license agreement with the Licensors (together, the “IP License Arrangement”), which has a 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a third parties’ intellectual property, including any applicable limitations on the scope of the license, limitations on sub-licensing, termination (including change of control) under certain circumstances and other standard provisions.</w:t>
      </w:r>
    </w:p>
    <w:p>
      <w:pPr>
        <w:spacing w:after="0" w:line="39" w:lineRule="exact"/>
        <w:rPr>
          <w:sz w:val="20"/>
          <w:szCs w:val="20"/>
          <w:color w:val="auto"/>
        </w:rPr>
      </w:pPr>
    </w:p>
    <w:p>
      <w:pPr>
        <w:ind w:left="466" w:right="20"/>
        <w:spacing w:after="0" w:line="303" w:lineRule="auto"/>
        <w:rPr>
          <w:sz w:val="20"/>
          <w:szCs w:val="20"/>
          <w:color w:val="auto"/>
        </w:rPr>
      </w:pPr>
      <w:r>
        <w:rPr>
          <w:rFonts w:ascii="Arial" w:cs="Arial" w:eastAsia="Arial" w:hAnsi="Arial"/>
          <w:sz w:val="15"/>
          <w:szCs w:val="15"/>
          <w:color w:val="auto"/>
        </w:rPr>
        <w:t>The license fee payable to Wynn Resorts Holdings, LLC equals the greater of (1) 3% of the IP gross monthly revenues, and (2) US$1.5 million (approximately HK$11.6 million) per month. For the purposes of each intellectual property license agreement, the term “IP gross revenues” refers to the licensee’s total operating revenues as adjusted by adding back (1) commissions and discounts which were netted against operating revenues, and</w:t>
      </w:r>
    </w:p>
    <w:p>
      <w:pPr>
        <w:spacing w:after="0" w:line="1" w:lineRule="exact"/>
        <w:rPr>
          <w:sz w:val="20"/>
          <w:szCs w:val="20"/>
          <w:color w:val="auto"/>
        </w:rPr>
      </w:pPr>
    </w:p>
    <w:p>
      <w:pPr>
        <w:ind w:left="466" w:right="60" w:firstLine="1"/>
        <w:spacing w:after="0" w:line="290" w:lineRule="auto"/>
        <w:tabs>
          <w:tab w:leader="none" w:pos="7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Group’s accounting policies and prepared in accordance with IFRS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37" w:lineRule="exact"/>
        <w:rPr>
          <w:sz w:val="20"/>
          <w:szCs w:val="20"/>
          <w:color w:val="auto"/>
        </w:rPr>
      </w:pPr>
    </w:p>
    <w:p>
      <w:pPr>
        <w:ind w:left="466" w:right="580"/>
        <w:spacing w:after="0" w:line="268" w:lineRule="auto"/>
        <w:rPr>
          <w:sz w:val="20"/>
          <w:szCs w:val="20"/>
          <w:color w:val="auto"/>
        </w:rPr>
      </w:pPr>
      <w:r>
        <w:rPr>
          <w:rFonts w:ascii="Arial" w:cs="Arial" w:eastAsia="Arial" w:hAnsi="Arial"/>
          <w:sz w:val="18"/>
          <w:szCs w:val="18"/>
          <w:color w:val="auto"/>
        </w:rPr>
        <w:t>The following table presents a reconciliation of total operating revenues (as reported in the Group’s financial statements) to WRM’s IP gross revenues as used for purposes of the IP License Arrangement between WRM and the Licensors.</w:t>
      </w:r>
    </w:p>
    <w:p>
      <w:pPr>
        <w:spacing w:after="0" w:line="156"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Pr>
          <w:p>
            <w:pPr>
              <w:jc w:val="right"/>
              <w:ind w:right="221"/>
              <w:spacing w:after="0"/>
              <w:rPr>
                <w:sz w:val="20"/>
                <w:szCs w:val="20"/>
                <w:color w:val="auto"/>
              </w:rPr>
            </w:pPr>
            <w:r>
              <w:rPr>
                <w:rFonts w:ascii="Arial" w:cs="Arial" w:eastAsia="Arial" w:hAnsi="Arial"/>
                <w:sz w:val="14"/>
                <w:szCs w:val="14"/>
                <w:b w:val="1"/>
                <w:bCs w:val="1"/>
                <w:color w:val="auto"/>
              </w:rPr>
              <w:t>2009</w:t>
            </w:r>
          </w:p>
        </w:tc>
        <w:tc>
          <w:tcPr>
            <w:tcW w:w="11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860" w:type="dxa"/>
            <w:vAlign w:val="bottom"/>
          </w:tcPr>
          <w:p>
            <w:pPr>
              <w:jc w:val="right"/>
              <w:ind w:right="41"/>
              <w:spacing w:after="0"/>
              <w:rPr>
                <w:sz w:val="20"/>
                <w:szCs w:val="20"/>
                <w:color w:val="auto"/>
              </w:rPr>
            </w:pPr>
            <w:r>
              <w:rPr>
                <w:rFonts w:ascii="Arial" w:cs="Arial" w:eastAsia="Arial" w:hAnsi="Arial"/>
                <w:sz w:val="14"/>
                <w:szCs w:val="14"/>
                <w:b w:val="1"/>
                <w:bCs w:val="1"/>
                <w:color w:val="auto"/>
              </w:rPr>
              <w:t>(in</w:t>
            </w:r>
          </w:p>
        </w:tc>
        <w:tc>
          <w:tcPr>
            <w:tcW w:w="1140" w:type="dxa"/>
            <w:vAlign w:val="bottom"/>
            <w:gridSpan w:val="2"/>
          </w:tcPr>
          <w:p>
            <w:pPr>
              <w:jc w:val="right"/>
              <w:ind w:right="532"/>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14,076,900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Commissions included in operating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3,805,861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3,779,159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601,112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575,407</w:t>
            </w:r>
          </w:p>
        </w:tc>
        <w:tc>
          <w:tcPr>
            <w:tcW w:w="0" w:type="dxa"/>
            <w:vAlign w:val="bottom"/>
          </w:tcPr>
          <w:p>
            <w:pPr>
              <w:spacing w:after="0"/>
              <w:rPr>
                <w:sz w:val="1"/>
                <w:szCs w:val="1"/>
                <w:color w:val="auto"/>
              </w:rPr>
            </w:pPr>
          </w:p>
        </w:tc>
      </w:tr>
      <w:tr>
        <w:trPr>
          <w:trHeight w:val="330"/>
        </w:trPr>
        <w:tc>
          <w:tcPr>
            <w:tcW w:w="6680" w:type="dxa"/>
            <w:vAlign w:val="bottom"/>
            <w:gridSpan w:val="2"/>
          </w:tcPr>
          <w:p>
            <w:pPr>
              <w:spacing w:after="0"/>
              <w:rPr>
                <w:sz w:val="20"/>
                <w:szCs w:val="20"/>
                <w:color w:val="auto"/>
              </w:rPr>
            </w:pPr>
            <w:r>
              <w:rPr>
                <w:rFonts w:ascii="Arial" w:cs="Arial" w:eastAsia="Arial" w:hAnsi="Arial"/>
                <w:sz w:val="18"/>
                <w:szCs w:val="18"/>
                <w:color w:val="auto"/>
              </w:rPr>
              <w:t>IP gross revenues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18,483,873</w:t>
            </w:r>
          </w:p>
        </w:tc>
        <w:tc>
          <w:tcPr>
            <w:tcW w:w="260" w:type="dxa"/>
            <w:vAlign w:val="bottom"/>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marketing expenses</w:t>
      </w:r>
    </w:p>
    <w:p>
      <w:pPr>
        <w:spacing w:after="0" w:line="90" w:lineRule="exact"/>
        <w:rPr>
          <w:sz w:val="20"/>
          <w:szCs w:val="20"/>
          <w:color w:val="auto"/>
        </w:rPr>
      </w:pPr>
    </w:p>
    <w:p>
      <w:pPr>
        <w:ind w:left="466" w:right="260"/>
        <w:spacing w:after="0" w:line="306" w:lineRule="auto"/>
        <w:rPr>
          <w:sz w:val="20"/>
          <w:szCs w:val="20"/>
          <w:color w:val="auto"/>
        </w:rPr>
      </w:pPr>
      <w:r>
        <w:rPr>
          <w:rFonts w:ascii="Arial" w:cs="Arial" w:eastAsia="Arial" w:hAnsi="Arial"/>
          <w:sz w:val="16"/>
          <w:szCs w:val="16"/>
          <w:color w:val="auto"/>
        </w:rPr>
        <w:t>WIML, a subsidiary of Wynn Resorts, Limited, (i) provides administrative, promotional, and marketing services as well as a limited number of marketing executives to attract and introduce customers to WRM, and (ii) employs certain non-Macau residents based in or to be based in Macau (“Foreign Resident Staff”) on the Company’s behalf and seconds the Foreign Resident Staff to the Group.</w:t>
      </w:r>
    </w:p>
    <w:p>
      <w:pPr>
        <w:spacing w:after="0" w:line="26" w:lineRule="exact"/>
        <w:rPr>
          <w:sz w:val="20"/>
          <w:szCs w:val="20"/>
          <w:color w:val="auto"/>
        </w:rPr>
      </w:pPr>
    </w:p>
    <w:p>
      <w:pPr>
        <w:ind w:left="466" w:right="40"/>
        <w:spacing w:after="0" w:line="259" w:lineRule="auto"/>
        <w:rPr>
          <w:sz w:val="20"/>
          <w:szCs w:val="20"/>
          <w:color w:val="auto"/>
        </w:rPr>
      </w:pPr>
      <w:r>
        <w:rPr>
          <w:rFonts w:ascii="Arial" w:cs="Arial" w:eastAsia="Arial" w:hAnsi="Arial"/>
          <w:sz w:val="18"/>
          <w:szCs w:val="18"/>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127"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6"/>
          </w:cols>
          <w:pgMar w:left="694" w:top="280" w:right="279" w:bottom="1440" w:gutter="0" w:footer="0" w:header="0"/>
        </w:sectPr>
      </w:pPr>
    </w:p>
    <w:bookmarkStart w:id="17" w:name="page18"/>
    <w:bookmarkEnd w:id="17"/>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Staff Secondment Payroll Charges</w:t>
      </w:r>
    </w:p>
    <w:p>
      <w:pPr>
        <w:spacing w:after="0" w:line="90" w:lineRule="exact"/>
        <w:rPr>
          <w:sz w:val="20"/>
          <w:szCs w:val="20"/>
          <w:color w:val="auto"/>
        </w:rPr>
      </w:pPr>
    </w:p>
    <w:p>
      <w:pPr>
        <w:ind w:left="466" w:right="80"/>
        <w:spacing w:after="0" w:line="294" w:lineRule="auto"/>
        <w:rPr>
          <w:sz w:val="20"/>
          <w:szCs w:val="20"/>
          <w:color w:val="auto"/>
        </w:rPr>
      </w:pPr>
      <w:r>
        <w:rPr>
          <w:rFonts w:ascii="Arial" w:cs="Arial" w:eastAsia="Arial" w:hAnsi="Arial"/>
          <w:sz w:val="16"/>
          <w:szCs w:val="16"/>
          <w:color w:val="auto"/>
        </w:rPr>
        <w:t>Worldwide Wynn, a subsidiary of Wynn Resorts, Limited, is responsible for supplying management personnel to WRM for a pre-determined length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periods. Worldwide Wynn was compensated for these services with a service fees equal to its aggregate costs plus 5% to Worldwide Wynn of the seconded employees during the periods of secondment to WRM, including:</w:t>
      </w:r>
    </w:p>
    <w:p>
      <w:pPr>
        <w:spacing w:after="0" w:line="35" w:lineRule="exact"/>
        <w:rPr>
          <w:sz w:val="20"/>
          <w:szCs w:val="20"/>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wages, regular and overtime;</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bonuses and commissions;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vacation pay and sick leave;</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employee benefit plans, including health insurance, life insurance, and other insurance or 401k plans;</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employer-paid Federal, state or local taxes or workers’ compensation costs and unemployment taxes; and</w:t>
      </w:r>
    </w:p>
    <w:p>
      <w:pPr>
        <w:spacing w:after="0" w:line="90" w:lineRule="exact"/>
        <w:rPr>
          <w:rFonts w:ascii="Arial" w:cs="Arial" w:eastAsia="Arial" w:hAnsi="Arial"/>
          <w:sz w:val="18"/>
          <w:szCs w:val="18"/>
          <w:color w:val="auto"/>
        </w:rPr>
      </w:pPr>
    </w:p>
    <w:p>
      <w:pPr>
        <w:ind w:left="1006" w:hanging="547"/>
        <w:spacing w:after="0"/>
        <w:tabs>
          <w:tab w:leader="none" w:pos="10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employer-reimbursed business expenses and employee international allowances.</w:t>
      </w:r>
    </w:p>
    <w:p>
      <w:pPr>
        <w:spacing w:after="0" w:line="90" w:lineRule="exact"/>
        <w:rPr>
          <w:rFonts w:ascii="Arial" w:cs="Arial" w:eastAsia="Arial" w:hAnsi="Arial"/>
          <w:sz w:val="18"/>
          <w:szCs w:val="18"/>
          <w:color w:val="auto"/>
        </w:rPr>
      </w:pPr>
    </w:p>
    <w:p>
      <w:pPr>
        <w:ind w:left="446" w:hanging="446"/>
        <w:spacing w:after="0"/>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Hotel sales &amp; marketing</w:t>
      </w:r>
    </w:p>
    <w:p>
      <w:pPr>
        <w:spacing w:after="0" w:line="90" w:lineRule="exact"/>
        <w:rPr>
          <w:sz w:val="20"/>
          <w:szCs w:val="20"/>
          <w:color w:val="auto"/>
        </w:rPr>
      </w:pPr>
    </w:p>
    <w:p>
      <w:pPr>
        <w:ind w:left="466"/>
        <w:spacing w:after="0" w:line="290" w:lineRule="auto"/>
        <w:rPr>
          <w:sz w:val="20"/>
          <w:szCs w:val="20"/>
          <w:color w:val="auto"/>
        </w:rPr>
      </w:pPr>
      <w:r>
        <w:rPr>
          <w:rFonts w:ascii="Arial" w:cs="Arial" w:eastAsia="Arial" w:hAnsi="Arial"/>
          <w:sz w:val="16"/>
          <w:szCs w:val="16"/>
          <w:color w:val="auto"/>
        </w:rPr>
        <w:t>Wynn Resorts Hotel Sales &amp; Marketing, LLC, a subsidiary of Wynn Resorts, Limited, provides services to attract and introduce customers to Wynn Macau, with an emphasis on the resort’s luxury hotel accommodation. Wynn Resorts Hotel Sales &amp; Marketing LLC’s primary business is to promote the luxury hotel services offered at the Wynn Macau resort to customers in China. It operates customer service outlets in China to help arrange hotel stays for individual and group travel. During 2009 and 2008, offices were located in Shanghai, Beijing, and Guangzhou. The branch offices operate under the direction and supervision provided by Wynn Resorts Hotel Sales &amp; Marketing, LLC. For the hotel marketing and promotion services it performed on behalf of WRM in 2009 and 2008, Wynn Resorts Hotel Sales &amp; Marketing, LLC charged service fees equal to the total costs it incurred in rendering the services.</w:t>
      </w:r>
    </w:p>
    <w:p>
      <w:pPr>
        <w:spacing w:after="0" w:line="37" w:lineRule="exact"/>
        <w:rPr>
          <w:sz w:val="20"/>
          <w:szCs w:val="20"/>
          <w:color w:val="auto"/>
        </w:rPr>
      </w:pPr>
    </w:p>
    <w:p>
      <w:pPr>
        <w:ind w:left="446" w:right="40" w:hanging="446"/>
        <w:spacing w:after="0" w:line="256" w:lineRule="auto"/>
        <w:tabs>
          <w:tab w:leader="none" w:pos="4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July 2008, the Group loaned Wynn Resorts, Limited US$150 million (approximately HK$1.2 billion) under a credit facility (the “WRL Loan Facility”), which allowed Wynn Resorts, Limited to borrow up to US$545 million (approximately HK$4.3 billion) from the Group at an annual interest rate of 4.75%. In December 2008, Wynn Resorts, Limited repaid the loan and outstanding interest under the terms of the WRL Loan Facility and the facility was terminated.</w:t>
      </w:r>
    </w:p>
    <w:p>
      <w:pPr>
        <w:spacing w:after="0" w:line="62" w:lineRule="exact"/>
        <w:rPr>
          <w:sz w:val="20"/>
          <w:szCs w:val="20"/>
          <w:color w:val="auto"/>
        </w:rPr>
      </w:pPr>
    </w:p>
    <w:p>
      <w:pPr>
        <w:ind w:left="6" w:right="280"/>
        <w:spacing w:after="0" w:line="259" w:lineRule="auto"/>
        <w:rPr>
          <w:sz w:val="20"/>
          <w:szCs w:val="20"/>
          <w:color w:val="auto"/>
        </w:rPr>
      </w:pPr>
      <w:r>
        <w:rPr>
          <w:rFonts w:ascii="Arial" w:cs="Arial" w:eastAsia="Arial" w:hAnsi="Arial"/>
          <w:sz w:val="18"/>
          <w:szCs w:val="18"/>
          <w:color w:val="auto"/>
        </w:rPr>
        <w:t>The transactions were carried out on terms mutually agreed between the Group and the related companies. There were no significant charges from the Group to the related companies during the years ended 31 December 2009 and 2008. In the opinion of the Directors, the related party transactions were conducted in the ordinary and usual course of the Group’s business.</w:t>
      </w:r>
    </w:p>
    <w:p>
      <w:pPr>
        <w:spacing w:after="0" w:line="59" w:lineRule="exact"/>
        <w:rPr>
          <w:sz w:val="20"/>
          <w:szCs w:val="20"/>
          <w:color w:val="auto"/>
        </w:rPr>
      </w:pPr>
    </w:p>
    <w:p>
      <w:pPr>
        <w:ind w:left="6" w:right="460"/>
        <w:spacing w:after="0" w:line="254" w:lineRule="auto"/>
        <w:rPr>
          <w:sz w:val="20"/>
          <w:szCs w:val="20"/>
          <w:color w:val="auto"/>
        </w:rPr>
      </w:pPr>
      <w:r>
        <w:rPr>
          <w:rFonts w:ascii="Arial" w:cs="Arial" w:eastAsia="Arial" w:hAnsi="Arial"/>
          <w:sz w:val="18"/>
          <w:szCs w:val="18"/>
          <w:color w:val="auto"/>
        </w:rPr>
        <w:t>In addition to the above, the Group leased through June 2009 living quarters for one of the Group’s executives from a shareholder of the Group. This shareholder does not have profit participation shares in the Group. For the year ended 31</w:t>
      </w:r>
    </w:p>
    <w:p>
      <w:pPr>
        <w:ind w:left="6" w:right="540"/>
        <w:spacing w:after="0" w:line="261" w:lineRule="auto"/>
        <w:rPr>
          <w:sz w:val="20"/>
          <w:szCs w:val="20"/>
          <w:color w:val="auto"/>
        </w:rPr>
      </w:pPr>
      <w:r>
        <w:rPr>
          <w:rFonts w:ascii="Arial" w:cs="Arial" w:eastAsia="Arial" w:hAnsi="Arial"/>
          <w:sz w:val="18"/>
          <w:szCs w:val="18"/>
          <w:color w:val="auto"/>
        </w:rPr>
        <w:t>December 2009, the Group incurred approximately HK$147,000 (2008: approximately HK$281,000) of rental expenses relating to executive living quarters.</w:t>
      </w:r>
    </w:p>
    <w:p>
      <w:pPr>
        <w:spacing w:after="0" w:line="57"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such outstanding balances between the Group and the related companies are deemed to be trade in nature.</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6"/>
          </w:cols>
          <w:pgMar w:left="694" w:top="280"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senior/key management personnel of the Group</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3"/>
          </w:tcPr>
          <w:p>
            <w:pPr>
              <w:jc w:val="right"/>
              <w:ind w:right="802"/>
              <w:spacing w:after="0"/>
              <w:rPr>
                <w:sz w:val="20"/>
                <w:szCs w:val="20"/>
                <w:color w:val="auto"/>
              </w:rPr>
            </w:pPr>
            <w:r>
              <w:rPr>
                <w:rFonts w:ascii="Arial" w:cs="Arial" w:eastAsia="Arial" w:hAnsi="Arial"/>
                <w:sz w:val="14"/>
                <w:szCs w:val="14"/>
                <w:b w:val="1"/>
                <w:bCs w:val="1"/>
                <w:color w:val="auto"/>
                <w:w w:val="85"/>
              </w:rPr>
              <w:t>Group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4"/>
                <w:szCs w:val="14"/>
                <w:b w:val="1"/>
                <w:bCs w:val="1"/>
                <w:color w:val="auto"/>
                <w:w w:val="91"/>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860" w:type="dxa"/>
            <w:vAlign w:val="bottom"/>
          </w:tcPr>
          <w:p>
            <w:pPr>
              <w:jc w:val="right"/>
              <w:ind w:right="222"/>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HK$</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2008 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880" w:type="dxa"/>
            <w:vAlign w:val="bottom"/>
            <w:gridSpan w:val="2"/>
          </w:tcPr>
          <w:p>
            <w:pPr>
              <w:ind w:left="640"/>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82"/>
              <w:spacing w:after="0"/>
              <w:rPr>
                <w:sz w:val="20"/>
                <w:szCs w:val="20"/>
                <w:color w:val="auto"/>
              </w:rPr>
            </w:pPr>
            <w:r>
              <w:rPr>
                <w:rFonts w:ascii="Arial" w:cs="Arial" w:eastAsia="Arial" w:hAnsi="Arial"/>
                <w:sz w:val="14"/>
                <w:szCs w:val="14"/>
                <w:b w:val="1"/>
                <w:bCs w:val="1"/>
                <w:color w:val="auto"/>
                <w:w w:val="74"/>
              </w:rPr>
              <w:t>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bonuses, allowances and benefits in kind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67,719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Share-based payments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39,836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329"/>
        </w:trPr>
        <w:tc>
          <w:tcPr>
            <w:tcW w:w="6560" w:type="dxa"/>
            <w:vAlign w:val="bottom"/>
            <w:gridSpan w:val="2"/>
          </w:tcPr>
          <w:p>
            <w:pPr>
              <w:spacing w:after="0"/>
              <w:rPr>
                <w:sz w:val="20"/>
                <w:szCs w:val="20"/>
                <w:color w:val="auto"/>
              </w:rPr>
            </w:pPr>
            <w:r>
              <w:rPr>
                <w:rFonts w:ascii="Arial" w:cs="Arial" w:eastAsia="Arial" w:hAnsi="Arial"/>
                <w:sz w:val="18"/>
                <w:szCs w:val="18"/>
                <w:color w:val="auto"/>
              </w:rPr>
              <w:t>Total compensation paid to senior/key management personnel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107,937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2052"/>
              <w:spacing w:after="0"/>
              <w:rPr>
                <w:sz w:val="20"/>
                <w:szCs w:val="20"/>
                <w:color w:val="auto"/>
              </w:rPr>
            </w:pPr>
            <w:r>
              <w:rPr>
                <w:rFonts w:ascii="Arial" w:cs="Arial" w:eastAsia="Arial" w:hAnsi="Arial"/>
                <w:sz w:val="18"/>
                <w:szCs w:val="18"/>
                <w:color w:val="auto"/>
              </w:rPr>
              <w:t>16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59"/>
          </w:cols>
          <w:pgMar w:left="700" w:top="274"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Wynn Macau opened to the public on 6 September 2006 at the center of casino activities on the urban Macau peninsula. In December 2007, Wynn Macau completed an expansion, adding more gaming space and additional food and beverage and retail amenities. As at 31 December 2009, Wynn Macau occupied approximately 16 acres of land in Macau featuring a casino of approximately 222,000 square feet offering 24-hour gaming with a full range of games and 600 luxury rooms and suites. We have nearly completed construction of Encore at Wynn Macau, a further expansion of Wynn Macau that will add a fully integrated resort hotel with, among other offerings, approximately 410 luxury suites and four villas, additional gaming space, restaurants and retail space. We currently expect Encore at Wynn Macau to open in April 2010.</w:t>
      </w:r>
    </w:p>
    <w:p>
      <w:pPr>
        <w:spacing w:after="0" w:line="12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On 9 October 2009, the Company completed an initial public offering and the Company’s Shares were listed on the Main Board of the Hong Kong Stock Exchange.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year ended 31 December 2009, our total operating revenues were HK$14,076.9 million, and our net profits were HK$2,068.6 million, compared to total operating revenues of HK$14,710.6 million, and net profits of HK$2,039.6 million for the year ended 31 December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connected by bridges. We believe that Macau is located in one of the world’s largest concentrations of potential gaming customers. According to Macau Statistical Information, casinos in Macau generated approximately HK$115.9 billion in gaming revenue in 2009, an approximately 10% increase over the approximately HK$105.6 billion generated in 2008, making Macau the largest gaming market in the world.</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Macau’s gaming market is primarily dependent on tourists. The Macau market has experienced tremendous growth in capacity in the last few years. As of 31 December 2009, there were approximately 19,200 hotel rooms and approximately 4,770 table games in Macau, compared to approximately 12,978 hotel rooms and approximately 2,760 table games as of 31 December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gaming at Wynn Macau</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about the number of casino games available at Wynn Macau as at the dates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As at</w:t>
            </w:r>
          </w:p>
        </w:tc>
        <w:tc>
          <w:tcPr>
            <w:tcW w:w="360" w:type="dxa"/>
            <w:vAlign w:val="bottom"/>
          </w:tcPr>
          <w:p>
            <w:pPr>
              <w:spacing w:after="0"/>
              <w:rPr>
                <w:sz w:val="14"/>
                <w:szCs w:val="14"/>
                <w:color w:val="auto"/>
              </w:rPr>
            </w:pPr>
          </w:p>
        </w:tc>
        <w:tc>
          <w:tcPr>
            <w:tcW w:w="138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w w:val="97"/>
              </w:rPr>
              <w:t>As at 31 December</w:t>
            </w:r>
          </w:p>
        </w:tc>
        <w:tc>
          <w:tcPr>
            <w:tcW w:w="0" w:type="dxa"/>
            <w:vAlign w:val="bottom"/>
          </w:tcPr>
          <w:p>
            <w:pPr>
              <w:spacing w:after="0"/>
              <w:rPr>
                <w:sz w:val="1"/>
                <w:szCs w:val="1"/>
                <w:color w:val="auto"/>
              </w:rPr>
            </w:pPr>
          </w:p>
        </w:tc>
      </w:tr>
      <w:tr>
        <w:trPr>
          <w:trHeight w:val="153"/>
        </w:trPr>
        <w:tc>
          <w:tcPr>
            <w:tcW w:w="71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28 February</w:t>
            </w:r>
          </w:p>
        </w:tc>
        <w:tc>
          <w:tcPr>
            <w:tcW w:w="360" w:type="dxa"/>
            <w:vAlign w:val="bottom"/>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2"/>
        </w:trPr>
        <w:tc>
          <w:tcPr>
            <w:tcW w:w="7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VIP table games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Mass market table games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198</w:t>
            </w: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Slot machines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1,195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8"/>
        </w:trPr>
        <w:tc>
          <w:tcPr>
            <w:tcW w:w="7120" w:type="dxa"/>
            <w:vAlign w:val="bottom"/>
          </w:tcPr>
          <w:p>
            <w:pPr>
              <w:spacing w:after="0"/>
              <w:rPr>
                <w:sz w:val="20"/>
                <w:szCs w:val="20"/>
                <w:color w:val="auto"/>
              </w:rPr>
            </w:pPr>
            <w:r>
              <w:rPr>
                <w:rFonts w:ascii="Arial" w:cs="Arial" w:eastAsia="Arial" w:hAnsi="Arial"/>
                <w:sz w:val="18"/>
                <w:szCs w:val="18"/>
                <w:color w:val="auto"/>
              </w:rPr>
              <w:t>Poker tables</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w:t>
            </w: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Wynn Macau also offers 600 luxury rooms and suites, six casual and fine dining restaurants, a retail promenade of approximately 48,000 square feet featuring high-end, brand-name retail stores and boutiques, such as Bulgari, Chanel, Christian Dior, Dunhill, Ermenegildo Zegna, Fendi, Ferrari, Giorgio Armani, Gucci, Hermes, Hugo Boss, Louis Vuitton, Miu Miu, Piaget, Prada, Rolex, Tiffany, Van Cleef &amp; Arpels, Versace, Vertu and others, a performance lake, a rotunda show, recreation and leisure facilities and lounges and meeting facilities.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Projects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nearly completed the construction of Encore at Wynn Macau and expect it to open in April 2010. While the new resort will be a destination in itself, it will also be complemented by, and fully integrated with, the existing operations and facilities at Wynn Macau. We believe we will further solidify Wynn Macau’s position as a premier destination for VIP clients in Macau as well as enhance our offerings to mass market clients with the addition of the following at Encore at Wynn Macau:</w:t>
      </w:r>
    </w:p>
    <w:p>
      <w:pPr>
        <w:spacing w:after="0" w:line="6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24 mass market table games and additional slot machines;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410 luxury suites of approximately 1,000 square feet each;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Four villas of approximately 7,000 square feet each connected to a private gaming salon;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sky casino of approximately 12,000 square feet;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Chanel, Piaget and Cartier, totaling approximately 3,200 square feet;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new restaurants and one lounge totaling approximately 7,000 square feet.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80" w:right="31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expect Encore at Wynn Macau to open in April 2010. The total budget is approximately HK$4,655.1 million, including amounts under the guaranteed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maximum price construction contract of HK$3,237.1 million representing the major hard construction costs. As at 31 December 2009,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HK$3,527.7 million of costs had been incurred. Completion of the project has been funded through a combination of existing cash balances and cash flow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With the expansion of Wynn Macau and the opening of Encore at Wynn Macau, Wynn Macau’s aggregate number of VIP table games is expected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by 18.9% from approximately 196 to approximately 233 tables, allowing us to serve additional gaming promoter-driven and in-house VIP gaming.</w:t>
      </w:r>
    </w:p>
    <w:p>
      <w:pPr>
        <w:spacing w:after="0" w:line="18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Once Encore at Wynn Macau is fully completed and in service, we will have a total of 233 VIP table games, 222 mass market table games, approximately 1,200 slot machines and 11 poker tables at Wynn Macau and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and Other Opportunities</w:t>
      </w:r>
    </w:p>
    <w:p>
      <w:pPr>
        <w:spacing w:after="0" w:line="9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identified a site of approximately 52 acres in Cotai and Palo Real Estate Company Limited (which is our indirect wholly owned subsidiary) has submitted an application to the Macau government to obtain the right to lease this parcel. No payments or deposits were made to the Macau government when submitting the application. We are awaiting final approval of this application which, if approved, would allow us to construct an integrated casino and five-star resort of up to approximately 6.9 million square feet (including space for gaming, accommodation, food and beverage, retail, leisure, landscaping areas and convention/meeting areas).</w:t>
      </w:r>
    </w:p>
    <w:p>
      <w:pPr>
        <w:spacing w:after="0" w:line="143"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 proposed draft land concession agreement prepared by the Macau government in connection with the application contains several undertakings and conditions that are standard for land concessions in Macau, including the obligation to develop the land within a certain period of time.</w:t>
      </w:r>
    </w:p>
    <w:p>
      <w:pPr>
        <w:spacing w:after="0" w:line="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this case, this involves the development and construction of a hotel complex of a certain size within five years, but such proposals have not yet been finalized with the Macau government and are not binding. Thus, the specific parameters of any potential Cotai project, including whether such project is to be built at all, are subject to change.</w:t>
      </w:r>
    </w:p>
    <w:p>
      <w:pPr>
        <w:spacing w:after="0" w:line="14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1 August 2008, Palo Real Estate Company Limited entered into an agreement with a Macau incorporated company that is not a connected person of the Group to pay the latter for its relinquishment of certain rights with respect to its business interests in the potential Cotai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Tourism</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levels of tourism and overall gaming activity in Macau are key drivers of our business. Both the Macau gaming market and visitation to Macau have grown significantly in the last few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benefited from the rise in visitation to Macau over the past several years, although recently such visitation numbers have been impacted by various factors such as the global economic slowdown.</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Gaming customers traveling to Macau typically come from nearby destinations in Asia including Hong Kong, mainland China, Taiwan, South Korea and Japan. According to the Macau Statistics and Census Service Monthly Bulletin of Statistics, approximately 87% of visitors to Macau in 2009 were from Hong Kong, mainland China and Taiwan. We believe that visitation and gross gaming revenues growth for the Macau market have been, and will continue to be, driven by a combination of factors, including the level of regional wealth in Asia which, should it continue to increase, is expected to lead to a large and growing middle class with rising disposable income; Macau’s proximity to major Asian population centers; infrastructure improvements that are expected to facilitate more convenient travel to and within Macau; and the increasing supply of better quality casino, hotel and entertainment offerings in Macau.</w:t>
      </w:r>
    </w:p>
    <w:p>
      <w:pPr>
        <w:spacing w:after="0" w:line="12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Tourism levels in Macau are affected by a number of factors, all of which are beyond our control. Key factors affecting tourism levels in Macau may include, among others:</w:t>
      </w:r>
    </w:p>
    <w:p>
      <w:pPr>
        <w:spacing w:after="0" w:line="5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Prevailing economic conditions in China and Asia;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Various countries’ policies on the issuance of travel visas that may be in effect from time to time and could affect travel to Macau;</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other destinations which offer gaming and leisure activities;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changes to government restrictions on currency conversion or the ability to export currency by China or other countries;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outbreaks of infectious disease.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Economic and Operating Environment</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Economic conditions have a significant impact on our business. We benefited materially from the generally strong economic environment in the first half of 2008. Beginning in the second half of 2008 and continuing into early 2009, a number of factors, including a slowdown in the global economy, contracting credit markets, reduced consumer spending, various countries’ policies that affected travel to Macau and an outbreak of the H1N1 influenza, negatively impacted the gaming industry in Macau and our business. We have carefully managed our labor force and aggressively negotiated with many of our vendors to secure lower rates on existing contracts, and are continually reviewing the cost and efficiencies at our property to identify further opportunities to reduce costs during these uncertain economic times. Notwithstanding the issues set out above, our operating environment remained relatively stable, and showed improvement through the second half of 2009.</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Competition</w:t>
      </w:r>
    </w:p>
    <w:p>
      <w:pPr>
        <w:spacing w:after="0" w:line="9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Since the liberalization of Macau’s gaming industry in 2002, there has been a significant increase in the number of gaming operators and casino properties in Macau. Currently, there are six gaming operators in Macau, including WRM. The three concessionaires are WRM, Galaxy and SJM. The three subconcessionaires are Venetian Macau, Melco Crown, and MGM Grand Paradise. As at 31 December 2009, there were approximately 33 casinos in Macau, including 20 operated by SJM. Casino operators are not subject to any limit on the number of casinos that may be operated under their concession or subconcession agreements. Each of the current six operators has commenced casino operating activities and several have expansion plans announced or underway. Several new hotels and casinos, including Melco Crown’s City of Dreams and SJM’s Oceanus and L’Arc, opened in 2009.</w:t>
      </w:r>
    </w:p>
    <w:p>
      <w:pPr>
        <w:spacing w:after="0" w:line="12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Wynn Macau also faces competition from casinos located in other areas of Asia, such as Genting Highlands Resort, a major gaming and resort destination located outside of Kuala Lumpur, Malaysia, and casinos in the Philippines. Two large-scale casinos that are being developed in Singapore, one of which opened in February 2010, and the other expected to open its initial phase in April 2010, will add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 significant amount of our casino play is brought to us by gaming promoters. Gaming promoters have historically played a critical role in the Macau gaming market and are important to Wynn Macau’s casino business.</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Gaming promoters introduce high-spending VIP players to Wynn Macau and often assist those clients with their travel and entertainment arrangements. In addition, gaming promoters often grant credit to their players. In exchange for their services, Wynn Macau pays the gaming promoters a fixed percentage of the gross gaming win generated by each gaming promoter. Approximately 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for their compensation. The total amounts of commissions netted against casino revenues were HK$3,805.9 million and HK$3,779.2 million for the years ended 31 December 2009 and 2008, respectively. Additionally, gaming promoters each receive a monthly allowance based on a percentage of the turnover their clients generate. Such allowance is available for room, food and beverage and other expenses for discretionary use with clients. We typically advance commissions to gaming promoters at the beginning of each month to facilitate their working capital requirements. These advances are provided to a gaming promoter and are offset by the commissions earned by such gaming promoter during the applicable month. The aggregate amount of exposure to our gaming promoters, which is the difference between commissions advanced to each individual gaming promoter, and the commissions payable to each such gaming promoter, was HK$127.7 million and HK$55.4 million for the years ended 31 December 2009 and 2008, respectively. We believe our relationships with our gaming promoters are good. Our commission levels have remained stable throughout our operating history, and we have not increased levels of commissions paid to gaming promoters.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August 2009, the Macau government published, in its official gazette, certain guidelines with respect to caps on the commission rates payable to gaming promoters that became effective on 1 December 2009. The impact of such caps on our business is not known. Further changes or tightening of caps may occur and if the Macau government were to implement caps on commission rates payable to gaming promoters that causes WRM to pay them effectively less than WRM currently pays, gaming promoters may have less incentive to bring travelers to casinos in Macau, including Wynn Macau.</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High-End Credit Play</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selectively extend credit to players contingent upon our marketing team’s knowledge of the players, their financial background and payment history. We follow a series of credit procedures and require from each credit recipient various signed documents that are intended to ensure among other things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“front money” deposit from credit players, collateralizing a percentage of the credit we grant to a player.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Mix of Table Games and Slot Machines</w:t>
      </w:r>
    </w:p>
    <w:p>
      <w:pPr>
        <w:spacing w:after="0" w:line="9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mix of VIP table games, mass table games and slot machines in operation at Wynn Macau changes from time to time as a result of marketing and operating strategies in response to changing market demand and industry competition. The shift in the mix of Wynn Macau’s games will affect casino profitability.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Adjusted EBITDA is earnings before finance costs, taxes, depreciation, amortization, pre-opening costs, property charges and other, share-based payments, and other non-operating income/(expense).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Securities and Exchange Commission in the United States, primarily due to the inclusion of royalty fees, adjustments for IFRS differences with U.S. GAAP, corporate support and other support services in arriving at operating profits.</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280" w:right="37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 quantitative reconciliation of Adjusted EBITDA to its most directly comparable IFRS measurement, operating profits, for the years ended 31 December 2009 and 2008.</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1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9"/>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8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2009</w:t>
            </w:r>
          </w:p>
        </w:tc>
        <w:tc>
          <w:tcPr>
            <w:tcW w:w="1160" w:type="dxa"/>
            <w:vAlign w:val="bottom"/>
            <w:tcBorders>
              <w:top w:val="single" w:sz="8" w:color="auto"/>
            </w:tcBorders>
            <w:gridSpan w:val="2"/>
          </w:tcPr>
          <w:p>
            <w:pPr>
              <w:jc w:val="right"/>
              <w:ind w:right="242"/>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4"/>
                <w:szCs w:val="14"/>
                <w:b w:val="1"/>
                <w:bCs w:val="1"/>
                <w:color w:val="auto"/>
              </w:rPr>
              <w:t>(in</w:t>
            </w:r>
          </w:p>
        </w:tc>
        <w:tc>
          <w:tcPr>
            <w:tcW w:w="1160" w:type="dxa"/>
            <w:vAlign w:val="bottom"/>
            <w:gridSpan w:val="2"/>
          </w:tcPr>
          <w:p>
            <w:pPr>
              <w:jc w:val="right"/>
              <w:ind w:right="542"/>
              <w:spacing w:after="0"/>
              <w:rPr>
                <w:sz w:val="20"/>
                <w:szCs w:val="20"/>
                <w:color w:val="auto"/>
              </w:rPr>
            </w:pPr>
            <w:r>
              <w:rPr>
                <w:rFonts w:ascii="Arial" w:cs="Arial" w:eastAsia="Arial" w:hAnsi="Arial"/>
                <w:sz w:val="12"/>
                <w:szCs w:val="12"/>
                <w:b w:val="1"/>
                <w:bCs w:val="1"/>
                <w:color w:val="auto"/>
                <w:w w:val="80"/>
              </w:rPr>
              <w:t>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2,414,463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2,331,356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Add/(less)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718,169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696,663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1"/>
                <w:szCs w:val="11"/>
                <w:color w:val="auto"/>
              </w:rPr>
              <w:t>(1)</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11,417</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Share-based payments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45,279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Wynn Macau, Limited corporate expenses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33,829</w:t>
            </w:r>
          </w:p>
        </w:tc>
        <w:tc>
          <w:tcPr>
            <w:tcW w:w="2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52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3,242,368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3,138,215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w:t>
      </w:r>
    </w:p>
    <w:p>
      <w:pPr>
        <w:spacing w:after="0" w:line="90" w:lineRule="exact"/>
        <w:rPr>
          <w:sz w:val="20"/>
          <w:szCs w:val="20"/>
          <w:color w:val="auto"/>
        </w:rPr>
      </w:pPr>
    </w:p>
    <w:p>
      <w:pPr>
        <w:ind w:left="460" w:right="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Pre-opening costs for the years 2009 and 2008 primarily consisted of payroll attributable to staff engaged in the start-up operations of Encore at Wynn Macau, which is currently under construction.</w:t>
      </w:r>
    </w:p>
    <w:p>
      <w:pPr>
        <w:spacing w:after="0" w:line="1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240" w:top="280" w:right="5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Historical 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Breakdown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income statement line items and certain other data.</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Pr>
          <w:p>
            <w:pPr>
              <w:jc w:val="right"/>
              <w:ind w:right="272"/>
              <w:spacing w:after="0" w:line="129" w:lineRule="exact"/>
              <w:rPr>
                <w:sz w:val="20"/>
                <w:szCs w:val="20"/>
                <w:color w:val="auto"/>
              </w:rPr>
            </w:pPr>
            <w:r>
              <w:rPr>
                <w:rFonts w:ascii="Arial" w:cs="Arial" w:eastAsia="Arial" w:hAnsi="Arial"/>
                <w:sz w:val="14"/>
                <w:szCs w:val="14"/>
                <w:b w:val="1"/>
                <w:bCs w:val="1"/>
                <w:color w:val="auto"/>
              </w:rPr>
              <w:t>2009</w:t>
            </w:r>
          </w:p>
        </w:tc>
        <w:tc>
          <w:tcPr>
            <w:tcW w:w="1240" w:type="dxa"/>
            <w:vAlign w:val="bottom"/>
            <w:gridSpan w:val="2"/>
          </w:tcPr>
          <w:p>
            <w:pPr>
              <w:jc w:val="right"/>
              <w:ind w:right="292"/>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1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(in thousands, except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averages, daily win figures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tables and slot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machines)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casino revenues</w:t>
            </w:r>
            <w:r>
              <w:rPr>
                <w:rFonts w:ascii="Arial" w:cs="Arial" w:eastAsia="Arial" w:hAnsi="Arial"/>
                <w:sz w:val="11"/>
                <w:szCs w:val="11"/>
                <w:color w:val="auto"/>
              </w:rPr>
              <w:t>(1)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13,185,580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13,883,379</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Rooms</w:t>
            </w:r>
            <w:r>
              <w:rPr>
                <w:rFonts w:ascii="Arial" w:cs="Arial" w:eastAsia="Arial" w:hAnsi="Arial"/>
                <w:sz w:val="11"/>
                <w:szCs w:val="11"/>
                <w:color w:val="auto"/>
              </w:rPr>
              <w:t>(2)</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102,791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138,142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r>
              <w:rPr>
                <w:rFonts w:ascii="Arial" w:cs="Arial" w:eastAsia="Arial" w:hAnsi="Arial"/>
                <w:sz w:val="11"/>
                <w:szCs w:val="11"/>
                <w:color w:val="auto"/>
              </w:rPr>
              <w:t>(2)</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133,443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Retail and other</w:t>
            </w:r>
            <w:r>
              <w:rPr>
                <w:rFonts w:ascii="Arial" w:cs="Arial" w:eastAsia="Arial" w:hAnsi="Arial"/>
                <w:sz w:val="11"/>
                <w:szCs w:val="11"/>
                <w:color w:val="auto"/>
              </w:rPr>
              <w:t>(2)</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655,086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527,079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14,076,900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14,710,576</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VIP table games turnover</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421,045,483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431,598,422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r>
              <w:rPr>
                <w:rFonts w:ascii="Arial" w:cs="Arial" w:eastAsia="Arial" w:hAnsi="Arial"/>
                <w:sz w:val="11"/>
                <w:szCs w:val="11"/>
                <w:color w:val="auto"/>
              </w:rPr>
              <w:t>(1)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12,207,185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12,953,380</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Mass market table games drop</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15,481,472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17,726,121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Mass market gross table games win</w:t>
            </w:r>
            <w:r>
              <w:rPr>
                <w:rFonts w:ascii="Arial" w:cs="Arial" w:eastAsia="Arial" w:hAnsi="Arial"/>
                <w:sz w:val="11"/>
                <w:szCs w:val="11"/>
                <w:color w:val="auto"/>
              </w:rPr>
              <w:t>(1)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3,382,787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3,474,671</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Slot machine handle</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26,331,772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23,481,120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r>
              <w:rPr>
                <w:rFonts w:ascii="Arial" w:cs="Arial" w:eastAsia="Arial" w:hAnsi="Arial"/>
                <w:sz w:val="11"/>
                <w:szCs w:val="11"/>
                <w:color w:val="auto"/>
              </w:rPr>
              <w:t>(1)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1,304,444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1,225,229</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Average number of gaming tables</w:t>
            </w:r>
            <w:r>
              <w:rPr>
                <w:rFonts w:ascii="Arial" w:cs="Arial" w:eastAsia="Arial" w:hAnsi="Arial"/>
                <w:sz w:val="11"/>
                <w:szCs w:val="11"/>
                <w:color w:val="auto"/>
              </w:rPr>
              <w:t>(3)</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Daily gross win per gaming table</w:t>
            </w:r>
            <w:r>
              <w:rPr>
                <w:rFonts w:ascii="Arial" w:cs="Arial" w:eastAsia="Arial" w:hAnsi="Arial"/>
                <w:sz w:val="11"/>
                <w:szCs w:val="11"/>
                <w:color w:val="auto"/>
              </w:rPr>
              <w:t>(4)</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115,077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118,921</w:t>
            </w:r>
          </w:p>
        </w:tc>
        <w:tc>
          <w:tcPr>
            <w:tcW w:w="0" w:type="dxa"/>
            <w:vAlign w:val="bottom"/>
          </w:tcPr>
          <w:p>
            <w:pPr>
              <w:spacing w:after="0"/>
              <w:rPr>
                <w:sz w:val="1"/>
                <w:szCs w:val="1"/>
                <w:color w:val="auto"/>
              </w:rPr>
            </w:pPr>
          </w:p>
        </w:tc>
      </w:tr>
      <w:tr>
        <w:trPr>
          <w:trHeight w:val="322"/>
        </w:trPr>
        <w:tc>
          <w:tcPr>
            <w:tcW w:w="3440" w:type="dxa"/>
            <w:vAlign w:val="bottom"/>
            <w:gridSpan w:val="2"/>
          </w:tcPr>
          <w:p>
            <w:pPr>
              <w:spacing w:after="0"/>
              <w:rPr>
                <w:sz w:val="20"/>
                <w:szCs w:val="20"/>
                <w:color w:val="auto"/>
              </w:rPr>
            </w:pPr>
            <w:r>
              <w:rPr>
                <w:rFonts w:ascii="Arial" w:cs="Arial" w:eastAsia="Arial" w:hAnsi="Arial"/>
                <w:sz w:val="18"/>
                <w:szCs w:val="18"/>
                <w:color w:val="auto"/>
              </w:rPr>
              <w:t>Average number of slots</w:t>
            </w:r>
            <w:r>
              <w:rPr>
                <w:rFonts w:ascii="Arial" w:cs="Arial" w:eastAsia="Arial" w:hAnsi="Arial"/>
                <w:sz w:val="11"/>
                <w:szCs w:val="11"/>
                <w:color w:val="auto"/>
              </w:rPr>
              <w:t>(3)</w:t>
            </w:r>
          </w:p>
        </w:tc>
        <w:tc>
          <w:tcPr>
            <w:tcW w:w="4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win per slot</w:t>
            </w:r>
            <w:r>
              <w:rPr>
                <w:rFonts w:ascii="Arial" w:cs="Arial" w:eastAsia="Arial" w:hAnsi="Arial"/>
                <w:sz w:val="11"/>
                <w:szCs w:val="11"/>
                <w:color w:val="auto"/>
              </w:rPr>
              <w:t>(4)</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2,991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60" w:type="dxa"/>
            <w:vAlign w:val="bottom"/>
          </w:tcPr>
          <w:p>
            <w:pPr>
              <w:jc w:val="right"/>
              <w:ind w:right="1992"/>
              <w:spacing w:after="0"/>
              <w:rPr>
                <w:sz w:val="20"/>
                <w:szCs w:val="20"/>
                <w:color w:val="auto"/>
              </w:rPr>
            </w:pPr>
            <w:r>
              <w:rPr>
                <w:rFonts w:ascii="Arial" w:cs="Arial" w:eastAsia="Arial" w:hAnsi="Arial"/>
                <w:sz w:val="18"/>
                <w:szCs w:val="18"/>
                <w:color w:val="auto"/>
              </w:rPr>
              <w:t>24</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0" w:lineRule="exact"/>
        <w:rPr>
          <w:sz w:val="20"/>
          <w:szCs w:val="20"/>
          <w:color w:val="auto"/>
        </w:rPr>
      </w:pPr>
    </w:p>
    <w:p>
      <w:pPr>
        <w:ind w:left="460" w:right="2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2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840" w:type="dxa"/>
            <w:vAlign w:val="bottom"/>
            <w:tcBorders>
              <w:top w:val="single" w:sz="8" w:color="auto"/>
            </w:tcBorders>
          </w:tcPr>
          <w:p>
            <w:pPr>
              <w:jc w:val="right"/>
              <w:ind w:right="220"/>
              <w:spacing w:after="0" w:line="129"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HK$</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HK$</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57"/>
              <w:spacing w:after="0"/>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12,207,185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12,953,380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Mass market gross table games win</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3,382,787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3,474,671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1,304,444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Poker revenues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97,025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discounts</w:t>
            </w:r>
          </w:p>
        </w:tc>
        <w:tc>
          <w:tcPr>
            <w:tcW w:w="12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5"/>
              </w:rPr>
              <w:t>(3,805,861)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(3,779,159)</w:t>
            </w:r>
          </w:p>
        </w:tc>
        <w:tc>
          <w:tcPr>
            <w:tcW w:w="0" w:type="dxa"/>
            <w:vAlign w:val="bottom"/>
          </w:tcPr>
          <w:p>
            <w:pPr>
              <w:spacing w:after="0"/>
              <w:rPr>
                <w:sz w:val="1"/>
                <w:szCs w:val="1"/>
                <w:color w:val="auto"/>
              </w:rPr>
            </w:pPr>
          </w:p>
        </w:tc>
      </w:tr>
      <w:tr>
        <w:trPr>
          <w:trHeight w:val="330"/>
        </w:trPr>
        <w:tc>
          <w:tcPr>
            <w:tcW w:w="6480" w:type="dxa"/>
            <w:vAlign w:val="bottom"/>
            <w:gridSpan w:val="2"/>
          </w:tcPr>
          <w:p>
            <w:pPr>
              <w:spacing w:after="0"/>
              <w:rPr>
                <w:sz w:val="20"/>
                <w:szCs w:val="20"/>
                <w:color w:val="auto"/>
              </w:rPr>
            </w:pPr>
            <w:r>
              <w:rPr>
                <w:rFonts w:ascii="Arial" w:cs="Arial" w:eastAsia="Arial" w:hAnsi="Arial"/>
                <w:sz w:val="18"/>
                <w:szCs w:val="18"/>
                <w:color w:val="auto"/>
              </w:rPr>
              <w:t>Total casino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13,185,580</w:t>
            </w:r>
          </w:p>
        </w:tc>
        <w:tc>
          <w:tcPr>
            <w:tcW w:w="380" w:type="dxa"/>
            <w:vAlign w:val="bottom"/>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13,883,379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4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Promotional allowances are excluded from revenues in the accompanying consolidated statement of comprehensive income prepared in accordance with IFRS. Management also evaluates non-casino revenues on an adjusted basis.</w:t>
      </w:r>
    </w:p>
    <w:p>
      <w:pPr>
        <w:spacing w:after="0" w:line="50"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a reconciliation of net non-casino revenues as reported in our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8"/>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860" w:type="dxa"/>
            <w:vAlign w:val="bottom"/>
          </w:tcPr>
          <w:p>
            <w:pPr>
              <w:jc w:val="right"/>
              <w:ind w:right="218"/>
              <w:spacing w:after="0" w:line="129"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236"/>
              <w:spacing w:after="0" w:line="129" w:lineRule="exact"/>
              <w:rPr>
                <w:sz w:val="20"/>
                <w:szCs w:val="20"/>
                <w:color w:val="auto"/>
              </w:rPr>
            </w:pPr>
            <w:r>
              <w:rPr>
                <w:rFonts w:ascii="Arial" w:cs="Arial" w:eastAsia="Arial" w:hAnsi="Arial"/>
                <w:sz w:val="14"/>
                <w:szCs w:val="14"/>
                <w:b w:val="1"/>
                <w:bCs w:val="1"/>
                <w:color w:val="auto"/>
                <w:w w:val="83"/>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2"/>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6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71"/>
              </w:rPr>
              <w:t>thousands)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Room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102,791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334,160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314,652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Adjusted room revenues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436,951</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452,794</w:t>
            </w: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60" w:type="dxa"/>
            <w:vAlign w:val="bottom"/>
            <w:gridSpan w:val="2"/>
          </w:tcPr>
          <w:p>
            <w:pPr>
              <w:spacing w:after="0"/>
              <w:rPr>
                <w:sz w:val="20"/>
                <w:szCs w:val="20"/>
                <w:color w:val="auto"/>
              </w:rPr>
            </w:pPr>
            <w:r>
              <w:rPr>
                <w:rFonts w:ascii="Arial" w:cs="Arial" w:eastAsia="Arial" w:hAnsi="Arial"/>
                <w:sz w:val="18"/>
                <w:szCs w:val="18"/>
                <w:color w:val="auto"/>
              </w:rPr>
              <w:t>Food and beverage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133,443</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161,976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258,679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250,883</w:t>
            </w:r>
          </w:p>
        </w:tc>
        <w:tc>
          <w:tcPr>
            <w:tcW w:w="0" w:type="dxa"/>
            <w:vAlign w:val="bottom"/>
          </w:tcPr>
          <w:p>
            <w:pPr>
              <w:spacing w:after="0"/>
              <w:rPr>
                <w:sz w:val="1"/>
                <w:szCs w:val="1"/>
                <w:color w:val="auto"/>
              </w:rPr>
            </w:pPr>
          </w:p>
        </w:tc>
      </w:tr>
      <w:tr>
        <w:trPr>
          <w:trHeight w:val="330"/>
        </w:trPr>
        <w:tc>
          <w:tcPr>
            <w:tcW w:w="6660" w:type="dxa"/>
            <w:vAlign w:val="bottom"/>
            <w:gridSpan w:val="2"/>
          </w:tcPr>
          <w:p>
            <w:pPr>
              <w:spacing w:after="0"/>
              <w:rPr>
                <w:sz w:val="20"/>
                <w:szCs w:val="20"/>
                <w:color w:val="auto"/>
              </w:rPr>
            </w:pPr>
            <w:r>
              <w:rPr>
                <w:rFonts w:ascii="Arial" w:cs="Arial" w:eastAsia="Arial" w:hAnsi="Arial"/>
                <w:sz w:val="18"/>
                <w:szCs w:val="18"/>
                <w:color w:val="auto"/>
              </w:rPr>
              <w:t>Adjusted food and beverage revenues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392,122</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412,859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655,086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Adjusted retail and other revenues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663,359</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536,951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8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table, we calculate average number of gaming tables and average numbers of slots as the average of the number of gaming tables or slot machines in service on each day in the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8" w:name="page29"/>
    <w:bookmarkEnd w:id="28"/>
    <w:p>
      <w:pPr>
        <w:ind w:left="460" w:right="60" w:hanging="452"/>
        <w:spacing w:after="0" w:line="298"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Daily gross win per gaming table and daily win per slot are presented in this table on the basis of the average number of gaming tables and average number of slots, respectively, over the number of days Wynn Macau was open in the applicable year. In addition, the total table games win figures used herein do not correspond to casino revenues figures in our financial statements, because figures in our financial statements are calculated net of commissions and discounts and the total table games win herein are calculated before commissions and discounts.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31 December 2009 compared to financial results for the year ended 31 December 2008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9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Total operating revenues decreased by 4.3%, from HK$14,710.6 million in 2008 to HK$14,076.9 million in 2009. We believe this decrease was due to a combination of factors, including a slowdown in the global economy in the second half of 2008 continuing into early 2009.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Casino Revenues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Casino revenues decreased by 5.0%, from HK$13,883.4 million (94.4% of total operating revenues) in 2008 to HK$13,185.6 million (93.7% of total operating revenues) in 2009. The components and reasons are as follows: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VIP casino gaming operations. </w:t>
      </w:r>
      <w:r>
        <w:rPr>
          <w:rFonts w:ascii="Arial" w:cs="Arial" w:eastAsia="Arial" w:hAnsi="Arial"/>
          <w:sz w:val="18"/>
          <w:szCs w:val="18"/>
          <w:color w:val="auto"/>
        </w:rPr>
        <w:t>VIP gross table games win decreased by 5.8%, from HK$12,953.4 million in 2008 to HK$12,207.2 million in 2009. VIP table</w:t>
      </w:r>
      <w:r>
        <w:rPr>
          <w:rFonts w:ascii="Arial" w:cs="Arial" w:eastAsia="Arial" w:hAnsi="Arial"/>
          <w:sz w:val="18"/>
          <w:szCs w:val="18"/>
          <w:i w:val="1"/>
          <w:iCs w:val="1"/>
          <w:color w:val="auto"/>
        </w:rPr>
        <w:t xml:space="preserve"> </w:t>
      </w:r>
      <w:r>
        <w:rPr>
          <w:rFonts w:ascii="Arial" w:cs="Arial" w:eastAsia="Arial" w:hAnsi="Arial"/>
          <w:sz w:val="18"/>
          <w:szCs w:val="18"/>
          <w:color w:val="auto"/>
        </w:rPr>
        <w:t>games turnover decreased by 2.4%, from HK$431,598.4 million in 2008 to HK$421,045.5 million in 2009. VIP gross table games win as a percentage of turnover (calculated before discounts and commissions) also decreased from 3.0% in 2008 to 2.9% in 2009 (win percentages are within the expected range of 2.7% to 3.0%).</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Mass market casino gaming operations. </w:t>
      </w:r>
      <w:r>
        <w:rPr>
          <w:rFonts w:ascii="Arial" w:cs="Arial" w:eastAsia="Arial" w:hAnsi="Arial"/>
          <w:sz w:val="18"/>
          <w:szCs w:val="18"/>
          <w:color w:val="auto"/>
        </w:rPr>
        <w:t>Mass market gross table games win decreased by 2.6%, from HK$3,474.7 million in 2008 to HK$3,382.8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Mass market table games drop decreased by 12.7%, from approximately HK$17,726.1 million in 2008 to HK$15,481.5 million in 2009. The decrease in drop was partially offset by an increase in the mass market gross table games win percentage (calculated before discounts) from 19.6% in 2008 to 21.9% in 2009, which was above the expected win percentage range of 19% to 21%.</w:t>
      </w:r>
    </w:p>
    <w:p>
      <w:pPr>
        <w:spacing w:after="0" w:line="143"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i w:val="1"/>
          <w:iCs w:val="1"/>
          <w:color w:val="auto"/>
        </w:rPr>
        <w:t xml:space="preserve">Slot machine gaming operations. </w:t>
      </w:r>
      <w:r>
        <w:rPr>
          <w:rFonts w:ascii="Arial" w:cs="Arial" w:eastAsia="Arial" w:hAnsi="Arial"/>
          <w:sz w:val="15"/>
          <w:szCs w:val="15"/>
          <w:color w:val="auto"/>
        </w:rPr>
        <w:t>Slot machine win increased by 6.5% from HK$1,225.2 million in 2008 to HK$1,304.4 million in 2009. Slot machine handle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by 12.1%, from HK$23,481.1 million in 2008 to HK$26,331.8 million in 2009. The increases resulted primarily from the play of high-end slot customers. Consequently, total gross slot win increased and slot machine win per unit per day increased by 11% from HK$2,694 in 2008 to HK$2,991 in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Non-casino Revenues</w:t>
      </w:r>
    </w:p>
    <w:p>
      <w:pPr>
        <w:spacing w:after="0" w:line="9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Net non-casino revenues, which include room, food and beverage and retail revenues, increased by 7.7%, from HK$827.2 million (5.6% of total operating revenues) in 2008 to HK$891.3 million (6.3% of total operating revenues) in 2009. The increase in revenues was largely due to stronger retail sales in 2009, which offset weaker room and food and beverage performance in 2009.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Room revenues. </w:t>
      </w:r>
      <w:r>
        <w:rPr>
          <w:rFonts w:ascii="Arial" w:cs="Arial" w:eastAsia="Arial" w:hAnsi="Arial"/>
          <w:sz w:val="18"/>
          <w:szCs w:val="18"/>
          <w:color w:val="auto"/>
        </w:rPr>
        <w:t>Our room revenues, which exclude promotional allowances in our consolidated statement of comprehensive income, decreased by 25.6% from</w:t>
      </w:r>
      <w:r>
        <w:rPr>
          <w:rFonts w:ascii="Arial" w:cs="Arial" w:eastAsia="Arial" w:hAnsi="Arial"/>
          <w:sz w:val="18"/>
          <w:szCs w:val="18"/>
          <w:i w:val="1"/>
          <w:iCs w:val="1"/>
          <w:color w:val="auto"/>
        </w:rPr>
        <w:t xml:space="preserve"> </w:t>
      </w:r>
      <w:r>
        <w:rPr>
          <w:rFonts w:ascii="Arial" w:cs="Arial" w:eastAsia="Arial" w:hAnsi="Arial"/>
          <w:sz w:val="18"/>
          <w:szCs w:val="18"/>
          <w:color w:val="auto"/>
        </w:rPr>
        <w:t>HK$138.1 million in 2008 to HK$102.8 million in 2009. The decrease reflects increased promotional allowances due to increased VIP business, which resulted in fewer rooms being made available to paying customers and a slight decrease in the room rates.</w:t>
      </w:r>
    </w:p>
    <w:p>
      <w:pPr>
        <w:spacing w:after="0" w:line="140"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Management also evaluates room revenues on an adjusted basis which includes promotional allowances. Adjusted room revenues including promotional allowances decreased by 3.5% from HK$452.8 million in 2008 to HK$437.0 million in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 promotional allowances):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room revenues information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7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year ended 31 December</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9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Daily Rate (includes promotional allowances of HK$1,583 in 2009</w:t>
            </w:r>
          </w:p>
        </w:tc>
        <w:tc>
          <w:tcPr>
            <w:tcW w:w="1700" w:type="dxa"/>
            <w:vAlign w:val="bottom"/>
            <w:gridSpan w:val="2"/>
            <w:vMerge w:val="restart"/>
            <w:shd w:val="clear" w:color="auto" w:fill="CCEEFF"/>
          </w:tcPr>
          <w:p>
            <w:pPr>
              <w:jc w:val="center"/>
              <w:ind w:right="900"/>
              <w:spacing w:after="0"/>
              <w:rPr>
                <w:sz w:val="20"/>
                <w:szCs w:val="20"/>
                <w:color w:val="auto"/>
              </w:rPr>
            </w:pPr>
            <w:r>
              <w:rPr>
                <w:rFonts w:ascii="Arial" w:cs="Arial" w:eastAsia="Arial" w:hAnsi="Arial"/>
                <w:sz w:val="18"/>
                <w:szCs w:val="18"/>
                <w:b w:val="1"/>
                <w:bCs w:val="1"/>
                <w:color w:val="auto"/>
                <w:w w:val="92"/>
              </w:rPr>
              <w:t>HK$ 2,064</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HK$1,490 in 2008)</w:t>
            </w:r>
          </w:p>
        </w:tc>
        <w:tc>
          <w:tcPr>
            <w:tcW w:w="1700" w:type="dxa"/>
            <w:vAlign w:val="bottom"/>
            <w:gridSpan w:val="2"/>
            <w:vMerge w:val="continue"/>
            <w:shd w:val="clear" w:color="auto" w:fill="CCEEFF"/>
          </w:tcPr>
          <w:p>
            <w:pPr>
              <w:spacing w:after="0"/>
              <w:rPr>
                <w:sz w:val="19"/>
                <w:szCs w:val="19"/>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HK$ 2,139</w:t>
            </w:r>
          </w:p>
        </w:tc>
        <w:tc>
          <w:tcPr>
            <w:tcW w:w="0" w:type="dxa"/>
            <w:vAlign w:val="bottom"/>
          </w:tcPr>
          <w:p>
            <w:pPr>
              <w:spacing w:after="0"/>
              <w:rPr>
                <w:sz w:val="1"/>
                <w:szCs w:val="1"/>
                <w:color w:val="auto"/>
              </w:rPr>
            </w:pPr>
          </w:p>
        </w:tc>
      </w:tr>
      <w:tr>
        <w:trPr>
          <w:trHeight w:val="322"/>
        </w:trPr>
        <w:tc>
          <w:tcPr>
            <w:tcW w:w="6860" w:type="dxa"/>
            <w:vAlign w:val="bottom"/>
          </w:tcPr>
          <w:p>
            <w:pPr>
              <w:spacing w:after="0"/>
              <w:rPr>
                <w:sz w:val="20"/>
                <w:szCs w:val="20"/>
                <w:color w:val="auto"/>
              </w:rPr>
            </w:pPr>
            <w:r>
              <w:rPr>
                <w:rFonts w:ascii="Arial" w:cs="Arial" w:eastAsia="Arial" w:hAnsi="Arial"/>
                <w:sz w:val="18"/>
                <w:szCs w:val="18"/>
                <w:color w:val="auto"/>
              </w:rPr>
              <w:t>Occupancy</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87.5%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110"/>
        </w:trPr>
        <w:tc>
          <w:tcPr>
            <w:tcW w:w="6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REVPAR (includes promotional allowances of HK$1,385 in 2009 and</w:t>
            </w:r>
          </w:p>
        </w:tc>
        <w:tc>
          <w:tcPr>
            <w:tcW w:w="1700" w:type="dxa"/>
            <w:vAlign w:val="bottom"/>
            <w:gridSpan w:val="2"/>
            <w:vMerge w:val="restart"/>
            <w:shd w:val="clear" w:color="auto" w:fill="CCEEFF"/>
          </w:tcPr>
          <w:p>
            <w:pPr>
              <w:jc w:val="center"/>
              <w:ind w:right="900"/>
              <w:spacing w:after="0"/>
              <w:rPr>
                <w:sz w:val="20"/>
                <w:szCs w:val="20"/>
                <w:color w:val="auto"/>
              </w:rPr>
            </w:pPr>
            <w:r>
              <w:rPr>
                <w:rFonts w:ascii="Arial" w:cs="Arial" w:eastAsia="Arial" w:hAnsi="Arial"/>
                <w:sz w:val="18"/>
                <w:szCs w:val="18"/>
                <w:b w:val="1"/>
                <w:bCs w:val="1"/>
                <w:color w:val="auto"/>
                <w:w w:val="92"/>
              </w:rPr>
              <w:t>HK$ 1,806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HK$1,301 in 2008)</w:t>
            </w:r>
          </w:p>
        </w:tc>
        <w:tc>
          <w:tcPr>
            <w:tcW w:w="1700" w:type="dxa"/>
            <w:vAlign w:val="bottom"/>
            <w:gridSpan w:val="2"/>
            <w:vMerge w:val="continue"/>
            <w:shd w:val="clear" w:color="auto" w:fill="CCEEFF"/>
          </w:tcPr>
          <w:p>
            <w:pPr>
              <w:spacing w:after="0"/>
              <w:rPr>
                <w:sz w:val="19"/>
                <w:szCs w:val="19"/>
                <w:color w:val="auto"/>
              </w:rPr>
            </w:pP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HK$ 1,867</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Food and beverage</w:t>
      </w:r>
      <w:r>
        <w:rPr>
          <w:rFonts w:ascii="Arial" w:cs="Arial" w:eastAsia="Arial" w:hAnsi="Arial"/>
          <w:sz w:val="18"/>
          <w:szCs w:val="18"/>
          <w:color w:val="auto"/>
        </w:rPr>
        <w:t>. Food and beverage revenues, which exclude promotional allowances in our consolidated statement of comprehensive income, totaled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HK$133.4 million in 2009, a 17.6% decrease from the 2008 revenues of HK$162.0 million. However, these amounts exclude food and beverages provided to our customers in the form of promotional allowances, which form a significant part of our offerings. Accordingly, management also evaluates food and beverage revenues on an adjusted basis including promotional allowances. Food and beverage revenues in 2009 adjusted to include these promotional allowances were HK$392.1 million, a 5% decrease from the 2008 adjusted revenues of HK$412.9 million. The decrease reflects lower business volumes resulting primarily from a significant increase in the restaurant offerings in Macau as well as decreased spending among the local Macau population due to the general slowdown in the economy.</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Retail and other. </w:t>
      </w:r>
      <w:r>
        <w:rPr>
          <w:rFonts w:ascii="Arial" w:cs="Arial" w:eastAsia="Arial" w:hAnsi="Arial"/>
          <w:sz w:val="18"/>
          <w:szCs w:val="18"/>
          <w:color w:val="auto"/>
        </w:rPr>
        <w:t>Our retail and other revenues, which exclude promotional allowances in our consolidated statement of comprehensive income, increased by</w:t>
      </w:r>
      <w:r>
        <w:rPr>
          <w:rFonts w:ascii="Arial" w:cs="Arial" w:eastAsia="Arial" w:hAnsi="Arial"/>
          <w:sz w:val="18"/>
          <w:szCs w:val="18"/>
          <w:i w:val="1"/>
          <w:iCs w:val="1"/>
          <w:color w:val="auto"/>
        </w:rPr>
        <w:t xml:space="preserve"> </w:t>
      </w:r>
      <w:r>
        <w:rPr>
          <w:rFonts w:ascii="Arial" w:cs="Arial" w:eastAsia="Arial" w:hAnsi="Arial"/>
          <w:sz w:val="18"/>
          <w:szCs w:val="18"/>
          <w:color w:val="auto"/>
        </w:rPr>
        <w:t>24.3%, from HK$527.1 million in 2008 to HK$655.1 million in 2009. The increase was due primarily to increased sales at several retail outlets and the opening of Wynn and Co. Watches and Jewelry, which sells Cartier, Jaeger Le Coultre, and Kwiat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0" w:name="page31"/>
    <w:bookmarkEnd w:id="30"/>
    <w:p>
      <w:pPr>
        <w:jc w:val="both"/>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also evaluates retail and other revenues on an adjusted basis which includes promotional allowances. Adjusted retail and other revenues including promotional allowances increased by 23.5% from HK$537.0 million in 2008 to HK$663.4 million in 2009, reflecting the increased sales at several retail outlets and the opening of Wynn and Co. Watches and Jewelry, which sells Cartier, Jaeger Le Coultre, and Kwiat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Gaming taxes and premiums. </w:t>
      </w:r>
      <w:r>
        <w:rPr>
          <w:rFonts w:ascii="Arial" w:cs="Arial" w:eastAsia="Arial" w:hAnsi="Arial"/>
          <w:sz w:val="16"/>
          <w:szCs w:val="16"/>
          <w:color w:val="auto"/>
        </w:rPr>
        <w:t>Gaming taxes and premiums decreased by 3.7%, from HK$7,004.3 million in 2008 to HK$6,742.1 million in 2009. This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decreased gross gaming win from 2008 to 2009. Wynn Macau is subject to a 35% gaming tax on gross gaming win. In addition, the Group is also required to pay 4% of its gross gaming win as contributions for public development and social facilities.</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Staff costs. </w:t>
      </w:r>
      <w:r>
        <w:rPr>
          <w:rFonts w:ascii="Arial" w:cs="Arial" w:eastAsia="Arial" w:hAnsi="Arial"/>
          <w:sz w:val="18"/>
          <w:szCs w:val="18"/>
          <w:color w:val="auto"/>
        </w:rPr>
        <w:t>Staff costs decreased by 6.3%, from HK$1,717.6 million in 2008 to HK$1,610.2 million in 2009. The decrease was primarily due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staffing as part of natural attrition and the cost reduction program implemented in 2009.</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by 10.7%, from HK$2,882.6 million in 2008 to HK$2,572.8 million in 2009. The decrease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costs was primarily due to the effect of various cost-control measures implemented in 2009.</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by 3.1% from HK$696.7 million in 2008 to HK$718.2 million in 2009.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the impact of assets capitalized in 2008 that were depreciated for a full year in 2009.</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decreased by 75.4%, from HK$78.0 million in 2008 to HK$19.2 million in 2009. The charges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period represent costs related to assets retired or abandoned as a result of renovating certain assets of Wynn Macau in response to customer preferences and changes in market demand.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foregoing, total operating costs and expenses decreased by 5.8%, from HK$12,379.2 million in 2008 to HK$11,662.4 million in 2009.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Revenues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Finance revenues decreased by 93.9%, from HK$94.2 million in 2008 to HK$5.7 million in 2009, reflecting a significant decrease in the average interest rate earned on invested cash balances compared to the prior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Finance costs decreased by 0.8%, from HK$320.0 million in 2008 to HK$317.4 million in 2009. Finance costs decreased in 2009 primarily due to lower interest rates in 2009 compared to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Decrease in Fair Value of Interest Rate Swaps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required under the terms of our various credit facilities, we have entered into agreements which swap a portion of the interest on our loans from floating to fixed rates. These transactions do not qualify for hedge accounting.</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fair value of our interest rate swaps are recorded as either assets or liabilities. Changes in the fair value of our interest rate swaps are recorded as an increase or decrease in swap fair value during each year. We recorded an expense of HK$29.5 million for 2009 resulting from the decrease in the fair value of our interest rate swaps in 2009. We recorded an expense of HK$90.3 million in 2008 resulting from the decrease in the fair value of our interest rate swaps in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Benefit/Expense</w:t>
      </w:r>
    </w:p>
    <w:p>
      <w:pPr>
        <w:spacing w:after="0" w:line="9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In 2008, our income tax benefit was HK$57.4 million compared to an income tax expense of HK$5.6 million in 2009. Our 2009 current tax expense primarily relates to the tax expense recorded by our subsidiaries owning our interest in WRM under the WRM Shareholder Dividend Tax Agreement and a deferred tax benefit recorded by WRM resulting from a decrease in its deferred tax liability for property and equipment. In 2008, our income tax benefit primarily resulted from a reduction in our liability for tax contingencies and our reassessment of the expected realization of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Profits Attributable to Equity Holders of the Company</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result of the foregoing, net profits attributable to equity holders of the Company increased by 1.4%, from HK$2,039.6 million in 2008 to HK$2,068.6 million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Since Wynn Macau opened in 2006, we have generally funded our working capital and recurring expenses as well as capital expenditures from cash flow from operations and cash on hand.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7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Gearing Ratio</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gearing ratio is a key indicator of our Group’s capital structure. The gearing ratio is net debt divided by total capital plus net debt. The table below presents the calculation of our gearing ratio as at 31 December 2009 and 2008.</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Group</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78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HK$</w:t>
            </w:r>
          </w:p>
        </w:tc>
        <w:tc>
          <w:tcPr>
            <w:tcW w:w="640" w:type="dxa"/>
            <w:vAlign w:val="bottom"/>
          </w:tcPr>
          <w:p>
            <w:pPr>
              <w:spacing w:after="0"/>
              <w:rPr>
                <w:sz w:val="14"/>
                <w:szCs w:val="14"/>
                <w:color w:val="auto"/>
              </w:rPr>
            </w:pPr>
          </w:p>
        </w:tc>
        <w:tc>
          <w:tcPr>
            <w:tcW w:w="7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HK$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loans and borrowings, net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8,017,177</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7,972,912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Land premiums payable</w:t>
            </w:r>
          </w:p>
        </w:tc>
        <w:tc>
          <w:tcPr>
            <w:tcW w:w="142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47,025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726,742</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2,621,093</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1,552,877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companies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189,500</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Construction retention payable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67,213</w:t>
            </w: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net of uncertain tax position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19,264</w:t>
            </w: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142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w w:val="89"/>
              </w:rPr>
              <w:t>(5,228,995)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(2,544,291)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debt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6,411,994</w:t>
            </w:r>
          </w:p>
        </w:tc>
        <w:tc>
          <w:tcPr>
            <w:tcW w:w="6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7,691,837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3,770,966</w:t>
            </w:r>
          </w:p>
        </w:tc>
        <w:tc>
          <w:tcPr>
            <w:tcW w:w="6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3,770,966</w:t>
            </w:r>
          </w:p>
        </w:tc>
        <w:tc>
          <w:tcPr>
            <w:tcW w:w="6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Capital and net debt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10,182,960</w:t>
            </w:r>
          </w:p>
        </w:tc>
        <w:tc>
          <w:tcPr>
            <w:tcW w:w="6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8,429,342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Gearing ratio</w:t>
            </w:r>
          </w:p>
        </w:tc>
        <w:tc>
          <w:tcPr>
            <w:tcW w:w="14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63.0%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Our cash balances at 31 December 2009 were HK$5,229.0 million. This cash is available for operations, new development activities, enhancements to Wynn Macau, and to support the development and construction of Encore at Wynn Macau. In addition, as at 31 December 2009, we had HK$3.9 billion available to draw under the Wynn Macau Credit Facilities.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280"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a summary of the Company’s cash flows for each of the years ended 31 December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cash flows</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2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For the year ended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60" w:type="dxa"/>
            <w:vAlign w:val="bottom"/>
            <w:gridSpan w:val="3"/>
          </w:tcPr>
          <w:p>
            <w:pPr>
              <w:ind w:left="300"/>
              <w:spacing w:after="0"/>
              <w:rPr>
                <w:sz w:val="20"/>
                <w:szCs w:val="20"/>
                <w:color w:val="auto"/>
              </w:rPr>
            </w:pPr>
            <w:r>
              <w:rPr>
                <w:rFonts w:ascii="Arial" w:cs="Arial" w:eastAsia="Arial" w:hAnsi="Arial"/>
                <w:sz w:val="14"/>
                <w:szCs w:val="14"/>
                <w:b w:val="1"/>
                <w:bCs w:val="1"/>
                <w:color w:val="auto"/>
              </w:rPr>
              <w:t>HK$</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w:t>
            </w:r>
          </w:p>
        </w:tc>
        <w:tc>
          <w:tcPr>
            <w:tcW w:w="4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millions)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4,517.2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(14,958.3)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from/(used in) financing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13,125.8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(4,639.2)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2,684.7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(2,989.3)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5,229.0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generated from operating activities</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Our net cash from operating activities is primarily affected by operating income generated by Wynn Macau as a result of better costs control, and benefits from changes in working capital. Net cash from operating activities was HK$4,517.2 million in 2009 compared to HK$3,169.7 million in 2008.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profits were HK$2,414.5 million in 2009 compared to HK$2,331.4 million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HK$14,958.3 million in 2009, compared to net cash used in investing activities of HK$1,519.8 million in 2008.</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major component of the increase in cash flows used in investing activities was the payment to WM Cayman Holdings Limited I on 9 October 2009 for HK$12.6 billion to redeem an acquisition note issued by the Company in connection with the Group Reorganization.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generated from/(used in) financing activities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generated from financing activities was HK$13,125.8 million during 2009 compared to net cash used in financing activities of HK$4,639.2 million during 2008.</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Company’s initial public offering on the Hong Kong Stock Exchange and the full exercise of the over-allotment option, HK$14.5 billion was received by the Company. The receipt of the IPO proceeds along with lower dividends paid in 2009 compared to 2008 provided the primary change in financing cash flows.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280"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indebtedness as at 31 December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information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As at 31 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780" w:type="dxa"/>
            <w:vAlign w:val="bottom"/>
          </w:tcPr>
          <w:p>
            <w:pPr>
              <w:jc w:val="right"/>
              <w:ind w:right="184"/>
              <w:spacing w:after="0" w:line="129" w:lineRule="exact"/>
              <w:rPr>
                <w:sz w:val="20"/>
                <w:szCs w:val="20"/>
                <w:color w:val="auto"/>
              </w:rPr>
            </w:pPr>
            <w:r>
              <w:rPr>
                <w:rFonts w:ascii="Arial" w:cs="Arial" w:eastAsia="Arial" w:hAnsi="Arial"/>
                <w:sz w:val="14"/>
                <w:szCs w:val="14"/>
                <w:b w:val="1"/>
                <w:bCs w:val="1"/>
                <w:color w:val="auto"/>
              </w:rPr>
              <w:t>2009</w:t>
            </w:r>
          </w:p>
        </w:tc>
        <w:tc>
          <w:tcPr>
            <w:tcW w:w="1060" w:type="dxa"/>
            <w:vAlign w:val="bottom"/>
            <w:gridSpan w:val="2"/>
          </w:tcPr>
          <w:p>
            <w:pPr>
              <w:jc w:val="right"/>
              <w:ind w:right="212"/>
              <w:spacing w:after="0" w:line="129"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HK$</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HK$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780" w:type="dxa"/>
            <w:vAlign w:val="bottom"/>
          </w:tcPr>
          <w:p>
            <w:pPr>
              <w:jc w:val="right"/>
              <w:ind w:right="44"/>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452"/>
              <w:spacing w:after="0"/>
              <w:rPr>
                <w:sz w:val="20"/>
                <w:szCs w:val="20"/>
                <w:color w:val="auto"/>
              </w:rPr>
            </w:pPr>
            <w:r>
              <w:rPr>
                <w:rFonts w:ascii="Arial" w:cs="Arial" w:eastAsia="Arial" w:hAnsi="Arial"/>
                <w:sz w:val="12"/>
                <w:szCs w:val="12"/>
                <w:b w:val="1"/>
                <w:bCs w:val="1"/>
                <w:color w:val="auto"/>
                <w:w w:val="80"/>
              </w:rPr>
              <w:t>thousands)</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6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Senior revolving credit facility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3,893,923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Senior term loan facility</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4,283,103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4,282,298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8,177,026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approximately HK$3.9 billion available to draw under the Wynn Macau Credit Facilities as at 31 December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at 31 December 2009, WRM’s then existing credit facilities consisted of HK$12.0 billion in a combination of Hong Kong dollar and U.S. dollar facilities, comprising a HK$4.3 billion fully funded senior term loan facility and a HK$7.7 billion senior revolving credit facility. The facilities may be used for a variety of purposes, including the construction of Encore at Wynn Macau, investments in other projects in Macau and general corporate purposes.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the ability to increase secured debt under the Wynn Macau Credit Facilities by up to an additional US$50 million (approximately HK$388.3 million).</w:t>
      </w:r>
    </w:p>
    <w:p>
      <w:pPr>
        <w:spacing w:after="0" w:line="19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As at 31 December 2009, we had total bank and other borrowings under the Wynn Macau Credit Facilities of HK$8,177.0 million, of which HK$2,243.2 million was denominated in U.S. dollars and HK$5,933.8 million was denominated in Hong Kong dollars.</w:t>
      </w:r>
    </w:p>
    <w:p>
      <w:pPr>
        <w:spacing w:after="0" w:line="132"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In July 2009, as part of the Pre-IPO Reorganization, WRM requested and obtained from its syndicate of lenders under the Wynn Macau Credit Facilities certain consents necessary to permit the Pre-IPO Reorganization. As a result, WM Cayman Holdings Limited II became the highest level obligor, guarantor and chargor under the Wynn Macau Credit Facilities and Wynn Group Asia, Inc. ceased to be an obligor, guarantor or chargor under the Wynn Macau Credit Facilities.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the Wynn Macau Credit Facilities and has no rights or obligations thereunder.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09"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and Interest</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term loans under the Wynn Macau Credit Facilities mature in June 2014, and the revolving loans under the Wynn Macau Credit Facilities mature in June 2012. The principal amount of the term loans is required to be repaid in quarterly installments, commencing in September 2011.</w:t>
      </w:r>
    </w:p>
    <w:p>
      <w:pPr>
        <w:spacing w:after="0" w:line="8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Borrowings under the Wynn Macau Credit Facilities currently bear interest at London Interbank Offered Rate (“LIBOR”) or Hong Kong Interbank Offered Rate (“HIBOR”) (depending on the currency of the borrowing) plus a margin of 1.75%. Beginning after the first full quarter after Encore at Wynn Macau opens, the margin will be subject to increases or decreases to between 1.25% and 2.00% depending on WRM’s leverage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Covenants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Wynn Macau Credit Facilities contain customary covenants restricting certain activities of the obligor group (WM Cayman Holdings Limited II and all of its subsidiaries except Palo Real Estate Company Limited), which does not include the Company, including, but not limited to, the incurrence of additional indebtedness, the incurrence or creation of liens on property, sale and leaseback transactions, the ability to dispose of assets and the making of loans or other investments, entering into mergers, consolidations, liquidations or amalgamations, forming or acquiring subsidiaries, amending, modifying or terminating certain material contracts, permits and governing documents, entering into transactions with affiliates, changing fiscal periods, entering into business activities other than certain permitted activities, and selling or discounting receivables, in each case, subject to certain permitted exceptions.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Wynn Macau Credit Facilities financial covenants require WRM to maintain a Leverage Ratio, as defined in the Wynn Macau Credit Facilities, of not greater than 5 to 1 as of 31 December 2009, and an Interest Coverage Ratio, as defined in the Wynn Macau Credit Facilities, of not less than 2 to 1. Management believes that we were in compliance with all covenants at 31 December 2009. The Leverage Ratio requirement decreases to not greater than 4.75 to 1 for the quarterly reporting period ending 30 June 2010, 4.5 to 1 for the quarterly reporting period ending 30 September 2010 and 4 to 1 for the quarterly reporting period ending 31 December 2010. The Interest Coverage Ratio requirement remains at not less than 2 to 1 for each reporting period during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Covenants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Directors confirm that there is no material non-compliance with the financial covenants or general covenants contained in the Wynn Macau Credit Facilities.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Wynn Macau Credit Facilities contain mandatory prepayment provisions, which include, among other matters, prepayment of 50% of excess cash flow, as defined in the Wynn Macau Credit Facilities, if WRMs Leverage Ratio is greater than 4 to 1 for each relevant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Restrictions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WRM and its subsidiaries are subject to restrictions on payment of dividends or distributions or other amounts to their shareholders or to other affiliates, unless certain financial and non-financial criteria have been satisfied. Provided certain conditions are met, WRM is permitted to distribute retained earnings. The conditions to be satisfied for the distribution of earnings include:</w:t>
      </w:r>
    </w:p>
    <w:p>
      <w:pPr>
        <w:spacing w:after="0" w:line="5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applicable legal requirements;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event of default occurring under the Wynn Macau Credit Facilities;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the applicable Leverage Ratio and Interest Coverage Ratio financial covenants; and</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Such distributions may be made once in each fiscal quarter (and in respect of the first fiscal quarter in a fiscal year, only after borrowings under the Wynn Macau Credit Facilities have been prepaid to the extent required by the application of the excess cash flow mandatory prepayment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Wynn Macau Credit Facilities contain customary events of default, such as failure to pay, breach of covenants,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Wynn Macau Credit Facilities also include a change of control event of default which includes:</w:t>
      </w:r>
    </w:p>
    <w:p>
      <w:pPr>
        <w:spacing w:after="0" w:line="90" w:lineRule="exact"/>
        <w:rPr>
          <w:sz w:val="20"/>
          <w:szCs w:val="20"/>
          <w:color w:val="auto"/>
        </w:rPr>
      </w:pPr>
    </w:p>
    <w:p>
      <w:pPr>
        <w:ind w:left="460" w:right="42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Stephen A. Wynn, our Chairman and Chief Executive Officer (together with Mr. Kazuo Okada of Universal Entertainment Corporation (formerly known as Aruze Corp.), our non- executive Director) and certain other related parties, including any 80% (or more) owned subsidiary, trust, estate or immediate family members of Mr. Wynn or Mr. Okada) ceasing to control at least 20% of the voting power of Wynn Resorts, Limited;</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Wynn (together with his related parties but excluding Mr. Okada and Mr. Okada’s related parties) ceasing to control at least 10% of the voting power of Wynn Resorts, Limited;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Wynn Resorts, Limited ceasing to own or control at least 51% of WRM (or ceasing to have the ability to direct the management of WRM).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Collateral for the Wynn Macau Credit Facilities consists of substantially all of the assets of WRM. Certain of our direct and indirect subsidiaries have executed guarantees and pledged their interests in WRM in support of the obligations under the Wynn Macau Credit Facilities. With respect to the Concession Agreement, the WRM lenders do have certain cure rights and consultation rights with the Macau government upon an enforcement by the lenders.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Ranking Lender</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WRM is also party to a bank guarantee reimbursement agreement with Banco Nacional Ultramarino S.A. to secure a guarantee in favor of the Macau government as required under the Concession Agreement. The amount of this guarantee is currently MOP300 million (HK$291.3 million) 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Wynn Macau Credit Facilities.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 risk is the risk of loss arising from adverse changes in market rates and conditions, such as inflation, interest rates and foreign currency exchange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financial statements of foreign operations are translated into Hong Kong dollars, the Group’s presentation currency, for incorporation into the consolidated financial statements. Assets and liabilities are translated at the prevailing foreign exchange rates in effect at the statement of financial position date. Income, expenditure and cash flow items are measured at the 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2005, the Group entered into two agreements to swap a portion of the underlying interest rate risk on current and future term loan borrowings under the Group’s Wynn Macau Credit Facilities. In August 2008, the Group terminated these interest rate swaps and entered into new interest rate swaps which will terminate in August 2011. Under the first terminated swap agreement, the Group paid a fixed interest rate of 4.84% on borrowings up to a maximum of approximately US$198.2 million (approximately HK$1.54 billion), in exchange for receipts on the same amounts at a variable interest rate based on the applicable LIBOR at the time of payment. Under the second terminated swap agreement, the Group paid a fixed interest rate of 4.77% on borrowings up to a maximum of approximately HK$1.1 billion, in exchange for receipts on the same amounts at a variable interest rate based on the applicable HIBOR at the time of payment. The terminated interest rate swaps fixed the interest rates on the U.S. dollar and the Hong Kong dollar borrowings under the Wynn Macau Credit Facilities at approximately 6.59% and 6.52%, respectively. In connection with these terminations, the Group paid to the counterparties of the terminated swaps a cash settlement payment of approximately HK$17.0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August 2008, under the first new swap agreement, the Group pays a fixed interest rate of 3.632% on U.S. dollar borrowings of approximately US$153.8 million (approximately HK$1.2 billion) incurred under the US$550 million (approximately HK$4.3 billion) term loan portion of the Wynn Macau Credit Facilities in exchange for receipts on the same amount at a variable interest rate based on the applicable LIBOR at the time of payment. Under the second new swap agreement, the Group pays a fixed interest rate of 3.39% on Hong Kong dollar borrowings of approximately HK$991.6 million incurred under the US$550 million (approximately HK$4.3 billion) term loan portion of the Wynn Macau Credit Facilities in exchange for receipts on the same amount at a variable interest rate based on the applicable HIBOR at the time of payment. These interest rate swaps fix the interest rates on the U.S. dollar and the Hong Kong dollar term loan borrowings at approximately 5.382% and 5.14%, respectively.</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Group entered into another interest rate swap agreement on 17 August 2009, with an effective date of 27 November 2009, to swap a portion of the underlying interest rate risk on borrowings under the Wynn Macau Credit Facilities. Under this new swap agreement, beginning 27 November 2009, the Group pays a fixed interest rate of 2.15% on borrowings of approximately HK$2.3 billion incurred under the Wynn Macau Credit Facilities in exchange for receipts on the same amount at a variable interest rate based on the applicable HIBOR at the time of payment. This interest rate swap fixes the interest rate on HK$2.3 billion of borrowings under the Wynn Macau Credit Facilities at approximately 3.9%. This interest rate swap agreement will terminate in June 2012.</w:t>
      </w:r>
    </w:p>
    <w:p>
      <w:pPr>
        <w:spacing w:after="0" w:line="1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carrying value of these interest rate swaps on the consolidated statement of financial position approximates their fair value.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 These transactions do not qualify for hedge accounting. Accordingly, changes in the fair values during the years ended 31 December 2009 and 2008 were charged to the consolidated statement of comprehensive income.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Our liabilities under the swap agreements are secured by the same collateral package securing the Wynn Macau Credit Facilities.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not entered into any transactions with special purpose entities nor do we engage in any transactions involving derivatives except for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retained or contingent interest in assets transferred to an unconsolidated entity.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expect that Wynn Macau will fund its operations and capital expenditure requirements from operating cash flow and cash on hand. However, we cannot be sure that operating cash flows will be sufficient for that purpose. We may refinance all or a portion of our indebtedness on or before maturity. We cannot be sure that we will be able to refinance any of the indebtedness on acceptable terms or at all.</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New business developments (including our possible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ordinary course of business, in response to market demands and client preferences, and in order to increase revenues, we have made and will continue to make enhancements and refinements to Wynn Macau. We have incurred and will continue to incur capital expenditures related to these enhancements and refinements.</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Taking into consideration our financial resources, including our cash and cash equivalents and internally generated funds, we believe that we have sufficient liquid assets to meet our working capital and operating requirements for the following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details of the related party transactions, see note 11 to this announcement. Our Directors confirm that all related party transactions are conducted on normal commercial terms, and that their terms are fair and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FINANCIAL RESULTS IN MACAU</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WRM, our subsidiary and the owner and operator of Wynn Macau, finalized its MFRS statutory financial statements at the end of February 2010 and anticipates filing its MFRS Financial Statements with the Gaming Inspection and Coordination Bureau of Macau by 31 March 2010. This is a statutory filing requirement mandated by Macau law. In addition, WRM expects to publish its MFRS Consolidated Statements in the Macau Official Gazette and local newspapers in Macau by the end of April 2010. The MFRS Financial Statements and the MFRS Consolidated Statements may not be directly comparable with our Company’s financial results disclosed herein, which are prepared under IFRS.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REPORT</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 on Corporate Governance Practices.</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has complied with the code provisions in the Code (to the extent that such provisions are applicable) since the Listing, except for the following deviations from code provisions A.1.1, A.2.7 and A.2.1 of the Code.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of at least four board meetings each year and an annual meeting between the Chairman and non-executive directors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code provision A.1.1 of the Code, there should be at least four board meetings held per year. Under code provision A.2.7 of the Code, the Chairman should at least annually hold meetings with the non-executive directors without the executive directors present.</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As the Company was only incorporated on 4 September 2009 and listed on the Hong Kong Stock Exchange on 9 October 2009, only one Board meeting was convened in 2009. Starting from the year 2010, however, at least four regular meetings will be convened each year and the Chairman will at least annually hold meetings with the non-executive Directors, in compliance with code provisions A.1.1 and A.2.7 of the Code,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Wynn as our Chairman and Chief Executive Officer</w:t>
      </w:r>
    </w:p>
    <w:p>
      <w:pPr>
        <w:spacing w:after="0" w:line="9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Under code provision A.2.1. of the Code, the roles of chairman and chief executive officer should be separate and should not be performed by the same individual. The Company does not at present separate the roles of the chairman and chief executive officer.</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non-executive Directors on the Board offering independent perspectives. This structure encourages independent and effective oversight of the Company’s operations and prudent management of risk.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1" w:name="page42"/>
    <w:bookmarkEnd w:id="41"/>
    <w:p>
      <w:pPr>
        <w:ind w:right="7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MODEL CODE FOR SECURITIES TRANSACTIONS BY DIRECTORS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Having made specific enquiry of the Directors, all Directors have confirmed that they have complied with the required standard of dealings and code of conduct regarding securities dealings by directors as set out in the Model Code for the year ended 31 December 2009 with the following exception.</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Sallnow-Smith did not, as required by the Model Code, notify the Company’s Chairman or another Director and obtain a dated written acknowledgment prior to his spouse acquiring Shares in the Company. The Company considers such non-compliance to be a technical non-compliance only. The relevant transaction did not occur during a blackout period and only involved an immaterial number of Shares (10,000 Shares out of a total issued share capital of 5,187,500,000 Shares), which also represented the entire shareholding of Mr. Sallnow-Smith’s spouse in the Company. At the time of the acquisition, Mr. Sallnow-Smith’s spouse was not in possession of any inside information about the Company. Further, Mr. Sallnow-Smith was not aware of his spouse’s acquisition of Shares, which was the reason he did not notify the Chairman or another Director prior to the acquisition, as required by the Model Code. Upon becoming aware of the acquisition, however, Mr. Sallnow-Smith promptly gave due notification of the acquisition to the Chairman.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An Audit Committee has been established by the Company to review and supervise the financial reporting process and internal control procedures of the Group. The Audit Committee comprises one non-executive Director and two independent non-executive Directors of the Company. The Audit Committee has reviewed the Group’s annual results for the year ended 31 December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Company’s annual report for the year ended 31 December 2009 containing all the information required by Appendix 16 of the Listing Rules will be published on the Company’s and the Hong Kong Stock Exchange’s websites in due course.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DIRECTORS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accordance with Article 17.18 of the Company’s articles of association, one-third of the Board shall retire from office by rotation at the forthcoming annual general meeting. The Directors who will retire will be Mr. Ian Michael Coughlan (our executive Director), Mr. Marc D. Schorr (our non-executive Director), and Mr. Jeffrey Kin-fung Lam (our independent non-executive Director). All of the three retiring Directors will offer themselves for re-election.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 USED IN THIS ANNOUNCEMENT</w:t>
      </w:r>
    </w:p>
    <w:p>
      <w:pPr>
        <w:sectPr>
          <w:pgSz w:w="11900" w:h="16838" w:orient="portrait"/>
          <w:cols w:equalWidth="0" w:num="1">
            <w:col w:w="11320"/>
          </w:cols>
          <w:pgMar w:left="240" w:top="274" w:right="3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or “Board”</w:t>
      </w:r>
    </w:p>
    <w:p>
      <w:pPr>
        <w:spacing w:after="0" w:line="140" w:lineRule="exact"/>
        <w:rPr>
          <w:sz w:val="20"/>
          <w:szCs w:val="20"/>
          <w:color w:val="auto"/>
        </w:rPr>
      </w:pPr>
    </w:p>
    <w:p>
      <w:pPr>
        <w:ind w:left="220" w:right="60" w:hanging="215"/>
        <w:spacing w:after="0" w:line="370" w:lineRule="auto"/>
        <w:rPr>
          <w:sz w:val="20"/>
          <w:szCs w:val="20"/>
          <w:color w:val="auto"/>
        </w:rPr>
      </w:pPr>
      <w:r>
        <w:rPr>
          <w:rFonts w:ascii="Arial" w:cs="Arial" w:eastAsia="Arial" w:hAnsi="Arial"/>
          <w:sz w:val="15"/>
          <w:szCs w:val="15"/>
          <w:color w:val="auto"/>
        </w:rPr>
        <w:t>“Code on Corporate Governance Practices” or “Code”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“Companies Ordinance”</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“Company” or “our Company”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“Concession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“Galaxy”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“Group,” “we”, “us” or “our”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“Group Reorganization”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“HIBOR”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our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Code on Corporate Governance Practices set out in Appendix 14 of the Listing Rules</w:t>
      </w:r>
    </w:p>
    <w:p>
      <w:pPr>
        <w:spacing w:after="0" w:line="33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Companies Ordinance of Hong Kong (Chapter 32 of the Laws of Hong Kong), as amended, supplemented or otherwise modified from time to time</w:t>
      </w:r>
    </w:p>
    <w:p>
      <w:pPr>
        <w:spacing w:after="0" w:line="7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Wynn Macau, Limited, a company incorporated on 4 September 2009 as an exempted company with limited liability under the laws of the Cayman Islands and an indirect subsidiary of Wynn Resorts, Limited</w:t>
      </w:r>
    </w:p>
    <w:p>
      <w:pPr>
        <w:spacing w:after="0" w:line="3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Concession Contract for the Operation of Games of Chance or Other Games in Casinos in the Macau Special Administrative Region entered into between WRM and the Macau government on 24 June 2002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director(s) of our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Galaxy Casino, S.A., one of the six gaming operators in Macau and one of the three concessionaires</w:t>
      </w:r>
    </w:p>
    <w:p>
      <w:pPr>
        <w:spacing w:after="0" w:line="11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our Company and its subsidiaries, or any of them, and the businesses carried on by such subsidiaries; </w:t>
      </w:r>
      <w:r>
        <w:rPr>
          <w:rFonts w:ascii="Arial" w:cs="Arial" w:eastAsia="Arial" w:hAnsi="Arial"/>
          <w:sz w:val="16"/>
          <w:szCs w:val="16"/>
          <w:i w:val="1"/>
          <w:iCs w:val="1"/>
          <w:color w:val="auto"/>
        </w:rPr>
        <w:t>except</w:t>
      </w:r>
      <w:r>
        <w:rPr>
          <w:rFonts w:ascii="Arial" w:cs="Arial" w:eastAsia="Arial" w:hAnsi="Arial"/>
          <w:sz w:val="16"/>
          <w:szCs w:val="16"/>
          <w:color w:val="auto"/>
        </w:rPr>
        <w:t xml:space="preserve"> where the context makes it clear that the reference is only to the Company itself and not to the Group</w:t>
      </w:r>
    </w:p>
    <w:p>
      <w:pPr>
        <w:spacing w:after="0" w:line="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reorganization undertaken by the Group, as described in the section headed “History and Corporate Structure — IPO Reorganization” of the IPO Prospectus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Hong Kong Interbank Offered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Hong Kong dollars, the lawful currency of 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Hong Kong Special Administrative Region of the PRC</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2380" w:space="720"/>
            <w:col w:w="8220"/>
          </w:cols>
          <w:pgMar w:left="240" w:top="274"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auto"/>
        </w:rPr>
        <w:t>“Hong Kong Stock Exchange”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“IPO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“Listing Rules”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“Macau” or “Macau Special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Stock Exchange of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-219710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Financial Reporting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IPO Prospectus of the Company published on 24 September 2009 in connection with the 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London Interbank Offered Rate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initial listing of the Shares on the Main Board of the Hong Kong Stock Exchange on 9 October 2009</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Rules Governing the Listing of Securities on the Hong Kong Stock Exchange (as amended from time to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Macau Special Administrative Region of the PRC</w:t>
      </w:r>
    </w:p>
    <w:p>
      <w:pPr>
        <w:spacing w:after="0" w:line="15" w:lineRule="exact"/>
        <w:rPr>
          <w:sz w:val="20"/>
          <w:szCs w:val="20"/>
          <w:color w:val="auto"/>
        </w:rPr>
      </w:pPr>
    </w:p>
    <w:p>
      <w:pPr>
        <w:sectPr>
          <w:pgSz w:w="11900" w:h="16838" w:orient="portrait"/>
          <w:cols w:equalWidth="0" w:num="2">
            <w:col w:w="2380" w:space="720"/>
            <w:col w:w="8260"/>
          </w:cols>
          <w:pgMar w:left="240" w:top="280" w:right="299" w:bottom="1440" w:gutter="0" w:footer="0" w:header="0"/>
        </w:sectPr>
      </w:pPr>
    </w:p>
    <w:p>
      <w:pPr>
        <w:ind w:left="220"/>
        <w:spacing w:after="0"/>
        <w:rPr>
          <w:sz w:val="20"/>
          <w:szCs w:val="20"/>
          <w:color w:val="auto"/>
        </w:rPr>
      </w:pPr>
      <w:r>
        <w:rPr>
          <w:rFonts w:ascii="Arial" w:cs="Arial" w:eastAsia="Arial" w:hAnsi="Arial"/>
          <w:sz w:val="16"/>
          <w:szCs w:val="16"/>
          <w:color w:val="auto"/>
        </w:rPr>
        <w:t>Administrative Region”</w:t>
      </w:r>
    </w:p>
    <w:p>
      <w:pPr>
        <w:sectPr>
          <w:pgSz w:w="11900" w:h="16838" w:orient="portrait"/>
          <w:cols w:equalWidth="0" w:num="1">
            <w:col w:w="11360"/>
          </w:cols>
          <w:pgMar w:left="240" w:top="280" w:right="29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“Melco Crown”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“MFRS”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“MFRS Consolidated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“MFRS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“MGM Grand Paradise”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“Model Code”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“MOP” or “pataca”</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Melco Crown Entertainment Limited, one of the six gaming operators in Macau and one of the three sub-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concessionaires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Macau Financial Reporting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consolidated financial statements prepared in accordance with MFRS for the year ended 31 December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 accordance with the MFRS for the year ended 31 December 2009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MGM Grand Paradise Limited, one of the six gaming operators in Macau and one of the three sub- concessionaires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Model Code for Securities Transactions by Directors of Listed Issuers set out in Appendix 10 of the Listing Rules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Macau pataca, the lawful currency of Macau</w:t>
      </w:r>
    </w:p>
    <w:p>
      <w:pPr>
        <w:spacing w:after="0" w:line="15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41</w:t>
      </w:r>
    </w:p>
    <w:p>
      <w:pPr>
        <w:sectPr>
          <w:pgSz w:w="11900" w:h="16838" w:orient="portrait"/>
          <w:cols w:equalWidth="0" w:num="2">
            <w:col w:w="2420" w:space="680"/>
            <w:col w:w="8260"/>
          </w:cols>
          <w:pgMar w:left="240" w:top="280" w:right="2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“Palo Real Estate Company Limited”</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Palo Real Estate Company Limited, a limited liability company incorporated under the laws of Macau and an indirect wholly owned subsidiary of the Company (subject to a 10% social and voting interest and MOP1.00 economic interest held by Mr. Wong Chi Seng (a Macau resident) in WRM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-513715</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40" w:space="460"/>
            <w:col w:w="832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“PRC,” “China” or “mainland China”</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People’s Republic of China and, except where the context requires and only for the purpose of this annual report, references in this annual report to the PRC or China do not include Taiwan, Hong Kong or Macau; the term “Chinese” has a similar meaning</w:t>
      </w:r>
    </w:p>
    <w:p>
      <w:pPr>
        <w:spacing w:after="0" w:line="86" w:lineRule="exact"/>
        <w:rPr>
          <w:sz w:val="20"/>
          <w:szCs w:val="20"/>
          <w:color w:val="auto"/>
        </w:rPr>
      </w:pPr>
    </w:p>
    <w:p>
      <w:pPr>
        <w:sectPr>
          <w:pgSz w:w="11900" w:h="16838" w:orient="portrait"/>
          <w:cols w:equalWidth="0" w:num="2">
            <w:col w:w="2660" w:space="44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“Pre-IPO Reorganization”</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the reorganization undertaken by the Group prior to the Listing, as described in the section headed “History and Corporate Structure — Pre-IPO Reorganization” of the IPO Prospectus</w:t>
      </w:r>
    </w:p>
    <w:p>
      <w:pPr>
        <w:spacing w:after="0" w:line="78"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with a nominal value of HK$0.001 each in the share capital of our Company</w:t>
      </w:r>
    </w:p>
    <w:p>
      <w:pPr>
        <w:spacing w:after="0" w:line="140"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“Shareholders(s)”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of Share(s) of the Company from time to time</w:t>
      </w:r>
    </w:p>
    <w:p>
      <w:pPr>
        <w:spacing w:after="0" w:line="140"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“SJM”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Sociedade de Jogos de Macau, one of the six gaming operators in Macau and one of the three concessionaires</w:t>
      </w:r>
    </w:p>
    <w:p>
      <w:pPr>
        <w:spacing w:after="0" w:line="151"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dollars, the lawful currency of the United States</w:t>
      </w:r>
    </w:p>
    <w:p>
      <w:pPr>
        <w:spacing w:after="0" w:line="139"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“Venetian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Venetian Macau S.A., one of the six gaming operators in Macau and one of the three sub- concessionaires</w:t>
      </w:r>
    </w:p>
    <w:p>
      <w:pPr>
        <w:spacing w:after="0" w:line="151"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8"/>
          <w:szCs w:val="18"/>
          <w:color w:val="auto"/>
        </w:rPr>
        <w:t>“WIML”</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Wynn International Marketing, Ltd., a company incorporated under the laws of Isle of Man and an affiliate of Wynn Resorts, Limited</w:t>
      </w:r>
    </w:p>
    <w:p>
      <w:pPr>
        <w:spacing w:after="0" w:line="78" w:lineRule="exact"/>
        <w:rPr>
          <w:sz w:val="20"/>
          <w:szCs w:val="20"/>
          <w:color w:val="auto"/>
        </w:rPr>
      </w:pPr>
    </w:p>
    <w:p>
      <w:pPr>
        <w:sectPr>
          <w:pgSz w:w="11900" w:h="16838" w:orient="portrait"/>
          <w:cols w:equalWidth="0" w:num="2">
            <w:col w:w="2380" w:space="720"/>
            <w:col w:w="83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“WM Cayman Holdings Limited I”</w:t>
      </w:r>
    </w:p>
    <w:p>
      <w:pPr>
        <w:spacing w:after="0" w:line="20" w:lineRule="exact"/>
        <w:rPr>
          <w:sz w:val="20"/>
          <w:szCs w:val="20"/>
          <w:color w:val="auto"/>
        </w:rPr>
      </w:pPr>
      <w:r>
        <w:rPr>
          <w:sz w:val="20"/>
          <w:szCs w:val="20"/>
          <w:color w:val="auto"/>
        </w:rPr>
        <w:br w:type="column"/>
      </w:r>
    </w:p>
    <w:p>
      <w:pPr>
        <w:ind w:right="400"/>
        <w:spacing w:after="0" w:line="332" w:lineRule="auto"/>
        <w:rPr>
          <w:sz w:val="20"/>
          <w:szCs w:val="20"/>
          <w:color w:val="auto"/>
        </w:rPr>
      </w:pPr>
      <w:r>
        <w:rPr>
          <w:rFonts w:ascii="Arial" w:cs="Arial" w:eastAsia="Arial" w:hAnsi="Arial"/>
          <w:sz w:val="16"/>
          <w:szCs w:val="16"/>
          <w:color w:val="auto"/>
        </w:rPr>
        <w:t>WM Cayman Holdings Limited I, a company incorporated on 7 July 2009 as an exempted company with limited liability under the laws of the Cayman Islands and a wholly owned subsidiary of Wynn Group Asia Inc.</w:t>
      </w:r>
    </w:p>
    <w:p>
      <w:pPr>
        <w:spacing w:after="0" w:line="72" w:lineRule="exact"/>
        <w:rPr>
          <w:sz w:val="20"/>
          <w:szCs w:val="20"/>
          <w:color w:val="auto"/>
        </w:rPr>
      </w:pPr>
    </w:p>
    <w:p>
      <w:pPr>
        <w:sectPr>
          <w:pgSz w:w="11900" w:h="16838" w:orient="portrait"/>
          <w:cols w:equalWidth="0" w:num="2">
            <w:col w:w="2500" w:space="600"/>
            <w:col w:w="832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280" w:right="2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“WM Cayman Holdings Limited II”</w:t>
      </w:r>
    </w:p>
    <w:p>
      <w:pPr>
        <w:spacing w:after="0" w:line="20" w:lineRule="exact"/>
        <w:rPr>
          <w:sz w:val="20"/>
          <w:szCs w:val="20"/>
          <w:color w:val="auto"/>
        </w:rPr>
      </w:pPr>
      <w:r>
        <w:rPr>
          <w:sz w:val="20"/>
          <w:szCs w:val="20"/>
          <w:color w:val="auto"/>
        </w:rPr>
        <w:br w:type="column"/>
      </w:r>
    </w:p>
    <w:p>
      <w:pPr>
        <w:ind w:right="400"/>
        <w:spacing w:after="0" w:line="332" w:lineRule="auto"/>
        <w:rPr>
          <w:sz w:val="20"/>
          <w:szCs w:val="20"/>
          <w:color w:val="auto"/>
        </w:rPr>
      </w:pPr>
      <w:r>
        <w:rPr>
          <w:rFonts w:ascii="Arial" w:cs="Arial" w:eastAsia="Arial" w:hAnsi="Arial"/>
          <w:sz w:val="16"/>
          <w:szCs w:val="16"/>
          <w:color w:val="auto"/>
        </w:rPr>
        <w:t>WM Cayman Holdings Limited II, a company incorporated on 8 September 2009 as an exempted company with limited liability under the laws of the Cayman Islands and a wholly owned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-411480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560" w:space="540"/>
            <w:col w:w="830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“Worldwide Wynn”</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Worldwide Wynn,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“WRL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and its subsidiaries (other than the Group)</w:t>
      </w:r>
    </w:p>
    <w:p>
      <w:pPr>
        <w:spacing w:after="0" w:line="151"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“WRM”</w:t>
      </w:r>
    </w:p>
    <w:p>
      <w:pPr>
        <w:spacing w:after="0" w:line="20" w:lineRule="exact"/>
        <w:rPr>
          <w:sz w:val="20"/>
          <w:szCs w:val="20"/>
          <w:color w:val="auto"/>
        </w:rPr>
      </w:pPr>
      <w:r>
        <w:rPr>
          <w:sz w:val="20"/>
          <w:szCs w:val="20"/>
          <w:color w:val="auto"/>
        </w:rPr>
        <w:br w:type="column"/>
      </w:r>
    </w:p>
    <w:p>
      <w:pPr>
        <w:ind w:right="20"/>
        <w:spacing w:after="0" w:line="268" w:lineRule="auto"/>
        <w:rPr>
          <w:sz w:val="20"/>
          <w:szCs w:val="20"/>
          <w:color w:val="auto"/>
        </w:rPr>
      </w:pPr>
      <w:r>
        <w:rPr>
          <w:rFonts w:ascii="Arial" w:cs="Arial" w:eastAsia="Arial" w:hAnsi="Arial"/>
          <w:sz w:val="18"/>
          <w:szCs w:val="18"/>
          <w:color w:val="auto"/>
        </w:rPr>
        <w:t>Wynn Resorts (Macau) S.A., a company incorporated under the laws of Macau and a wholly- owned subsidiary of the Company</w:t>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ind w:left="220" w:hanging="215"/>
        <w:spacing w:after="0" w:line="268" w:lineRule="auto"/>
        <w:rPr>
          <w:sz w:val="20"/>
          <w:szCs w:val="20"/>
          <w:color w:val="auto"/>
        </w:rPr>
      </w:pPr>
      <w:r>
        <w:rPr>
          <w:rFonts w:ascii="Arial" w:cs="Arial" w:eastAsia="Arial" w:hAnsi="Arial"/>
          <w:sz w:val="18"/>
          <w:szCs w:val="18"/>
          <w:color w:val="auto"/>
        </w:rPr>
        <w:t>“WRM Shareholder Dividend Tax Agreement”</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8"/>
          <w:szCs w:val="18"/>
          <w:color w:val="auto"/>
        </w:rPr>
        <w:t>the agreement, entered into during June 2009, for a term of five years between WRM and the Macau Special Administrative Region, effective retroactively to 2006, that provides for an annual payment to the Macau Special Administrative Region of MOP7.2 million in lieu of Complementary Tax otherwise due by WRM shareholders on dividend distributions to them from gaming profits.</w:t>
      </w:r>
    </w:p>
    <w:p>
      <w:pPr>
        <w:spacing w:after="0" w:line="89" w:lineRule="exact"/>
        <w:rPr>
          <w:sz w:val="20"/>
          <w:szCs w:val="20"/>
          <w:color w:val="auto"/>
        </w:rPr>
      </w:pPr>
    </w:p>
    <w:p>
      <w:pPr>
        <w:sectPr>
          <w:pgSz w:w="11900" w:h="16838" w:orient="portrait"/>
          <w:cols w:equalWidth="0" w:num="2">
            <w:col w:w="2420" w:space="68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“Wynn Design &amp; Development”</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Wynn Design &amp; Development,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“Wynn Group Asia, Inc.”</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Wynn Group Asia, Inc.,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“Wynn Las Vegas”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 destination casino resort owned by Wynn Resorts, Limited and its subsidiaries (excluding the Group), located on the Las Vegas Strip, comprising two hotel towers (Wynn Las Vegas and Encore at Wynn Las Vegas) and gaming, retail, dining, leisure and entertainment facilities</w:t>
      </w:r>
    </w:p>
    <w:p>
      <w:pPr>
        <w:spacing w:after="0" w:line="127"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280" w:right="2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color w:val="auto"/>
        </w:rPr>
        <w:t>“Wynn Macau”</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 casino hotel resort located in Macau, owned and operated directly by WRM, which opened on 6 September 2006, and where appropriate, the term also includes Encore at Wynn Macau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-381635</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380" w:space="720"/>
            <w:col w:w="8220"/>
          </w:cols>
          <w:pgMar w:left="240" w:top="280" w:right="339" w:bottom="1440" w:gutter="0" w:footer="0" w:header="0"/>
        </w:sectPr>
      </w:pPr>
    </w:p>
    <w:p>
      <w:pPr>
        <w:spacing w:after="0"/>
        <w:rPr>
          <w:sz w:val="20"/>
          <w:szCs w:val="20"/>
          <w:color w:val="auto"/>
        </w:rPr>
      </w:pPr>
      <w:r>
        <w:rPr>
          <w:rFonts w:ascii="Arial" w:cs="Arial" w:eastAsia="Arial" w:hAnsi="Arial"/>
          <w:sz w:val="16"/>
          <w:szCs w:val="16"/>
          <w:color w:val="auto"/>
        </w:rPr>
        <w:t>“Wynn Macau Credit Facilities”</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together, the HK$4.3 billion (equivalent) fully- funded senior term loan facilities and the HK$7.7 billion (equivalent) senior revolving credit facilities extended to WRM and as subsequently amended from time to time</w:t>
      </w:r>
    </w:p>
    <w:p>
      <w:pPr>
        <w:spacing w:after="0" w:line="31" w:lineRule="exact"/>
        <w:rPr>
          <w:sz w:val="20"/>
          <w:szCs w:val="20"/>
          <w:color w:val="auto"/>
        </w:rPr>
      </w:pPr>
    </w:p>
    <w:p>
      <w:pPr>
        <w:sectPr>
          <w:pgSz w:w="11900" w:h="16838" w:orient="portrait"/>
          <w:cols w:equalWidth="0" w:num="2">
            <w:col w:w="2380" w:space="720"/>
            <w:col w:w="8220"/>
          </w:cols>
          <w:pgMar w:left="240" w:top="280" w:right="339" w:bottom="1440" w:gutter="0" w:footer="0" w:header="0"/>
          <w:type w:val="continuous"/>
        </w:sectPr>
      </w:pPr>
    </w:p>
    <w:p>
      <w:pPr>
        <w:spacing w:after="0"/>
        <w:rPr>
          <w:sz w:val="20"/>
          <w:szCs w:val="20"/>
          <w:color w:val="auto"/>
        </w:rPr>
      </w:pPr>
      <w:r>
        <w:rPr>
          <w:rFonts w:ascii="Arial" w:cs="Arial" w:eastAsia="Arial" w:hAnsi="Arial"/>
          <w:sz w:val="16"/>
          <w:szCs w:val="16"/>
          <w:color w:val="auto"/>
        </w:rPr>
        <w:t>“Wynn Resorts Holdings, LLC”</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Wynn Resorts Holdings, LLC, a company formed under the State of Nevada, United States and a wholly owned subsidiary of Wynn Resorts, Limited</w:t>
      </w:r>
    </w:p>
    <w:p>
      <w:pPr>
        <w:spacing w:after="0" w:line="118" w:lineRule="exact"/>
        <w:rPr>
          <w:sz w:val="20"/>
          <w:szCs w:val="20"/>
          <w:color w:val="auto"/>
        </w:rPr>
      </w:pPr>
    </w:p>
    <w:p>
      <w:pPr>
        <w:sectPr>
          <w:pgSz w:w="11900" w:h="16838" w:orient="portrait"/>
          <w:cols w:equalWidth="0" w:num="2">
            <w:col w:w="2380" w:space="720"/>
            <w:col w:w="8220"/>
          </w:cols>
          <w:pgMar w:left="240" w:top="28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20"/>
          </w:cols>
          <w:pgMar w:left="240" w:top="28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 USED IN THIS ANNOUNCEMENT</w:t>
      </w:r>
    </w:p>
    <w:p>
      <w:pPr>
        <w:sectPr>
          <w:pgSz w:w="11900" w:h="16838" w:orient="portrait"/>
          <w:cols w:equalWidth="0" w:num="1">
            <w:col w:w="11380"/>
          </w:cols>
          <w:pgMar w:left="240" w:top="274" w:right="279" w:bottom="1440" w:gutter="0" w:footer="0" w:header="0"/>
        </w:sectPr>
      </w:pPr>
    </w:p>
    <w:p>
      <w:pPr>
        <w:spacing w:after="0" w:line="241" w:lineRule="exact"/>
        <w:rPr>
          <w:sz w:val="20"/>
          <w:szCs w:val="20"/>
          <w:color w:val="auto"/>
        </w:rPr>
      </w:pPr>
    </w:p>
    <w:p>
      <w:pPr>
        <w:ind w:right="240"/>
        <w:spacing w:after="0" w:line="381" w:lineRule="auto"/>
        <w:rPr>
          <w:sz w:val="20"/>
          <w:szCs w:val="20"/>
          <w:color w:val="auto"/>
        </w:rPr>
      </w:pPr>
      <w:r>
        <w:rPr>
          <w:rFonts w:ascii="Arial" w:cs="Arial" w:eastAsia="Arial" w:hAnsi="Arial"/>
          <w:sz w:val="18"/>
          <w:szCs w:val="18"/>
          <w:color w:val="auto"/>
        </w:rPr>
        <w:t>“Adjusted Average Daily Rate” “Adjusted REVPAR” “average daily rate” or “ADR” “casino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“chip(s)”</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“daily gross win per gaming table”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“drop”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“drop box”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“gaming promoters”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0" w:right="80" w:hanging="215"/>
        <w:spacing w:after="0" w:line="268" w:lineRule="auto"/>
        <w:rPr>
          <w:sz w:val="20"/>
          <w:szCs w:val="20"/>
          <w:color w:val="auto"/>
        </w:rPr>
      </w:pPr>
      <w:r>
        <w:rPr>
          <w:rFonts w:ascii="Arial" w:cs="Arial" w:eastAsia="Arial" w:hAnsi="Arial"/>
          <w:sz w:val="18"/>
          <w:szCs w:val="18"/>
          <w:color w:val="auto"/>
        </w:rPr>
        <w:t>“gross gaming revenue” or “gross gaming win”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ADR calculated based on room revenues plus associated promotional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REVPAR calculated based on room revenues plus associated promotional allowances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amount calculated by dividing total room revenues (less service charges, if any) by total rooms occupied</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revenue from casino gaming activities (gross table games win and gross slot win), calculated net of a portion of commissions and discounts and in accordance with IFRS</w:t>
      </w:r>
    </w:p>
    <w:p>
      <w:pPr>
        <w:spacing w:after="0" w:line="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token; usually in the form of plastic disc(s) or plaque(s) issued by a casino to customers in exchange for cash or credit, which must be used (in lieu of cash) to place bets on gaming tables</w:t>
      </w:r>
    </w:p>
    <w:p>
      <w:pPr>
        <w:spacing w:after="0" w:line="78"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gross gaming win for table games divided by number of tables divided by the number of days in the applicable period the amount of cash and promotional coupons deposited in a gaming table’s drop box a box or container that serves as a repository for cash and promotional coupons</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individuals or corporations licensed by and registered with the Macau government to promote games of fortune and chance or other casino games to patrons, through the arrangement of certain services, including transportation, accommodation, dining and entertainment, whose activity is regulated by Macau Administrative Regulation no. 6/2002</w:t>
      </w:r>
    </w:p>
    <w:p>
      <w:pPr>
        <w:spacing w:after="0" w:line="8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total win generated by all casino gaming activities combined, calculated before deduction of commissions and discounts</w:t>
      </w:r>
    </w:p>
    <w:p>
      <w:pPr>
        <w:spacing w:after="0" w:line="11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45</w:t>
      </w:r>
    </w:p>
    <w:p>
      <w:pPr>
        <w:sectPr>
          <w:pgSz w:w="11900" w:h="16838" w:orient="portrait"/>
          <w:cols w:equalWidth="0" w:num="2">
            <w:col w:w="2460" w:space="640"/>
            <w:col w:w="8280"/>
          </w:cols>
          <w:pgMar w:left="240" w:top="274" w:right="2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color w:val="auto"/>
        </w:rPr>
        <w:t>“gross slot win”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amount of handle (representing the total amount wagered) that is retained as winnings. We record this amount and gross table games win as casino revenue after deduction of progressive jackpot liabilities and a portion of commissions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-513715</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380" w:space="720"/>
            <w:col w:w="830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“gross table games win”</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8"/>
          <w:szCs w:val="18"/>
          <w:color w:val="auto"/>
        </w:rPr>
        <w:t>the amount of drop (in our general casino segment) or turnover (in our VIP casino segment) that is retained as winnings. We record this amount and gross slot win as casino revenue after deduction of a portion of commissions and discounts</w:t>
      </w:r>
    </w:p>
    <w:p>
      <w:pPr>
        <w:spacing w:after="0" w:line="86"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“In-house VIP Program”</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an internal marketing program wherein we directly market our casino resorts to gaming clients, including to high- 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89"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“promotional allowance”</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retail value of rooms, food and beverage and retail and other services furnished to guests (typically VIP clients) without charge</w:t>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“REVPAR”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amount calculated by dividing total room revenues (less service charges, if any) by total rooms available</w:t>
      </w:r>
    </w:p>
    <w:p>
      <w:pPr>
        <w:spacing w:after="0" w:line="151"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“Rolling Chip”</w:t>
      </w:r>
    </w:p>
    <w:p>
      <w:pPr>
        <w:spacing w:after="0" w:line="20" w:lineRule="exact"/>
        <w:rPr>
          <w:sz w:val="20"/>
          <w:szCs w:val="20"/>
          <w:color w:val="auto"/>
        </w:rPr>
      </w:pPr>
      <w:r>
        <w:rPr>
          <w:sz w:val="20"/>
          <w:szCs w:val="20"/>
          <w:color w:val="auto"/>
        </w:rPr>
        <w:br w:type="column"/>
      </w:r>
    </w:p>
    <w:p>
      <w:pPr>
        <w:ind w:right="200"/>
        <w:spacing w:after="0" w:line="332" w:lineRule="auto"/>
        <w:rPr>
          <w:sz w:val="20"/>
          <w:szCs w:val="20"/>
          <w:color w:val="auto"/>
        </w:rPr>
      </w:pPr>
      <w:r>
        <w:rPr>
          <w:rFonts w:ascii="Arial" w:cs="Arial" w:eastAsia="Arial" w:hAnsi="Arial"/>
          <w:sz w:val="16"/>
          <w:szCs w:val="16"/>
          <w:color w:val="auto"/>
        </w:rPr>
        <w:t>physically identifiable chip that is used to track VIP wagering volume for purposes of calculating commissions and other allowances payable to gaming promoters and Wynn Macau’s individual VIP players</w:t>
      </w:r>
    </w:p>
    <w:p>
      <w:pPr>
        <w:spacing w:after="0" w:line="31"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sum of all losing Rolling Chip wagers within the VIP program</w:t>
      </w:r>
    </w:p>
    <w:p>
      <w:pPr>
        <w:spacing w:after="0" w:line="181"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280" w:right="2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“VIP client” or “VIP player”</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client, patron or players who participates in Wynn Macau’s In-house VIP Program or in the VIP program of any of our gaming promoters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-381635</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2380" w:space="720"/>
            <w:col w:w="830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“VIP table games 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turnover resulting from VIP table games only</w:t>
      </w:r>
    </w:p>
    <w:p>
      <w:pPr>
        <w:spacing w:after="0" w:line="200" w:lineRule="exact"/>
        <w:rPr>
          <w:sz w:val="20"/>
          <w:szCs w:val="20"/>
          <w:color w:val="auto"/>
        </w:rPr>
      </w:pPr>
    </w:p>
    <w:p>
      <w:pPr>
        <w:sectPr>
          <w:pgSz w:w="11900" w:h="16838" w:orient="portrait"/>
          <w:cols w:equalWidth="0" w:num="2">
            <w:col w:w="2380" w:space="720"/>
            <w:col w:w="8300"/>
          </w:cols>
          <w:pgMar w:left="240" w:top="280" w:right="259" w:bottom="1440" w:gutter="0" w:footer="0" w:header="0"/>
          <w:type w:val="continuous"/>
        </w:sectPr>
      </w:pPr>
    </w:p>
    <w:p>
      <w:pPr>
        <w:spacing w:after="0" w:line="3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Wynn Macau, Limited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Stephen A. Wynn</w:t>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i w:val="1"/>
          <w:iCs w:val="1"/>
          <w:color w:val="auto"/>
        </w:rPr>
        <w:t>Chairman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Hong Kong, 24 March 2010</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Kazuo Okada, Allan Zeman and Marc D. Schorr (as non-executive Directors); and Nicholas Sallnow-Smith, Bruce Rockowitz and Jeffrey Kin-fung Lam (as independent non-executive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sectPr>
      <w:pgSz w:w="11900" w:h="16838" w:orient="portrait"/>
      <w:cols w:equalWidth="0" w:num="1">
        <w:col w:w="11400"/>
      </w:cols>
      <w:pgMar w:left="240" w:top="28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4"/>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lvl w:ilvl="1">
      <w:lvlJc w:val="left"/>
      <w:lvlText w:val="*"/>
      <w:numFmt w:val="bullet"/>
      <w:start w:val="1"/>
    </w:lvl>
  </w:abstractNum>
  <w:abstractNum w:abstractNumId="4">
    <w:nsid w:val="3F2DBA31"/>
    <w:multiLevelType w:val="hybridMultilevel"/>
    <w:lvl w:ilvl="0">
      <w:lvlJc w:val="left"/>
      <w:lvlText w:val="%1."/>
      <w:numFmt w:val="decimal"/>
      <w:start w:val="5"/>
    </w:lvl>
    <w:lvl w:ilvl="1">
      <w:lvlJc w:val="left"/>
      <w:lvlText w:val="(%2)"/>
      <w:numFmt w:val="lowerLetter"/>
      <w:start w:val="1"/>
    </w:lvl>
  </w:abstractNum>
  <w:abstractNum w:abstractNumId="5">
    <w:nsid w:val="7C83E458"/>
    <w:multiLevelType w:val="hybridMultilevel"/>
    <w:lvl w:ilvl="0">
      <w:lvlJc w:val="left"/>
      <w:lvlText w:val="%1."/>
      <w:numFmt w:val="decimal"/>
      <w:start w:val="6"/>
    </w:lvl>
  </w:abstractNum>
  <w:abstractNum w:abstractNumId="6">
    <w:nsid w:val="257130A3"/>
    <w:multiLevelType w:val="hybridMultilevel"/>
    <w:lvl w:ilvl="0">
      <w:lvlJc w:val="left"/>
      <w:lvlText w:val="%1."/>
      <w:numFmt w:val="decimal"/>
      <w:start w:val="7"/>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8"/>
    </w:lvl>
  </w:abstractNum>
  <w:abstractNum w:abstractNumId="9">
    <w:nsid w:val="628C895D"/>
    <w:multiLevelType w:val="hybridMultilevel"/>
    <w:lvl w:ilvl="0">
      <w:lvlJc w:val="left"/>
      <w:lvlText w:val="%1."/>
      <w:numFmt w:val="decimal"/>
      <w:start w:val="9"/>
    </w:lvl>
    <w:lvl w:ilvl="1">
      <w:lvlJc w:val="left"/>
      <w:lvlText w:val="(%2)"/>
      <w:numFmt w:val="lowerRoman"/>
      <w:start w:val="1"/>
    </w:lvl>
  </w:abstractNum>
  <w:abstractNum w:abstractNumId="10">
    <w:nsid w:val="333AB105"/>
    <w:multiLevelType w:val="hybridMultilevel"/>
    <w:lvl w:ilvl="0">
      <w:lvlJc w:val="left"/>
      <w:lvlText w:val="(%1)"/>
      <w:numFmt w:val="lowerRoman"/>
      <w:start w:val="3"/>
    </w:lvl>
  </w:abstractNum>
  <w:abstractNum w:abstractNumId="11">
    <w:nsid w:val="721DA317"/>
    <w:multiLevelType w:val="hybridMultilevel"/>
    <w:lvl w:ilvl="0">
      <w:lvlJc w:val="left"/>
      <w:lvlText w:val="(%1)"/>
      <w:numFmt w:val="lowerRoman"/>
      <w:start w:val="4"/>
    </w:lvl>
  </w:abstractNum>
  <w:abstractNum w:abstractNumId="12">
    <w:nsid w:val="2443A858"/>
    <w:multiLevelType w:val="hybridMultilevel"/>
    <w:lvl w:ilvl="0">
      <w:lvlJc w:val="left"/>
      <w:lvlText w:val="(%1)"/>
      <w:numFmt w:val="lowerRoman"/>
      <w:start w:val="1"/>
    </w:lvl>
  </w:abstractNum>
  <w:abstractNum w:abstractNumId="13">
    <w:nsid w:val="2D1D5AE9"/>
    <w:multiLevelType w:val="hybridMultilevel"/>
    <w:lvl w:ilvl="0">
      <w:lvlJc w:val="left"/>
      <w:lvlText w:val="(%1)"/>
      <w:numFmt w:val="lowerRoman"/>
      <w:start w:val="4"/>
    </w:lvl>
  </w:abstractNum>
  <w:abstractNum w:abstractNumId="14">
    <w:nsid w:val="6763845E"/>
    <w:multiLevelType w:val="hybridMultilevel"/>
    <w:lvl w:ilvl="0">
      <w:lvlJc w:val="left"/>
      <w:lvlText w:val="(%1)"/>
      <w:numFmt w:val="lowerRoman"/>
      <w:start w:val="5"/>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1)"/>
      <w:numFmt w:val="lowerRoman"/>
      <w:start w:val="3"/>
    </w:lvl>
  </w:abstractNum>
  <w:abstractNum w:abstractNumId="20">
    <w:nsid w:val="189A769B"/>
    <w:multiLevelType w:val="hybridMultilevel"/>
    <w:lvl w:ilvl="0">
      <w:lvlJc w:val="left"/>
      <w:lvlText w:val="(%1)"/>
      <w:numFmt w:val="lowerRoman"/>
      <w:start w:val="4"/>
    </w:lvl>
  </w:abstractNum>
  <w:abstractNum w:abstractNumId="21">
    <w:nsid w:val="54E49EB4"/>
    <w:multiLevelType w:val="hybridMultilevel"/>
    <w:lvl w:ilvl="0">
      <w:lvlJc w:val="left"/>
      <w:lvlText w:val="(%1)"/>
      <w:numFmt w:val="lowerRoman"/>
      <w:start w:val="4"/>
    </w:lvl>
    <w:lvl w:ilvl="1">
      <w:lvlJc w:val="left"/>
      <w:lvlText w:val="•"/>
      <w:numFmt w:val="bullet"/>
      <w:start w:val="1"/>
    </w:lvl>
  </w:abstractNum>
  <w:abstractNum w:abstractNumId="22">
    <w:nsid w:val="71F32454"/>
    <w:multiLevelType w:val="hybridMultilevel"/>
    <w:lvl w:ilvl="0">
      <w:lvlJc w:val="left"/>
      <w:lvlText w:val="(%1)"/>
      <w:numFmt w:val="lowerRoman"/>
      <w:start w:val="6"/>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1)"/>
      <w:numFmt w:val="decimal"/>
      <w:start w:val="3"/>
    </w:lvl>
  </w:abstractNum>
  <w:abstractNum w:abstractNumId="29">
    <w:nsid w:val="7C3DBD3D"/>
    <w:multiLevelType w:val="hybridMultilevel"/>
    <w:lvl w:ilvl="0">
      <w:lvlJc w:val="left"/>
      <w:lvlText w:val="(%1)"/>
      <w:numFmt w:val="decimal"/>
      <w:start w:val="4"/>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2019-12-10T21:30:51Z</dcterms:created>
  <dcterms:modified xsi:type="dcterms:W3CDTF">2019-12-10T21:30:51Z</dcterms:modified>
</cp:coreProperties>
</file>