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170180</wp:posOffset>
            </wp:positionV>
            <wp:extent cx="2840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63500</wp:posOffset>
            </wp:positionV>
            <wp:extent cx="2840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March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83820</wp:posOffset>
            </wp:positionV>
            <wp:extent cx="2840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5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4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6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4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520" w:type="dxa"/>
            <w:vAlign w:val="bottom"/>
            <w:gridSpan w:val="2"/>
          </w:tcPr>
          <w:p>
            <w:pPr>
              <w:jc w:val="center"/>
              <w:ind w:right="64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0" w:type="dxa"/>
            <w:vAlign w:val="bottom"/>
          </w:tcPr>
          <w:p>
            <w:pPr>
              <w:spacing w:after="0"/>
              <w:rPr>
                <w:sz w:val="12"/>
                <w:szCs w:val="12"/>
                <w:color w:val="auto"/>
              </w:rPr>
            </w:pPr>
          </w:p>
        </w:tc>
        <w:tc>
          <w:tcPr>
            <w:tcW w:w="2760" w:type="dxa"/>
            <w:vAlign w:val="bottom"/>
            <w:gridSpan w:val="2"/>
          </w:tcPr>
          <w:p>
            <w:pPr>
              <w:ind w:left="124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40" w:type="dxa"/>
            <w:vAlign w:val="bottom"/>
          </w:tcPr>
          <w:p>
            <w:pPr>
              <w:jc w:val="center"/>
              <w:ind w:left="39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940" w:type="dxa"/>
            <w:vAlign w:val="bottom"/>
          </w:tcPr>
          <w:p>
            <w:pPr>
              <w:spacing w:after="0"/>
              <w:rPr>
                <w:sz w:val="12"/>
                <w:szCs w:val="12"/>
                <w:color w:val="auto"/>
              </w:rPr>
            </w:pPr>
          </w:p>
        </w:tc>
      </w:tr>
      <w:tr>
        <w:trPr>
          <w:trHeight w:val="185"/>
        </w:trPr>
        <w:tc>
          <w:tcPr>
            <w:tcW w:w="860" w:type="dxa"/>
            <w:vAlign w:val="bottom"/>
          </w:tcPr>
          <w:p>
            <w:pPr>
              <w:spacing w:after="0"/>
              <w:rPr>
                <w:sz w:val="16"/>
                <w:szCs w:val="16"/>
                <w:color w:val="auto"/>
              </w:rPr>
            </w:pPr>
          </w:p>
        </w:tc>
        <w:tc>
          <w:tcPr>
            <w:tcW w:w="25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480" w:type="dxa"/>
            <w:vAlign w:val="bottom"/>
          </w:tcPr>
          <w:p>
            <w:pPr>
              <w:spacing w:after="0"/>
              <w:rPr>
                <w:sz w:val="16"/>
                <w:szCs w:val="16"/>
                <w:color w:val="auto"/>
              </w:rPr>
            </w:pPr>
          </w:p>
        </w:tc>
        <w:tc>
          <w:tcPr>
            <w:tcW w:w="276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40" w:type="dxa"/>
            <w:vAlign w:val="bottom"/>
          </w:tcPr>
          <w:p>
            <w:pPr>
              <w:jc w:val="center"/>
              <w:ind w:left="39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940" w:type="dxa"/>
            <w:vAlign w:val="bottom"/>
          </w:tcPr>
          <w:p>
            <w:pPr>
              <w:spacing w:after="0"/>
              <w:rPr>
                <w:sz w:val="16"/>
                <w:szCs w:val="16"/>
                <w:color w:val="auto"/>
              </w:rPr>
            </w:pPr>
          </w:p>
        </w:tc>
      </w:tr>
      <w:tr>
        <w:trPr>
          <w:trHeight w:val="227"/>
        </w:trPr>
        <w:tc>
          <w:tcPr>
            <w:tcW w:w="3380" w:type="dxa"/>
            <w:vAlign w:val="bottom"/>
            <w:gridSpan w:val="3"/>
          </w:tcPr>
          <w:p>
            <w:pPr>
              <w:jc w:val="center"/>
              <w:ind w:left="157"/>
              <w:spacing w:after="0"/>
              <w:rPr>
                <w:sz w:val="20"/>
                <w:szCs w:val="20"/>
                <w:color w:val="auto"/>
              </w:rPr>
            </w:pPr>
            <w:r>
              <w:rPr>
                <w:rFonts w:ascii="Times New Roman" w:cs="Times New Roman" w:eastAsia="Times New Roman" w:hAnsi="Times New Roman"/>
                <w:sz w:val="18"/>
                <w:szCs w:val="18"/>
                <w:b w:val="1"/>
                <w:bCs w:val="1"/>
                <w:color w:val="auto"/>
                <w:w w:val="97"/>
              </w:rPr>
              <w:t>3131 Las Vegas Boulevard South</w:t>
            </w: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40" w:type="dxa"/>
            <w:vAlign w:val="bottom"/>
          </w:tcPr>
          <w:p>
            <w:pPr>
              <w:spacing w:after="0"/>
              <w:rPr>
                <w:sz w:val="19"/>
                <w:szCs w:val="19"/>
                <w:color w:val="auto"/>
              </w:rPr>
            </w:pPr>
          </w:p>
        </w:tc>
      </w:tr>
      <w:tr>
        <w:trPr>
          <w:trHeight w:val="185"/>
        </w:trPr>
        <w:tc>
          <w:tcPr>
            <w:tcW w:w="3380" w:type="dxa"/>
            <w:vAlign w:val="bottom"/>
            <w:gridSpan w:val="3"/>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40" w:type="dxa"/>
            <w:vAlign w:val="bottom"/>
          </w:tcPr>
          <w:p>
            <w:pPr>
              <w:jc w:val="center"/>
              <w:ind w:left="39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940" w:type="dxa"/>
            <w:vAlign w:val="bottom"/>
          </w:tcPr>
          <w:p>
            <w:pPr>
              <w:spacing w:after="0"/>
              <w:rPr>
                <w:sz w:val="16"/>
                <w:szCs w:val="16"/>
                <w:color w:val="auto"/>
              </w:rPr>
            </w:pP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40" w:type="dxa"/>
            <w:vAlign w:val="bottom"/>
            <w:gridSpan w:val="3"/>
          </w:tcPr>
          <w:p>
            <w:pPr>
              <w:jc w:val="center"/>
              <w:ind w:left="11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40" w:type="dxa"/>
            <w:vAlign w:val="bottom"/>
            <w:gridSpan w:val="5"/>
          </w:tcPr>
          <w:p>
            <w:pPr>
              <w:jc w:val="center"/>
              <w:ind w:right="285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940" w:type="dxa"/>
            <w:vAlign w:val="bottom"/>
          </w:tcPr>
          <w:p>
            <w:pPr>
              <w:spacing w:after="0"/>
              <w:rPr>
                <w:sz w:val="16"/>
                <w:szCs w:val="16"/>
                <w:color w:val="auto"/>
              </w:rPr>
            </w:pP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60" w:type="dxa"/>
            <w:vAlign w:val="bottom"/>
            <w:gridSpan w:val="2"/>
          </w:tcPr>
          <w:p>
            <w:pPr>
              <w:jc w:val="center"/>
              <w:ind w:left="68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920" w:type="dxa"/>
            <w:vAlign w:val="bottom"/>
            <w:gridSpan w:val="6"/>
          </w:tcPr>
          <w:p>
            <w:pPr>
              <w:jc w:val="center"/>
              <w:ind w:right="237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940" w:type="dxa"/>
            <w:vAlign w:val="bottom"/>
          </w:tcPr>
          <w:p>
            <w:pPr>
              <w:spacing w:after="0"/>
              <w:rPr>
                <w:sz w:val="16"/>
                <w:szCs w:val="16"/>
                <w:color w:val="auto"/>
              </w:rPr>
            </w:pPr>
          </w:p>
        </w:tc>
      </w:tr>
      <w:tr>
        <w:trPr>
          <w:trHeight w:val="37"/>
        </w:trPr>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558"/>
        </w:trPr>
        <w:tc>
          <w:tcPr>
            <w:tcW w:w="6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1360" w:type="dxa"/>
            <w:vAlign w:val="bottom"/>
          </w:tcPr>
          <w:p>
            <w:pPr>
              <w:spacing w:after="0"/>
              <w:rPr>
                <w:sz w:val="18"/>
                <w:szCs w:val="18"/>
                <w:color w:val="auto"/>
              </w:rPr>
            </w:pPr>
          </w:p>
        </w:tc>
        <w:tc>
          <w:tcPr>
            <w:tcW w:w="368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c>
          <w:tcPr>
            <w:tcW w:w="94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3"/>
        </w:trPr>
        <w:tc>
          <w:tcPr>
            <w:tcW w:w="33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480" w:type="dxa"/>
            <w:vAlign w:val="bottom"/>
          </w:tcPr>
          <w:p>
            <w:pPr>
              <w:spacing w:after="0"/>
              <w:rPr>
                <w:sz w:val="21"/>
                <w:szCs w:val="21"/>
                <w:color w:val="auto"/>
              </w:rPr>
            </w:pPr>
          </w:p>
        </w:tc>
        <w:tc>
          <w:tcPr>
            <w:tcW w:w="276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w w:val="99"/>
              </w:rPr>
              <w:t>WYNN</w:t>
            </w:r>
          </w:p>
        </w:tc>
        <w:tc>
          <w:tcPr>
            <w:tcW w:w="420" w:type="dxa"/>
            <w:vAlign w:val="bottom"/>
          </w:tcPr>
          <w:p>
            <w:pPr>
              <w:spacing w:after="0"/>
              <w:rPr>
                <w:sz w:val="21"/>
                <w:szCs w:val="21"/>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Nasdaq Global Select Market</w:t>
            </w:r>
          </w:p>
        </w:tc>
        <w:tc>
          <w:tcPr>
            <w:tcW w:w="940" w:type="dxa"/>
            <w:vAlign w:val="bottom"/>
          </w:tcPr>
          <w:p>
            <w:pPr>
              <w:spacing w:after="0"/>
              <w:rPr>
                <w:sz w:val="21"/>
                <w:szCs w:val="21"/>
                <w:color w:val="auto"/>
              </w:rPr>
            </w:pP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4"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2"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663575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190" w:lineRule="exact"/>
        <w:rPr>
          <w:sz w:val="20"/>
          <w:szCs w:val="20"/>
          <w:color w:val="auto"/>
        </w:rPr>
      </w:pPr>
    </w:p>
    <w:p>
      <w:pPr>
        <w:jc w:val="both"/>
        <w:ind w:firstLine="395"/>
        <w:spacing w:after="0" w:line="234" w:lineRule="auto"/>
        <w:rPr>
          <w:sz w:val="20"/>
          <w:szCs w:val="20"/>
          <w:color w:val="auto"/>
        </w:rPr>
      </w:pPr>
      <w:r>
        <w:rPr>
          <w:rFonts w:ascii="Times New Roman" w:cs="Times New Roman" w:eastAsia="Times New Roman" w:hAnsi="Times New Roman"/>
          <w:sz w:val="18"/>
          <w:szCs w:val="18"/>
          <w:color w:val="auto"/>
        </w:rPr>
        <w:t>On March 11, 2026, Wynn Resorts, Limited (the "Company") issued a press release offering an update on Wynn Al Marjan Island, an integrated resort under development in Ras Al Khaimah, in the United Arab Emirates. The Company has a 40% equity interest in Island 3 AMI FZ-LLC, an unconsolidated affiliate, which is constructing Wynn Al Marjan Island. A copy of the Company’s press release is attached as Exhibit 99.1 hereto and incorporated herein by reference.</w:t>
      </w:r>
    </w:p>
    <w:p>
      <w:pPr>
        <w:spacing w:after="0" w:line="206" w:lineRule="exact"/>
        <w:rPr>
          <w:sz w:val="20"/>
          <w:szCs w:val="20"/>
          <w:color w:val="auto"/>
        </w:rPr>
      </w:pPr>
    </w:p>
    <w:p>
      <w:pPr>
        <w:jc w:val="both"/>
        <w:ind w:firstLine="395"/>
        <w:spacing w:after="0" w:line="235" w:lineRule="auto"/>
        <w:rPr>
          <w:sz w:val="20"/>
          <w:szCs w:val="20"/>
          <w:color w:val="auto"/>
        </w:rPr>
      </w:pPr>
      <w:r>
        <w:rPr>
          <w:rFonts w:ascii="Times New Roman" w:cs="Times New Roman" w:eastAsia="Times New Roman" w:hAnsi="Times New Roman"/>
          <w:sz w:val="18"/>
          <w:szCs w:val="18"/>
          <w:color w:val="auto"/>
        </w:rPr>
        <w:t>The information furnished under this Item 8.01, including Exhibit 99.1 attached hereto, shall not be deemed “filed” for purposes of Section 18 of Securities Exchange Act of 1934, as amended, nor shall it be deemed incorporated by reference in any filing under the Securities Act of 1933, as amended, except as shall be expressly set forth by specific reference in such filing.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21"/>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6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3"/>
                <w:szCs w:val="23"/>
                <w:color w:val="auto"/>
              </w:rPr>
            </w:pPr>
          </w:p>
        </w:tc>
        <w:tc>
          <w:tcPr>
            <w:tcW w:w="2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Press Release, dated March 11, 2026.</w:t>
            </w:r>
          </w:p>
        </w:tc>
        <w:tc>
          <w:tcPr>
            <w:tcW w:w="7260" w:type="dxa"/>
            <w:vAlign w:val="bottom"/>
          </w:tcPr>
          <w:p>
            <w:pPr>
              <w:spacing w:after="0"/>
              <w:rPr>
                <w:sz w:val="23"/>
                <w:szCs w:val="23"/>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60" w:val="left"/>
          <w:tab w:leader="none" w:pos="7600" w:val="left"/>
        </w:tabs>
        <w:rPr>
          <w:sz w:val="20"/>
          <w:szCs w:val="20"/>
          <w:color w:val="auto"/>
        </w:rPr>
      </w:pPr>
      <w:r>
        <w:rPr>
          <w:rFonts w:ascii="Times New Roman" w:cs="Times New Roman" w:eastAsia="Times New Roman" w:hAnsi="Times New Roman"/>
          <w:sz w:val="18"/>
          <w:szCs w:val="18"/>
          <w:color w:val="auto"/>
        </w:rPr>
        <w:t>Dated: March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Jacqui Krum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13970</wp:posOffset>
            </wp:positionV>
            <wp:extent cx="244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Jacqui Krum</w:t>
      </w:r>
    </w:p>
    <w:p>
      <w:pPr>
        <w:spacing w:after="0" w:line="2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EVP and General Counsel</w:t>
      </w:r>
    </w:p>
    <w:p>
      <w:pPr>
        <w:sectPr>
          <w:pgSz w:w="11900" w:h="16838" w:orient="portrait"/>
          <w:cols w:equalWidth="0" w:num="1">
            <w:col w:w="11240"/>
          </w:cols>
          <w:pgMar w:left="320" w:top="86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ISSUES UPDATE ON WYNN AL MARJAN ISLAND</w:t>
      </w:r>
    </w:p>
    <w:p>
      <w:pPr>
        <w:spacing w:after="0" w:line="1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LAS VEGAS, March 11, 2026, 6:00 AM PT </w:t>
      </w:r>
      <w:r>
        <w:rPr>
          <w:rFonts w:ascii="Times New Roman" w:cs="Times New Roman" w:eastAsia="Times New Roman" w:hAnsi="Times New Roman"/>
          <w:sz w:val="18"/>
          <w:szCs w:val="18"/>
          <w:color w:val="auto"/>
        </w:rPr>
        <w:t>– Wynn Resorts, Limited (NASDAQ: WYNN) ("Wynn," "we" or the "Company") offered an update, current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time of issue, on Wynn Al Marjan Island, its resort under development in Ras Al Khaimah, in the United Arab Emirates (UAE).</w:t>
      </w:r>
    </w:p>
    <w:p>
      <w:pPr>
        <w:spacing w:after="0" w:line="1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continues to be in regular communication with the governments of the United States and Ras Al Khaimah, UAE, so that we can make informed decisions. The Company believes the broad defense posture of the UAE has worked extremely well, and we have confidence in the UAE’s ability to keep its population safe.</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note that for broad segments of the local population, business continues to follow normal patterns. Our project construction has resumed following a short pause. Steps have been taken to ensure the safety and security of all employees working on site.</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Wynn Design and Development team overseeing the construction, architecture, and design of project, and the resort executive team leading operational strategy and planning, have been able to continue their work in a consistent manner. Wynn employees have been offered the opportunity to work from abroad, if their home embassy recommends they do so.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closely monitor the situation; any additional impacts on the project will be assessed in due course.</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thanks its employees and the construction teams in the UAE for their truly remarkable commitment and professionalism during this extraordinary time.</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2026-03-11T08:14:12Z</dcterms:created>
  <dcterms:modified xsi:type="dcterms:W3CDTF">2026-03-11T08:14:12Z</dcterms:modified>
</cp:coreProperties>
</file>