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April 19, 2011</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580" w:type="dxa"/>
        <w:tblCellMar>
          <w:top w:w="0" w:type="dxa"/>
          <w:left w:w="0" w:type="dxa"/>
          <w:bottom w:w="0" w:type="dxa"/>
          <w:right w:w="0" w:type="dxa"/>
        </w:tblCellMar>
      </w:tblPr>
      <w:tr>
        <w:trPr>
          <w:trHeight w:val="236"/>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95"/>
        </w:trPr>
        <w:tc>
          <w:tcPr>
            <w:tcW w:w="3080" w:type="dxa"/>
            <w:vAlign w:val="bottom"/>
          </w:tcPr>
          <w:p>
            <w:pPr>
              <w:spacing w:after="0"/>
              <w:rPr>
                <w:sz w:val="24"/>
                <w:szCs w:val="24"/>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WYNN LAS VEGAS, LLC</w:t>
            </w:r>
          </w:p>
        </w:tc>
        <w:tc>
          <w:tcPr>
            <w:tcW w:w="3040" w:type="dxa"/>
            <w:vAlign w:val="bottom"/>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695"/>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4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89"/>
        </w:trPr>
        <w:tc>
          <w:tcPr>
            <w:tcW w:w="7340" w:type="dxa"/>
            <w:vAlign w:val="bottom"/>
            <w:gridSpan w:val="2"/>
          </w:tcPr>
          <w:p>
            <w:pPr>
              <w:jc w:val="center"/>
              <w:ind w:right="2681"/>
              <w:spacing w:after="0"/>
              <w:rPr>
                <w:sz w:val="20"/>
                <w:szCs w:val="20"/>
                <w:color w:val="auto"/>
              </w:rPr>
            </w:pPr>
            <w:r>
              <w:rPr>
                <w:rFonts w:ascii="Arial" w:cs="Arial" w:eastAsia="Arial" w:hAnsi="Arial"/>
                <w:sz w:val="20"/>
                <w:szCs w:val="20"/>
                <w:b w:val="1"/>
                <w:bCs w:val="1"/>
                <w:color w:val="auto"/>
                <w:w w:val="87"/>
              </w:rPr>
              <w:t>3131 Las Vegas Boulevard South</w:t>
            </w:r>
          </w:p>
        </w:tc>
        <w:tc>
          <w:tcPr>
            <w:tcW w:w="3040" w:type="dxa"/>
            <w:vAlign w:val="bottom"/>
          </w:tcPr>
          <w:p>
            <w:pPr>
              <w:spacing w:after="0"/>
              <w:rPr>
                <w:sz w:val="24"/>
                <w:szCs w:val="24"/>
                <w:color w:val="auto"/>
              </w:rPr>
            </w:pPr>
          </w:p>
        </w:tc>
      </w:tr>
      <w:tr>
        <w:trPr>
          <w:trHeight w:val="236"/>
        </w:trPr>
        <w:tc>
          <w:tcPr>
            <w:tcW w:w="3080" w:type="dxa"/>
            <w:vAlign w:val="bottom"/>
          </w:tcPr>
          <w:p>
            <w:pPr>
              <w:jc w:val="center"/>
              <w:ind w:left="136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jc w:val="right"/>
              <w:ind w:right="2041"/>
              <w:spacing w:after="0"/>
              <w:rPr>
                <w:sz w:val="20"/>
                <w:szCs w:val="20"/>
                <w:color w:val="auto"/>
              </w:rPr>
            </w:pPr>
            <w:r>
              <w:rPr>
                <w:rFonts w:ascii="Arial" w:cs="Arial" w:eastAsia="Arial" w:hAnsi="Arial"/>
                <w:sz w:val="20"/>
                <w:szCs w:val="20"/>
                <w:b w:val="1"/>
                <w:bCs w:val="1"/>
                <w:color w:val="auto"/>
              </w:rPr>
              <w:t>89109</w:t>
            </w:r>
          </w:p>
        </w:tc>
      </w:tr>
      <w:tr>
        <w:trPr>
          <w:trHeight w:val="250"/>
        </w:trPr>
        <w:tc>
          <w:tcPr>
            <w:tcW w:w="7340" w:type="dxa"/>
            <w:vAlign w:val="bottom"/>
            <w:gridSpan w:val="2"/>
          </w:tcPr>
          <w:p>
            <w:pPr>
              <w:jc w:val="center"/>
              <w:ind w:right="26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40" w:type="dxa"/>
            <w:vAlign w:val="bottom"/>
          </w:tcPr>
          <w:p>
            <w:pPr>
              <w:jc w:val="center"/>
              <w:ind w:right="166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April 19, 2011, Wynn Resorts, Limited issued a press release announcing its results of operations for the first quarter of 2011.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jc w:val="both"/>
        <w:ind w:right="100" w:firstLine="648"/>
        <w:spacing w:after="0" w:line="328" w:lineRule="auto"/>
        <w:rPr>
          <w:sz w:val="20"/>
          <w:szCs w:val="20"/>
          <w:color w:val="auto"/>
        </w:rPr>
      </w:pPr>
      <w:r>
        <w:rPr>
          <w:rFonts w:ascii="Arial" w:cs="Arial" w:eastAsia="Arial" w:hAnsi="Arial"/>
          <w:sz w:val="19"/>
          <w:szCs w:val="19"/>
          <w:color w:val="auto"/>
        </w:rPr>
        <w:t>On April 19, 2011, the Board of Directors of Wynn Resorts, Limited declared a quarterly cash dividend of $0.50 per share of its outstanding common stock. This cash dividend will be payable on May 17, 2011 to stockholders of record on May 3, 2011.</w:t>
      </w:r>
    </w:p>
    <w:p>
      <w:pPr>
        <w:spacing w:after="0" w:line="12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080" w:hanging="658"/>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color w:val="auto"/>
        </w:rPr>
        <w:t>Exhibit</w:t>
      </w:r>
    </w:p>
    <w:p>
      <w:pPr>
        <w:spacing w:after="0" w:line="8"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u w:val="single" w:color="auto"/>
          <w:color w:val="auto"/>
        </w:rPr>
        <w:t>Number</w:t>
      </w:r>
      <w:r>
        <w:rPr>
          <w:rFonts w:ascii="Arial" w:cs="Arial" w:eastAsia="Arial" w:hAnsi="Arial"/>
          <w:sz w:val="19"/>
          <w:szCs w:val="19"/>
          <w:u w:val="single" w:color="auto"/>
          <w:color w:val="auto"/>
        </w:rPr>
        <w:t>Description</w:t>
      </w:r>
    </w:p>
    <w:p>
      <w:pPr>
        <w:spacing w:after="0" w:line="188" w:lineRule="exact"/>
        <w:rPr>
          <w:sz w:val="20"/>
          <w:szCs w:val="20"/>
          <w:color w:val="auto"/>
        </w:rPr>
      </w:pPr>
    </w:p>
    <w:p>
      <w:pPr>
        <w:ind w:left="1080"/>
        <w:spacing w:after="0"/>
        <w:tabs>
          <w:tab w:leader="none" w:pos="25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April 19, 2011, of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19, 2011</w:t>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6" w:lineRule="exact"/>
        <w:rPr>
          <w:sz w:val="20"/>
          <w:szCs w:val="20"/>
          <w:color w:val="auto"/>
        </w:rPr>
      </w:pPr>
    </w:p>
    <w:tbl>
      <w:tblPr>
        <w:tblLayout w:type="fixed"/>
        <w:tblInd w:w="674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Kim Sinatra</w:t>
            </w:r>
          </w:p>
        </w:tc>
      </w:tr>
      <w:tr>
        <w:trPr>
          <w:trHeight w:val="206"/>
        </w:trPr>
        <w:tc>
          <w:tcPr>
            <w:tcW w:w="70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Kim Sinatra</w:t>
            </w:r>
          </w:p>
        </w:tc>
      </w:tr>
      <w:tr>
        <w:trPr>
          <w:trHeight w:val="230"/>
        </w:trPr>
        <w:tc>
          <w:tcPr>
            <w:tcW w:w="7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Senior Vice President, General Counsel and</w:t>
            </w:r>
          </w:p>
        </w:tc>
      </w:tr>
      <w:tr>
        <w:trPr>
          <w:trHeight w:val="250"/>
        </w:trPr>
        <w:tc>
          <w:tcPr>
            <w:tcW w:w="70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Secretary</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19, 2011</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tbl>
      <w:tblPr>
        <w:tblLayout w:type="fixed"/>
        <w:tblInd w:w="674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spacing w:after="0"/>
              <w:rPr>
                <w:sz w:val="20"/>
                <w:szCs w:val="20"/>
                <w:color w:val="auto"/>
              </w:rPr>
            </w:pPr>
            <w:r>
              <w:rPr>
                <w:rFonts w:ascii="Arial" w:cs="Arial" w:eastAsia="Arial" w:hAnsi="Arial"/>
                <w:sz w:val="20"/>
                <w:szCs w:val="20"/>
                <w:color w:val="auto"/>
                <w:w w:val="96"/>
              </w:rPr>
              <w:t>Wynn Resorts Holdings, LLC, its sole member</w:t>
            </w:r>
          </w:p>
        </w:tc>
      </w:tr>
      <w:tr>
        <w:trPr>
          <w:trHeight w:val="446"/>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Pr>
          <w:p>
            <w:pPr>
              <w:spacing w:after="0"/>
              <w:rPr>
                <w:sz w:val="20"/>
                <w:szCs w:val="20"/>
                <w:color w:val="auto"/>
              </w:rPr>
            </w:pPr>
            <w:r>
              <w:rPr>
                <w:rFonts w:ascii="Arial" w:cs="Arial" w:eastAsia="Arial" w:hAnsi="Arial"/>
                <w:sz w:val="20"/>
                <w:szCs w:val="20"/>
                <w:color w:val="auto"/>
              </w:rPr>
              <w:t>Wynn Resorts, Limited, its sole member</w:t>
            </w:r>
          </w:p>
        </w:tc>
      </w:tr>
      <w:tr>
        <w:trPr>
          <w:trHeight w:val="442"/>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Kim Sinatra</w:t>
            </w:r>
          </w:p>
        </w:tc>
      </w:tr>
      <w:tr>
        <w:trPr>
          <w:trHeight w:val="206"/>
        </w:trPr>
        <w:tc>
          <w:tcPr>
            <w:tcW w:w="700" w:type="dxa"/>
            <w:vAlign w:val="bottom"/>
          </w:tcPr>
          <w:p>
            <w:pPr>
              <w:spacing w:after="0"/>
              <w:rPr>
                <w:sz w:val="17"/>
                <w:szCs w:val="17"/>
                <w:color w:val="auto"/>
              </w:rPr>
            </w:pP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Kim Sinatra</w:t>
            </w:r>
          </w:p>
        </w:tc>
      </w:tr>
      <w:tr>
        <w:trPr>
          <w:trHeight w:val="230"/>
        </w:trPr>
        <w:tc>
          <w:tcPr>
            <w:tcW w:w="70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Senior Vice President,</w:t>
            </w:r>
          </w:p>
        </w:tc>
      </w:tr>
      <w:tr>
        <w:trPr>
          <w:trHeight w:val="250"/>
        </w:trPr>
        <w:tc>
          <w:tcPr>
            <w:tcW w:w="70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20"/>
                <w:szCs w:val="20"/>
                <w:color w:val="auto"/>
              </w:rPr>
              <w:t>General Counsel and Secretary</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First Quarter Results</w:t>
      </w:r>
    </w:p>
    <w:p>
      <w:pPr>
        <w:spacing w:after="0" w:line="2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April 19, 2011 (BUSINESS WIRE) -- Wynn Resorts, Limited (Nasdaq: WYNN) today reported financial results for the first quarter ended March 31, 2011.</w:t>
      </w:r>
    </w:p>
    <w:p>
      <w:pPr>
        <w:spacing w:after="0" w:line="22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Net revenues for the first quarter of 2011 were $1,260.3 million, compared to $908.9 million in the first quarter of 2010. The revenue increase was driven by a 46.6% increase in revenues at Wynn Macau and a 24.0% revenue increase from our Las Vegas operations. Adjusted property EBITDA(1) was $405.0 million for the first quarter of 2011, compared to $241.9 million in the first quarter of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 US GAAP (Generally Accepted Accounting Principles) basis, net income attributable to Wynn Resorts for the first quarter of 2011 was</w:t>
      </w:r>
    </w:p>
    <w:p>
      <w:pPr>
        <w:ind w:right="40"/>
        <w:spacing w:after="0" w:line="239" w:lineRule="auto"/>
        <w:rPr>
          <w:sz w:val="20"/>
          <w:szCs w:val="20"/>
          <w:color w:val="auto"/>
        </w:rPr>
      </w:pPr>
      <w:r>
        <w:rPr>
          <w:rFonts w:ascii="Arial" w:cs="Arial" w:eastAsia="Arial" w:hAnsi="Arial"/>
          <w:sz w:val="18"/>
          <w:szCs w:val="18"/>
          <w:color w:val="auto"/>
        </w:rPr>
        <w:t>$173.8 million, or $1.39 per diluted share, compared to a net income attributable to Wynn Resorts of $27.0 million, or $0.22 per diluted share in the first quarter of 2010. Adjusted net income attributable to Wynn Resorts in the first quarter of 2011 was $ 173.4 million, or $1.38 per diluted share (adjusted EPS)(2) compared to an adjusted net income attributable to Wynn Resorts of $33.8 million, or $0.27 per diluted share in the first quarter of 2010.</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Wynn Resorts also announced today that its Board of Directors has approved a cash dividend for the quarter of $0.50 per common share. This dividend will be payable on May 17, 2011 to stockholders of record on May 3,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First Quarter Results</w:t>
      </w:r>
    </w:p>
    <w:p>
      <w:pPr>
        <w:spacing w:after="0" w:line="26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the first quarter of 2011 net revenues were $865.7 million compared to $590.6 million in the first quarter of 2010. Adjusted property EBITDA in the first quarter of 2011 was $272.8 million, up 50.2% from $181.6 million in the first quarter of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39"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Table games turnover in the VIP segment was $29.3 billion for the first quarter of 2011, a 44.7% increase from $20.2 billion in the first quarter of 2010. VIP table games win as a percentage of turnover (calculated before discounts and commissions) for the quarter was 2.69%, slightly below the expected range of 2.7% to 3.0% and the 2.70% experienced in the first quarter of 2010.</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Table games drop in the mass market category was $682.5 million during the period, a 29.2% increase from $528.2 million in the first quarter of 2010. Mass market table games win percentage (calculated before discounts) of 27.9% was above our expected range of 21% to 23% and above the 22.2% generated in the 2010 quarter.</w:t>
      </w:r>
    </w:p>
    <w:p>
      <w:pPr>
        <w:spacing w:after="0" w:line="23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Slot machine handle increased 59.2% to $1.5 billion as compared to the prior year quarter. Win per unit per day was 78.1% higher at $803, compared to $451 in the first quarter of 2010.</w:t>
      </w:r>
    </w:p>
    <w:p>
      <w:pPr>
        <w:spacing w:after="0" w:line="22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Wynn Macau achieved an Average Daily Rate (ADR) of $307 for the first quarter of 2011, compared to $282 in the 2010 quarter. The 2011 results include the addition of 414 rooms and villas with the opening of Encore on April 21, 2010. The property’s occupancy was 88.6%, compared to 90.7% during the prior year period and revenue per available room (REVPAR) was $272 in the 2011 quarter, 6.3% above the $256 reported in the prior year quarter.</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non-casino revenues at Wynn Macau increased 50.2% during the quarter to $94.2 million, driven by strong performance from all non-casino segments. Room revenues increased 79.1% as a result of the addition of the Encore rooms and retail revenues were up 37.7% due to strong same-store sales growth and the addition of three new boutiques at Encore.</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Including Encore, we currently have 499 tables (263 VIP tables, 225 mass market tables and 11 poker tables) and 1,015 slot machines at Wynn Macau.</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First Quarter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ended March 31, 2011, net revenues for our Las Vegas operations were $394.6 million, which was 24.0% higher than in the first quarter of 2010. Adjusted property EBITDA of $ 132.1 million (with a 33.5% EBITDA margin on net revenue) was up 119.1% versus the $60.3 million generated in the comparable period in 2010.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Net casino revenues in the first quarter of 2011 were $194.2 million, up 39.2% from the first quarter of 2010. Table games drop was $634.0 million, compared to drop of $556.9 million in the 2010 quarter and table games win percentage of 30.4% was above the property’s expected range of 21% to 24% and the 23.2% reported in the 2010 quarter. Slot machine handle of $718.7 million was 6.6% above the comparable period of 2010, and net slot win was up 18.1%.</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$249.0 million, a 10.8% increase from the first quarter of 2010, driven by higher revenues across all non-gaming segments.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Room revenues were up 13.4% to $88.0 million during the quarter, versus $77.6 million in the first quarter of 2010. Average Daily Rate (ADR) was up 18.2% to $240 and occupancy of 87.9% was slightly below the 89.4% for the first quarter of 2010. During the quarter, we had 2.3% of our total rooms unavailable due to the remodel, which is expected to be completed in the second quarter of 2011.</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10.6% to $106.1 million in the quarter as we opened the new Surrender nightclub in May 2010. Retail revenues were $19.6 million in the quarter, 5.4% above last year’s levels. Entertainment revenues increased 13.7% to $20.7 million from the first quarter of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total cash balances at March 31, 2011 were $1.4 billion. Total debt outstanding at the end of the quarter was $3.2 billion, including $2.6 billion of Wynn Las Vegas debt and $551 million of Wynn Macau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Tuesday, April 19, 2011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2010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6"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 w:name="page7"/>
    <w:bookmarkEnd w:id="6"/>
    <w:p>
      <w:pPr>
        <w:jc w:val="both"/>
        <w:spacing w:after="0"/>
        <w:rPr>
          <w:sz w:val="20"/>
          <w:szCs w:val="20"/>
          <w:color w:val="auto"/>
        </w:rPr>
      </w:pPr>
      <w:r>
        <w:rPr>
          <w:rFonts w:ascii="Arial" w:cs="Arial" w:eastAsia="Arial" w:hAnsi="Arial"/>
          <w:sz w:val="18"/>
          <w:szCs w:val="18"/>
          <w:color w:val="auto"/>
        </w:rPr>
        <w:t>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30" w:lineRule="exact"/>
        <w:rPr>
          <w:sz w:val="20"/>
          <w:szCs w:val="20"/>
          <w:color w:val="auto"/>
        </w:rPr>
      </w:pPr>
    </w:p>
    <w:p>
      <w:pPr>
        <w:jc w:val="both"/>
        <w:ind w:firstLine="78"/>
        <w:spacing w:after="0" w:line="23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to adjusted net income attributable to Wynn Resorts, and (ii) operating income (loss) to adjusted property EBITDA and adjusted property EBITDA to net income attributable to Wynn Resorts.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Operating revenues: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Casino</w:t>
            </w:r>
          </w:p>
        </w:tc>
        <w:tc>
          <w:tcPr>
            <w:tcW w:w="3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1,006,305</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691,588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Rooms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115,381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92,907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Food and beverage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128,864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Entertainment, retail and other</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98,954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revenues</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1,349,504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979,116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Less: promotional allowances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(89,232)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revenues</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1,260,272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908,918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costs and expenses:</w:t>
            </w:r>
          </w:p>
        </w:tc>
        <w:tc>
          <w:tcPr>
            <w:tcW w:w="36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Casino</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624,355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Rooms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30,572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Food and beverage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65,997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Entertainment, retail and other</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56,275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87,661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Provision for doubtful accounts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Pre-opening costs</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101,347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104,565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Property charges and other</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420"/>
              <w:spacing w:after="0" w:line="202" w:lineRule="exact"/>
              <w:rPr>
                <w:sz w:val="20"/>
                <w:szCs w:val="20"/>
                <w:color w:val="auto"/>
              </w:rPr>
            </w:pPr>
            <w:r>
              <w:rPr>
                <w:rFonts w:ascii="Arial" w:cs="Arial" w:eastAsia="Arial" w:hAnsi="Arial"/>
                <w:sz w:val="18"/>
                <w:szCs w:val="18"/>
                <w:color w:val="auto"/>
              </w:rPr>
              <w:t>Total operating costs and expenses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979,716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794,070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280,556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36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(58,263)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(decrease) in swap fair value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ind w:left="420"/>
              <w:spacing w:after="0" w:line="196" w:lineRule="exact"/>
              <w:rPr>
                <w:sz w:val="20"/>
                <w:szCs w:val="20"/>
                <w:color w:val="auto"/>
              </w:rPr>
            </w:pPr>
            <w:r>
              <w:rPr>
                <w:rFonts w:ascii="Arial" w:cs="Arial" w:eastAsia="Arial" w:hAnsi="Arial"/>
                <w:sz w:val="18"/>
                <w:szCs w:val="18"/>
                <w:color w:val="auto"/>
              </w:rPr>
              <w:t>Other income (expense), net</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(52,115)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(51,920)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228,441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226,335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(52,531)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Wynn Resorts, Limited</w:t>
            </w:r>
          </w:p>
        </w:tc>
        <w:tc>
          <w:tcPr>
            <w:tcW w:w="3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173,804</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color w:val="auto"/>
              </w:rPr>
              <w:t>Basic and diluted income per common share:</w:t>
            </w:r>
          </w:p>
        </w:tc>
        <w:tc>
          <w:tcPr>
            <w:tcW w:w="36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line="202" w:lineRule="exact"/>
              <w:rPr>
                <w:sz w:val="20"/>
                <w:szCs w:val="20"/>
                <w:color w:val="auto"/>
              </w:rPr>
            </w:pPr>
            <w:r>
              <w:rPr>
                <w:rFonts w:ascii="Arial" w:cs="Arial" w:eastAsia="Arial" w:hAnsi="Arial"/>
                <w:sz w:val="18"/>
                <w:szCs w:val="18"/>
                <w:color w:val="auto"/>
              </w:rPr>
              <w:t>Basic</w:t>
            </w:r>
          </w:p>
        </w:tc>
        <w:tc>
          <w:tcPr>
            <w:tcW w:w="3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Diluted</w:t>
            </w:r>
          </w:p>
        </w:tc>
        <w:tc>
          <w:tcPr>
            <w:tcW w:w="3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123,757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122,411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125,371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122,982</w:t>
            </w: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80" w:type="dxa"/>
            <w:vAlign w:val="bottom"/>
          </w:tcPr>
          <w:p>
            <w:pPr>
              <w:jc w:val="right"/>
              <w:ind w:right="29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 TO ADJUSTED NET INCOME ATTRIBUTABLE TO WYNN RESORTS, LIMITED (amounts in thousands, except per share data) (unaudited)</w:t>
      </w:r>
    </w:p>
    <w:p>
      <w:pPr>
        <w:spacing w:after="0" w:line="200" w:lineRule="exact"/>
        <w:rPr>
          <w:sz w:val="20"/>
          <w:szCs w:val="20"/>
          <w:color w:val="auto"/>
        </w:rPr>
      </w:pPr>
    </w:p>
    <w:p>
      <w:pPr>
        <w:spacing w:after="0" w:line="2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1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173,804</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Pre-opening costs</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decrease in swap fair value</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Property charges and other</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 for noncontrolling interest</w:t>
            </w: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0" w:type="dxa"/>
            <w:vAlign w:val="bottom"/>
          </w:tcPr>
          <w:p>
            <w:pPr>
              <w:spacing w:after="0" w:line="196" w:lineRule="exact"/>
              <w:rPr>
                <w:sz w:val="20"/>
                <w:szCs w:val="20"/>
                <w:color w:val="auto"/>
              </w:rPr>
            </w:pPr>
            <w:r>
              <w:rPr>
                <w:rFonts w:ascii="Arial" w:cs="Arial" w:eastAsia="Arial" w:hAnsi="Arial"/>
                <w:sz w:val="18"/>
                <w:szCs w:val="18"/>
                <w:color w:val="auto"/>
              </w:rPr>
              <w:t>Adjusted net income atributable to Wynn Resorts, Limited(2)</w:t>
            </w:r>
          </w:p>
        </w:tc>
        <w:tc>
          <w:tcPr>
            <w:tcW w:w="16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173,358</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4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Adjusted net income attributable to Wynn Resorts, Limited per diluted share</w:t>
            </w:r>
          </w:p>
        </w:tc>
        <w:tc>
          <w:tcPr>
            <w:tcW w:w="164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8"/>
                <w:szCs w:val="18"/>
                <w:color w:val="auto"/>
              </w:rPr>
              <w:t>1.38</w:t>
            </w:r>
          </w:p>
        </w:tc>
        <w:tc>
          <w:tcPr>
            <w:tcW w:w="32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400" w:type="dxa"/>
            <w:vAlign w:val="bottom"/>
            <w:tcBorders>
              <w:top w:val="single" w:sz="8" w:color="CCEEFF"/>
            </w:tcBorders>
          </w:tcPr>
          <w:p>
            <w:pPr>
              <w:ind w:left="5640"/>
              <w:spacing w:after="0"/>
              <w:rPr>
                <w:sz w:val="20"/>
                <w:szCs w:val="20"/>
                <w:color w:val="auto"/>
              </w:rPr>
            </w:pPr>
            <w:r>
              <w:rPr>
                <w:rFonts w:ascii="Arial" w:cs="Arial" w:eastAsia="Arial" w:hAnsi="Arial"/>
                <w:sz w:val="18"/>
                <w:szCs w:val="18"/>
                <w:color w:val="auto"/>
              </w:rPr>
              <w:t>5</w:t>
            </w:r>
          </w:p>
        </w:tc>
        <w:tc>
          <w:tcPr>
            <w:tcW w:w="14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Wynn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Wynn</w:t>
            </w: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Corporate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Las Vegas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Macau, Ltd.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49,174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194,402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36,980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280,556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65,796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34,933</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101,347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Property charges and other</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1,318</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Management and royalty fees</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34,494</w:t>
            </w: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(40,422)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expense and other</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6,291</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2,865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1,393</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2,487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in income from unconsolidated affiliate</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900" w:type="dxa"/>
            <w:vAlign w:val="bottom"/>
          </w:tcPr>
          <w:p>
            <w:pPr>
              <w:spacing w:after="0" w:line="156" w:lineRule="exact"/>
              <w:rPr>
                <w:sz w:val="20"/>
                <w:szCs w:val="20"/>
                <w:color w:val="auto"/>
              </w:rPr>
            </w:pPr>
            <w:r>
              <w:rPr>
                <w:rFonts w:ascii="Arial" w:cs="Arial" w:eastAsia="Arial" w:hAnsi="Arial"/>
                <w:sz w:val="13"/>
                <w:szCs w:val="13"/>
                <w:b w:val="1"/>
                <w:bCs w:val="1"/>
                <w:color w:val="auto"/>
              </w:rPr>
              <w:t xml:space="preserve">Adjusted Property EBITDA </w:t>
            </w:r>
            <w:r>
              <w:rPr>
                <w:rFonts w:ascii="Arial" w:cs="Arial" w:eastAsia="Arial" w:hAnsi="Arial"/>
                <w:sz w:val="18"/>
                <w:szCs w:val="18"/>
                <w:b w:val="1"/>
                <w:bCs w:val="1"/>
                <w:color w:val="auto"/>
                <w:vertAlign w:val="superscript"/>
              </w:rPr>
              <w:t>(1)</w:t>
            </w:r>
          </w:p>
        </w:tc>
        <w:tc>
          <w:tcPr>
            <w:tcW w:w="1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132,127</w:t>
            </w: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272,831</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404,958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2010</w:t>
            </w: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Wynn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Wynn</w:t>
            </w: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Corporate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Las Vegas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Macau, Ltd.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24,315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114,848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Pre-opening costs</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1,932</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78,926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24,871</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104,565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Property charges and other</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463</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Management and royalty fees</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23,269</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Corporate expense and other</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6,453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4,794</w:t>
            </w: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Equity in income from unconsolidated affiliate</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 xml:space="preserve">Adjusted Property EBITDA </w:t>
            </w:r>
            <w:r>
              <w:rPr>
                <w:rFonts w:ascii="Arial" w:cs="Arial" w:eastAsia="Arial" w:hAnsi="Arial"/>
                <w:sz w:val="18"/>
                <w:szCs w:val="18"/>
                <w:b w:val="1"/>
                <w:bCs w:val="1"/>
                <w:color w:val="auto"/>
                <w:vertAlign w:val="superscript"/>
              </w:rPr>
              <w:t>(1)</w:t>
            </w:r>
          </w:p>
        </w:tc>
        <w:tc>
          <w:tcPr>
            <w:tcW w:w="13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60,305</w:t>
            </w:r>
          </w:p>
        </w:tc>
        <w:tc>
          <w:tcPr>
            <w:tcW w:w="2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181,590</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241,895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line="162" w:lineRule="exact"/>
              <w:rPr>
                <w:sz w:val="20"/>
                <w:szCs w:val="20"/>
                <w:color w:val="auto"/>
              </w:rPr>
            </w:pPr>
            <w:r>
              <w:rPr>
                <w:rFonts w:ascii="Arial" w:cs="Arial" w:eastAsia="Arial" w:hAnsi="Arial"/>
                <w:sz w:val="13"/>
                <w:szCs w:val="13"/>
                <w:b w:val="1"/>
                <w:bCs w:val="1"/>
                <w:color w:val="auto"/>
              </w:rPr>
              <w:t xml:space="preserve">Adjusted Property EBITDA </w:t>
            </w:r>
            <w:r>
              <w:rPr>
                <w:rFonts w:ascii="Arial" w:cs="Arial" w:eastAsia="Arial" w:hAnsi="Arial"/>
                <w:sz w:val="18"/>
                <w:szCs w:val="18"/>
                <w:b w:val="1"/>
                <w:bCs w:val="1"/>
                <w:color w:val="auto"/>
                <w:vertAlign w:val="superscript"/>
              </w:rPr>
              <w:t>(1)</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404,958</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241,895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Pre-opening costs</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(101,347)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(104,565)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Property charges and other</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(3,348)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 expenses and other</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(12,360)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(6,745)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(6,927)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income</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Interest expense, net of capitalized interest</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(58,263)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(49,261)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Increase (decrease) in swap fair value</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200"/>
              <w:spacing w:after="0"/>
              <w:rPr>
                <w:sz w:val="20"/>
                <w:szCs w:val="20"/>
                <w:color w:val="auto"/>
              </w:rPr>
            </w:pPr>
            <w:r>
              <w:rPr>
                <w:rFonts w:ascii="Arial" w:cs="Arial" w:eastAsia="Arial" w:hAnsi="Arial"/>
                <w:sz w:val="14"/>
                <w:szCs w:val="14"/>
                <w:color w:val="auto"/>
              </w:rPr>
              <w:t>Other</w:t>
            </w: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917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Provision for income taxes</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top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Net income</w:t>
            </w:r>
          </w:p>
        </w:tc>
        <w:tc>
          <w:tcPr>
            <w:tcW w:w="11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226,335</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57,859</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Net income attributable to noncontrolling interests</w:t>
            </w: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(52,531)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90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 attributable to Wynn Resorts, Limited</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173,804</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26,988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180"/>
        </w:trPr>
        <w:tc>
          <w:tcPr>
            <w:tcW w:w="6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70"/>
              <w:spacing w:after="0" w:line="180" w:lineRule="exact"/>
              <w:rPr>
                <w:sz w:val="20"/>
                <w:szCs w:val="20"/>
                <w:color w:val="auto"/>
              </w:rPr>
            </w:pPr>
            <w:r>
              <w:rPr>
                <w:rFonts w:ascii="Arial" w:cs="Arial" w:eastAsia="Arial" w:hAnsi="Arial"/>
                <w:sz w:val="18"/>
                <w:szCs w:val="18"/>
                <w:b w:val="1"/>
                <w:bCs w:val="1"/>
                <w:color w:val="auto"/>
              </w:rPr>
              <w:t>March 31,</w:t>
            </w: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70"/>
              <w:spacing w:after="0" w:line="180"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5"/>
                <w:szCs w:val="15"/>
                <w:color w:val="auto"/>
              </w:rPr>
            </w:pPr>
          </w:p>
        </w:tc>
      </w:tr>
      <w:tr>
        <w:trPr>
          <w:trHeight w:val="232"/>
        </w:trPr>
        <w:tc>
          <w:tcPr>
            <w:tcW w:w="6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Room Statistics for Las Vegas operations: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Occupancy %</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6160" w:type="dxa"/>
            <w:vAlign w:val="bottom"/>
            <w:shd w:val="clear" w:color="auto" w:fill="CCEEFF"/>
          </w:tcPr>
          <w:p>
            <w:pPr>
              <w:ind w:left="22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2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w:t>
            </w:r>
          </w:p>
        </w:tc>
      </w:tr>
      <w:tr>
        <w:trPr>
          <w:trHeight w:val="216"/>
        </w:trPr>
        <w:tc>
          <w:tcPr>
            <w:tcW w:w="6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Las Vegas operations: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9,544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6,459</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Table Win %</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61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Average number of table games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Average number of slot machines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2,597</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2,658</w:t>
            </w:r>
          </w:p>
        </w:tc>
      </w:tr>
      <w:tr>
        <w:trPr>
          <w:trHeight w:val="216"/>
        </w:trPr>
        <w:tc>
          <w:tcPr>
            <w:tcW w:w="6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Occupancy %</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w:t>
            </w:r>
          </w:p>
        </w:tc>
      </w:tr>
      <w:tr>
        <w:trPr>
          <w:trHeight w:val="203"/>
        </w:trPr>
        <w:tc>
          <w:tcPr>
            <w:tcW w:w="6160" w:type="dxa"/>
            <w:vAlign w:val="bottom"/>
            <w:shd w:val="clear" w:color="auto" w:fill="CCEEFF"/>
          </w:tcPr>
          <w:p>
            <w:pPr>
              <w:ind w:left="22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2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w:t>
            </w:r>
          </w:p>
        </w:tc>
      </w:tr>
      <w:tr>
        <w:trPr>
          <w:trHeight w:val="216"/>
        </w:trPr>
        <w:tc>
          <w:tcPr>
            <w:tcW w:w="6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23,255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18,767</w:t>
            </w:r>
          </w:p>
        </w:tc>
      </w:tr>
      <w:tr>
        <w:trPr>
          <w:trHeight w:val="203"/>
        </w:trPr>
        <w:tc>
          <w:tcPr>
            <w:tcW w:w="6160" w:type="dxa"/>
            <w:vAlign w:val="bottom"/>
            <w:shd w:val="clear" w:color="auto" w:fill="CCEEFF"/>
          </w:tcPr>
          <w:p>
            <w:pPr>
              <w:ind w:left="22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2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451</w:t>
            </w:r>
          </w:p>
        </w:tc>
      </w:tr>
      <w:tr>
        <w:trPr>
          <w:trHeight w:val="203"/>
        </w:trPr>
        <w:tc>
          <w:tcPr>
            <w:tcW w:w="6160" w:type="dxa"/>
            <w:vAlign w:val="bottom"/>
          </w:tcPr>
          <w:p>
            <w:pPr>
              <w:ind w:left="220"/>
              <w:spacing w:after="0" w:line="202" w:lineRule="exact"/>
              <w:rPr>
                <w:sz w:val="20"/>
                <w:szCs w:val="20"/>
                <w:color w:val="auto"/>
              </w:rPr>
            </w:pPr>
            <w:r>
              <w:rPr>
                <w:rFonts w:ascii="Arial" w:cs="Arial" w:eastAsia="Arial" w:hAnsi="Arial"/>
                <w:sz w:val="18"/>
                <w:szCs w:val="18"/>
                <w:color w:val="auto"/>
              </w:rPr>
              <w:t>Average number of table games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468</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w:t>
            </w:r>
          </w:p>
        </w:tc>
      </w:tr>
      <w:tr>
        <w:trPr>
          <w:trHeight w:val="203"/>
        </w:trPr>
        <w:tc>
          <w:tcPr>
            <w:tcW w:w="61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Average number of slot machines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1,175</w:t>
            </w:r>
          </w:p>
        </w:tc>
      </w:tr>
    </w:tbl>
    <w:p>
      <w:pPr>
        <w:spacing w:after="0" w:line="242"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calculated as gross slot win minus progressive accruals and free play.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2019-12-10T22:51:14Z</dcterms:created>
  <dcterms:modified xsi:type="dcterms:W3CDTF">2019-12-10T22:51:14Z</dcterms:modified>
</cp:coreProperties>
</file>