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0" w:lineRule="exact"/>
        <w:rPr>
          <w:sz w:val="24"/>
          <w:szCs w:val="24"/>
          <w:color w:val="auto"/>
        </w:rPr>
      </w:pPr>
    </w:p>
    <w:p>
      <w:pPr>
        <w:ind w:left="680" w:right="60" w:hanging="641"/>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680" w:right="4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16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820" w:type="dxa"/>
            <w:vAlign w:val="bottom"/>
          </w:tcPr>
          <w:p>
            <w:pPr>
              <w:spacing w:after="0"/>
              <w:rPr>
                <w:sz w:val="17"/>
                <w:szCs w:val="17"/>
                <w:color w:val="auto"/>
              </w:rPr>
            </w:pPr>
          </w:p>
        </w:tc>
        <w:tc>
          <w:tcPr>
            <w:tcW w:w="36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0"/>
        </w:trPr>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91"/>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00" w:type="dxa"/>
            <w:vAlign w:val="bottom"/>
            <w:gridSpan w:val="7"/>
          </w:tcPr>
          <w:p>
            <w:pPr>
              <w:jc w:val="center"/>
              <w:ind w:right="2848"/>
              <w:spacing w:after="0"/>
              <w:rPr>
                <w:sz w:val="20"/>
                <w:szCs w:val="20"/>
                <w:color w:val="auto"/>
              </w:rPr>
            </w:pPr>
            <w:r>
              <w:rPr>
                <w:rFonts w:ascii="Times New Roman" w:cs="Times New Roman" w:eastAsia="Times New Roman" w:hAnsi="Times New Roman"/>
                <w:sz w:val="18"/>
                <w:szCs w:val="18"/>
                <w:b w:val="1"/>
                <w:bCs w:val="1"/>
                <w:color w:val="auto"/>
              </w:rPr>
              <w:t>Commission File Number: 000-50028</w:t>
            </w:r>
          </w:p>
        </w:tc>
      </w:tr>
      <w:tr>
        <w:trPr>
          <w:trHeight w:val="135"/>
        </w:trPr>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40" w:type="dxa"/>
            <w:vAlign w:val="bottom"/>
          </w:tcPr>
          <w:p>
            <w:pPr>
              <w:spacing w:after="0"/>
              <w:rPr>
                <w:sz w:val="11"/>
                <w:szCs w:val="11"/>
                <w:color w:val="auto"/>
              </w:rPr>
            </w:pPr>
          </w:p>
        </w:tc>
      </w:tr>
      <w:tr>
        <w:trPr>
          <w:trHeight w:val="579"/>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9"/>
          </w:tcPr>
          <w:p>
            <w:pPr>
              <w:jc w:val="center"/>
              <w:ind w:right="1728"/>
              <w:spacing w:after="0"/>
              <w:rPr>
                <w:sz w:val="20"/>
                <w:szCs w:val="20"/>
                <w:color w:val="auto"/>
              </w:rPr>
            </w:pPr>
            <w:r>
              <w:rPr>
                <w:rFonts w:ascii="Times New Roman" w:cs="Times New Roman" w:eastAsia="Times New Roman" w:hAnsi="Times New Roman"/>
                <w:sz w:val="43"/>
                <w:szCs w:val="43"/>
                <w:b w:val="1"/>
                <w:bCs w:val="1"/>
                <w:color w:val="auto"/>
              </w:rPr>
              <w:t>WYNN RESORTS, LIMITED</w:t>
            </w:r>
          </w:p>
        </w:tc>
      </w:tr>
      <w:tr>
        <w:trPr>
          <w:trHeight w:val="238"/>
        </w:trPr>
        <w:tc>
          <w:tcPr>
            <w:tcW w:w="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780" w:type="dxa"/>
            <w:vAlign w:val="bottom"/>
            <w:gridSpan w:val="8"/>
          </w:tcPr>
          <w:p>
            <w:pPr>
              <w:jc w:val="center"/>
              <w:ind w:right="256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70"/>
        </w:trPr>
        <w:tc>
          <w:tcPr>
            <w:tcW w:w="8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540" w:type="dxa"/>
            <w:vAlign w:val="bottom"/>
            <w:gridSpan w:val="6"/>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600" w:type="dxa"/>
            <w:vAlign w:val="bottom"/>
            <w:gridSpan w:val="4"/>
          </w:tcPr>
          <w:p>
            <w:pPr>
              <w:jc w:val="center"/>
              <w:ind w:right="88"/>
              <w:spacing w:after="0"/>
              <w:rPr>
                <w:sz w:val="20"/>
                <w:szCs w:val="20"/>
                <w:color w:val="auto"/>
              </w:rPr>
            </w:pPr>
            <w:r>
              <w:rPr>
                <w:rFonts w:ascii="Times New Roman" w:cs="Times New Roman" w:eastAsia="Times New Roman" w:hAnsi="Times New Roman"/>
                <w:sz w:val="18"/>
                <w:szCs w:val="18"/>
                <w:b w:val="1"/>
                <w:bCs w:val="1"/>
                <w:color w:val="auto"/>
              </w:rPr>
              <w:t>46-0484987</w:t>
            </w:r>
          </w:p>
        </w:tc>
      </w:tr>
      <w:tr>
        <w:trPr>
          <w:trHeight w:val="148"/>
        </w:trPr>
        <w:tc>
          <w:tcPr>
            <w:tcW w:w="860" w:type="dxa"/>
            <w:vAlign w:val="bottom"/>
          </w:tcPr>
          <w:p>
            <w:pPr>
              <w:spacing w:after="0"/>
              <w:rPr>
                <w:sz w:val="12"/>
                <w:szCs w:val="12"/>
                <w:color w:val="auto"/>
              </w:rPr>
            </w:pPr>
          </w:p>
        </w:tc>
        <w:tc>
          <w:tcPr>
            <w:tcW w:w="5880" w:type="dxa"/>
            <w:vAlign w:val="bottom"/>
            <w:gridSpan w:val="7"/>
          </w:tcPr>
          <w:p>
            <w:pPr>
              <w:jc w:val="center"/>
              <w:ind w:right="204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40" w:type="dxa"/>
            <w:vAlign w:val="bottom"/>
          </w:tcPr>
          <w:p>
            <w:pPr>
              <w:jc w:val="center"/>
              <w:ind w:right="10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860" w:type="dxa"/>
            <w:vAlign w:val="bottom"/>
          </w:tcPr>
          <w:p>
            <w:pPr>
              <w:spacing w:after="0"/>
              <w:rPr>
                <w:sz w:val="16"/>
                <w:szCs w:val="16"/>
                <w:color w:val="auto"/>
              </w:rPr>
            </w:pPr>
          </w:p>
        </w:tc>
        <w:tc>
          <w:tcPr>
            <w:tcW w:w="5880" w:type="dxa"/>
            <w:vAlign w:val="bottom"/>
            <w:gridSpan w:val="7"/>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40" w:type="dxa"/>
            <w:vAlign w:val="bottom"/>
          </w:tcPr>
          <w:p>
            <w:pPr>
              <w:jc w:val="center"/>
              <w:ind w:right="10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9"/>
          </w:tcPr>
          <w:p>
            <w:pPr>
              <w:jc w:val="center"/>
              <w:ind w:right="1788"/>
              <w:spacing w:after="0"/>
              <w:rPr>
                <w:sz w:val="20"/>
                <w:szCs w:val="20"/>
                <w:color w:val="auto"/>
              </w:rPr>
            </w:pPr>
            <w:r>
              <w:rPr>
                <w:rFonts w:ascii="Times New Roman" w:cs="Times New Roman" w:eastAsia="Times New Roman" w:hAnsi="Times New Roman"/>
                <w:sz w:val="18"/>
                <w:szCs w:val="18"/>
                <w:b w:val="1"/>
                <w:bCs w:val="1"/>
                <w:color w:val="auto"/>
                <w:w w:val="99"/>
              </w:rPr>
              <w:t>3131 Las Vegas Boulevard South - Las Vegas, Nevada 89109</w:t>
            </w:r>
          </w:p>
        </w:tc>
      </w:tr>
      <w:tr>
        <w:trPr>
          <w:trHeight w:val="190"/>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00" w:type="dxa"/>
            <w:vAlign w:val="bottom"/>
            <w:gridSpan w:val="7"/>
          </w:tcPr>
          <w:p>
            <w:pPr>
              <w:jc w:val="center"/>
              <w:ind w:right="28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r>
      <w:tr>
        <w:trPr>
          <w:trHeight w:val="255"/>
        </w:trPr>
        <w:tc>
          <w:tcPr>
            <w:tcW w:w="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980" w:type="dxa"/>
            <w:vAlign w:val="bottom"/>
            <w:gridSpan w:val="5"/>
          </w:tcPr>
          <w:p>
            <w:pPr>
              <w:jc w:val="center"/>
              <w:ind w:left="1628"/>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40" w:type="dxa"/>
            <w:vAlign w:val="bottom"/>
          </w:tcPr>
          <w:p>
            <w:pPr>
              <w:spacing w:after="0"/>
              <w:rPr>
                <w:sz w:val="22"/>
                <w:szCs w:val="22"/>
                <w:color w:val="auto"/>
              </w:rPr>
            </w:pPr>
          </w:p>
        </w:tc>
      </w:tr>
      <w:tr>
        <w:trPr>
          <w:trHeight w:val="190"/>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00" w:type="dxa"/>
            <w:vAlign w:val="bottom"/>
            <w:gridSpan w:val="7"/>
          </w:tcPr>
          <w:p>
            <w:pPr>
              <w:jc w:val="center"/>
              <w:ind w:right="286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91"/>
        </w:trPr>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gridSpan w:val="2"/>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640" w:type="dxa"/>
            <w:vAlign w:val="bottom"/>
          </w:tcPr>
          <w:p>
            <w:pPr>
              <w:spacing w:after="0"/>
              <w:rPr>
                <w:sz w:val="7"/>
                <w:szCs w:val="7"/>
                <w:color w:val="auto"/>
              </w:rPr>
            </w:pPr>
          </w:p>
        </w:tc>
      </w:tr>
      <w:tr>
        <w:trPr>
          <w:trHeight w:val="279"/>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N/A</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90"/>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580" w:type="dxa"/>
            <w:vAlign w:val="bottom"/>
            <w:gridSpan w:val="9"/>
          </w:tcPr>
          <w:p>
            <w:pPr>
              <w:jc w:val="center"/>
              <w:ind w:right="1768"/>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r>
      <w:tr>
        <w:trPr>
          <w:trHeight w:val="455"/>
        </w:trPr>
        <w:tc>
          <w:tcPr>
            <w:tcW w:w="6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30"/>
        </w:trPr>
        <w:tc>
          <w:tcPr>
            <w:tcW w:w="860" w:type="dxa"/>
            <w:vAlign w:val="bottom"/>
          </w:tcPr>
          <w:p>
            <w:pPr>
              <w:spacing w:after="0"/>
              <w:rPr>
                <w:sz w:val="19"/>
                <w:szCs w:val="19"/>
                <w:color w:val="auto"/>
              </w:rPr>
            </w:pPr>
          </w:p>
        </w:tc>
        <w:tc>
          <w:tcPr>
            <w:tcW w:w="1900" w:type="dxa"/>
            <w:vAlign w:val="bottom"/>
            <w:gridSpan w:val="2"/>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00" w:type="dxa"/>
            <w:vAlign w:val="bottom"/>
            <w:gridSpan w:val="3"/>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80" w:type="dxa"/>
            <w:vAlign w:val="bottom"/>
          </w:tcPr>
          <w:p>
            <w:pPr>
              <w:spacing w:after="0"/>
              <w:rPr>
                <w:sz w:val="19"/>
                <w:szCs w:val="19"/>
                <w:color w:val="auto"/>
              </w:rPr>
            </w:pPr>
          </w:p>
        </w:tc>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40" w:type="dxa"/>
            <w:vAlign w:val="bottom"/>
            <w:gridSpan w:val="2"/>
            <w:shd w:val="clear" w:color="auto" w:fill="000000"/>
          </w:tcPr>
          <w:p>
            <w:pPr>
              <w:spacing w:after="0" w:line="20" w:lineRule="exact"/>
              <w:rPr>
                <w:sz w:val="1"/>
                <w:szCs w:val="1"/>
                <w:color w:val="auto"/>
              </w:rPr>
            </w:pPr>
          </w:p>
        </w:tc>
      </w:tr>
      <w:tr>
        <w:trPr>
          <w:trHeight w:val="263"/>
        </w:trPr>
        <w:tc>
          <w:tcPr>
            <w:tcW w:w="27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00" w:type="dxa"/>
            <w:vAlign w:val="bottom"/>
            <w:gridSpan w:val="3"/>
          </w:tcPr>
          <w:p>
            <w:pPr>
              <w:jc w:val="center"/>
              <w:ind w:right="1460"/>
              <w:spacing w:after="0"/>
              <w:rPr>
                <w:sz w:val="20"/>
                <w:szCs w:val="20"/>
                <w:color w:val="auto"/>
              </w:rPr>
            </w:pPr>
            <w:r>
              <w:rPr>
                <w:rFonts w:ascii="Times New Roman" w:cs="Times New Roman" w:eastAsia="Times New Roman" w:hAnsi="Times New Roman"/>
                <w:sz w:val="18"/>
                <w:szCs w:val="18"/>
                <w:color w:val="auto"/>
                <w:w w:val="99"/>
              </w:rPr>
              <w:t>WYNN</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w:t>
            </w:r>
          </w:p>
        </w:tc>
        <w:tc>
          <w:tcPr>
            <w:tcW w:w="20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Rule</w:t>
            </w:r>
          </w:p>
        </w:tc>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12b-2</w:t>
            </w:r>
          </w:p>
        </w:tc>
        <w:tc>
          <w:tcPr>
            <w:tcW w:w="1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w:t>
            </w:r>
          </w:p>
        </w:tc>
        <w:tc>
          <w:tcPr>
            <w:tcW w:w="9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w:t>
            </w:r>
          </w:p>
        </w:tc>
        <w:tc>
          <w:tcPr>
            <w:tcW w:w="2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Exchange</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1"/>
              </w:rPr>
              <w:t>Act.</w:t>
            </w:r>
          </w:p>
        </w:tc>
      </w:tr>
      <w:tr>
        <w:trPr>
          <w:trHeight w:val="243"/>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380" w:type="dxa"/>
            <w:vAlign w:val="bottom"/>
          </w:tcPr>
          <w:p>
            <w:pPr>
              <w:spacing w:after="0"/>
              <w:rPr>
                <w:sz w:val="21"/>
                <w:szCs w:val="21"/>
                <w:color w:val="auto"/>
              </w:rPr>
            </w:pPr>
          </w:p>
        </w:tc>
        <w:tc>
          <w:tcPr>
            <w:tcW w:w="20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8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43"/>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380" w:type="dxa"/>
            <w:vAlign w:val="bottom"/>
          </w:tcPr>
          <w:p>
            <w:pPr>
              <w:spacing w:after="0"/>
              <w:rPr>
                <w:sz w:val="21"/>
                <w:szCs w:val="21"/>
                <w:color w:val="auto"/>
              </w:rPr>
            </w:pPr>
          </w:p>
        </w:tc>
        <w:tc>
          <w:tcPr>
            <w:tcW w:w="20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8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8" w:lineRule="exact"/>
        <w:rPr>
          <w:sz w:val="24"/>
          <w:szCs w:val="24"/>
          <w:color w:val="auto"/>
        </w:rPr>
      </w:pPr>
    </w:p>
    <w:p>
      <w:pPr>
        <w:jc w:val="both"/>
        <w:ind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87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2520" w:type="dxa"/>
            <w:vAlign w:val="bottom"/>
            <w:gridSpan w:val="3"/>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r>
        <w:trPr>
          <w:trHeight w:val="234"/>
        </w:trPr>
        <w:tc>
          <w:tcPr>
            <w:tcW w:w="1124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tc>
      </w:tr>
      <w:tr>
        <w:trPr>
          <w:trHeight w:val="189"/>
        </w:trPr>
        <w:tc>
          <w:tcPr>
            <w:tcW w:w="1800" w:type="dxa"/>
            <w:vAlign w:val="bottom"/>
          </w:tcPr>
          <w:p>
            <w:pPr>
              <w:spacing w:after="0"/>
              <w:rPr>
                <w:sz w:val="16"/>
                <w:szCs w:val="16"/>
                <w:color w:val="auto"/>
              </w:rPr>
            </w:pPr>
          </w:p>
        </w:tc>
        <w:tc>
          <w:tcPr>
            <w:tcW w:w="6920" w:type="dxa"/>
            <w:vAlign w:val="bottom"/>
            <w:gridSpan w:val="2"/>
          </w:tcPr>
          <w:p>
            <w:pPr>
              <w:jc w:val="center"/>
              <w:ind w:right="660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5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Outstanding at October 30, 2026</w:t>
            </w:r>
          </w:p>
        </w:tc>
      </w:tr>
      <w:tr>
        <w:trPr>
          <w:trHeight w:val="20"/>
        </w:trPr>
        <w:tc>
          <w:tcPr>
            <w:tcW w:w="1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7"/>
        </w:trPr>
        <w:tc>
          <w:tcPr>
            <w:tcW w:w="8720" w:type="dxa"/>
            <w:vAlign w:val="bottom"/>
            <w:gridSpan w:val="3"/>
          </w:tcPr>
          <w:p>
            <w:pPr>
              <w:jc w:val="center"/>
              <w:ind w:right="482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2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102,551,611</w:t>
            </w:r>
          </w:p>
        </w:tc>
        <w:tc>
          <w:tcPr>
            <w:tcW w:w="420" w:type="dxa"/>
            <w:vAlign w:val="bottom"/>
          </w:tcPr>
          <w:p>
            <w:pPr>
              <w:spacing w:after="0"/>
              <w:rPr>
                <w:sz w:val="24"/>
                <w:szCs w:val="24"/>
                <w:color w:val="auto"/>
              </w:rPr>
            </w:pPr>
          </w:p>
        </w:tc>
      </w:tr>
      <w:tr>
        <w:trPr>
          <w:trHeight w:val="520"/>
        </w:trPr>
        <w:tc>
          <w:tcPr>
            <w:tcW w:w="1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0180" w:type="dxa"/>
            <w:vAlign w:val="bottom"/>
            <w:gridSpan w:val="16"/>
          </w:tcPr>
          <w:p>
            <w:pPr>
              <w:ind w:left="8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0000FF"/>
                <w:w w:val="94"/>
              </w:rPr>
              <w:t>Item 1.</w:t>
            </w:r>
          </w:p>
        </w:tc>
        <w:tc>
          <w:tcPr>
            <w:tcW w:w="10180" w:type="dxa"/>
            <w:vAlign w:val="bottom"/>
            <w:gridSpan w:val="16"/>
          </w:tcPr>
          <w:p>
            <w:pPr>
              <w:ind w:left="800"/>
              <w:spacing w:after="0" w:line="202" w:lineRule="exact"/>
              <w:rPr>
                <w:sz w:val="20"/>
                <w:szCs w:val="20"/>
                <w:color w:val="auto"/>
              </w:rPr>
            </w:pPr>
            <w:r>
              <w:rPr>
                <w:rFonts w:ascii="Times New Roman" w:cs="Times New Roman" w:eastAsia="Times New Roman" w:hAnsi="Times New Roman"/>
                <w:sz w:val="18"/>
                <w:szCs w:val="18"/>
                <w:color w:val="0000FF"/>
              </w:rPr>
              <w:t>Financial Statements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Balance Sheets - September 30, 2026 (unaudited) and December 31, 2025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 - Three and Nine Months Ended September 30, 2026</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and 2025</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 - Three and Nine Months Ended</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September 30, 2026 and 2025</w:t>
            </w:r>
          </w:p>
        </w:tc>
        <w:tc>
          <w:tcPr>
            <w:tcW w:w="5660" w:type="dxa"/>
            <w:vAlign w:val="bottom"/>
            <w:tcBorders>
              <w:top w:val="single" w:sz="8" w:color="0000FF"/>
            </w:tcBorders>
            <w:gridSpan w:val="5"/>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 (unaudited) - Three and Nine Months Ended September</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8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30, 2026 and 2025</w:t>
            </w:r>
          </w:p>
        </w:tc>
        <w:tc>
          <w:tcPr>
            <w:tcW w:w="58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 Nine Months Ended September 30, 2026 and 2025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3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680" w:type="dxa"/>
            <w:vAlign w:val="bottom"/>
            <w:gridSpan w:val="3"/>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2.</w:t>
            </w:r>
          </w:p>
        </w:tc>
        <w:tc>
          <w:tcPr>
            <w:tcW w:w="10180" w:type="dxa"/>
            <w:vAlign w:val="bottom"/>
            <w:gridSpan w:val="16"/>
          </w:tcPr>
          <w:p>
            <w:pPr>
              <w:ind w:left="80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3.</w:t>
            </w:r>
          </w:p>
        </w:tc>
        <w:tc>
          <w:tcPr>
            <w:tcW w:w="10180" w:type="dxa"/>
            <w:vAlign w:val="bottom"/>
            <w:gridSpan w:val="16"/>
          </w:tcPr>
          <w:p>
            <w:pPr>
              <w:ind w:left="80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4.</w:t>
            </w:r>
          </w:p>
        </w:tc>
        <w:tc>
          <w:tcPr>
            <w:tcW w:w="10180" w:type="dxa"/>
            <w:vAlign w:val="bottom"/>
            <w:gridSpan w:val="16"/>
          </w:tcPr>
          <w:p>
            <w:pPr>
              <w:ind w:left="80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80" w:type="dxa"/>
            <w:vAlign w:val="bottom"/>
          </w:tcPr>
          <w:p>
            <w:pPr>
              <w:spacing w:after="0"/>
              <w:rPr>
                <w:sz w:val="20"/>
                <w:szCs w:val="20"/>
                <w:color w:val="auto"/>
              </w:rPr>
            </w:pPr>
          </w:p>
        </w:tc>
      </w:tr>
      <w:tr>
        <w:trPr>
          <w:trHeight w:val="202"/>
        </w:trPr>
        <w:tc>
          <w:tcPr>
            <w:tcW w:w="320" w:type="dxa"/>
            <w:vAlign w:val="bottom"/>
          </w:tcPr>
          <w:p>
            <w:pPr>
              <w:spacing w:after="0"/>
              <w:rPr>
                <w:sz w:val="17"/>
                <w:szCs w:val="17"/>
                <w:color w:val="auto"/>
              </w:rPr>
            </w:pPr>
          </w:p>
        </w:tc>
        <w:tc>
          <w:tcPr>
            <w:tcW w:w="5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0000FF"/>
                <w:w w:val="94"/>
              </w:rPr>
              <w:t>Item 1.</w:t>
            </w:r>
          </w:p>
        </w:tc>
        <w:tc>
          <w:tcPr>
            <w:tcW w:w="180" w:type="dxa"/>
            <w:vAlign w:val="bottom"/>
            <w:gridSpan w:val="2"/>
          </w:tcPr>
          <w:p>
            <w:pPr>
              <w:spacing w:after="0"/>
              <w:rPr>
                <w:sz w:val="17"/>
                <w:szCs w:val="17"/>
                <w:color w:val="auto"/>
              </w:rPr>
            </w:pPr>
          </w:p>
        </w:tc>
        <w:tc>
          <w:tcPr>
            <w:tcW w:w="10000" w:type="dxa"/>
            <w:vAlign w:val="bottom"/>
            <w:gridSpan w:val="8"/>
          </w:tcPr>
          <w:p>
            <w:pPr>
              <w:ind w:left="620"/>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0000FF"/>
                <w:w w:val="88"/>
              </w:rPr>
              <w:t>52</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Item 1A.</w:t>
            </w: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r>
      <w:tr>
        <w:trPr>
          <w:trHeight w:val="20"/>
        </w:trPr>
        <w:tc>
          <w:tcPr>
            <w:tcW w:w="3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3.</w:t>
            </w:r>
          </w:p>
        </w:tc>
        <w:tc>
          <w:tcPr>
            <w:tcW w:w="180" w:type="dxa"/>
            <w:vAlign w:val="bottom"/>
            <w:gridSpan w:val="2"/>
          </w:tcPr>
          <w:p>
            <w:pPr>
              <w:spacing w:after="0"/>
              <w:rPr>
                <w:sz w:val="19"/>
                <w:szCs w:val="19"/>
                <w:color w:val="auto"/>
              </w:rPr>
            </w:pP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Default Upon Senior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r>
      <w:tr>
        <w:trPr>
          <w:trHeight w:val="20"/>
        </w:trPr>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1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4.</w:t>
            </w:r>
          </w:p>
        </w:tc>
        <w:tc>
          <w:tcPr>
            <w:tcW w:w="180" w:type="dxa"/>
            <w:vAlign w:val="bottom"/>
            <w:gridSpan w:val="2"/>
          </w:tcPr>
          <w:p>
            <w:pPr>
              <w:spacing w:after="0"/>
              <w:rPr>
                <w:sz w:val="19"/>
                <w:szCs w:val="19"/>
                <w:color w:val="auto"/>
              </w:rPr>
            </w:pP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5.</w:t>
            </w:r>
          </w:p>
        </w:tc>
        <w:tc>
          <w:tcPr>
            <w:tcW w:w="180" w:type="dxa"/>
            <w:vAlign w:val="bottom"/>
            <w:gridSpan w:val="2"/>
          </w:tcPr>
          <w:p>
            <w:pPr>
              <w:spacing w:after="0"/>
              <w:rPr>
                <w:sz w:val="19"/>
                <w:szCs w:val="19"/>
                <w:color w:val="auto"/>
              </w:rPr>
            </w:pP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60" w:type="dxa"/>
            <w:vAlign w:val="bottom"/>
            <w:gridSpan w:val="4"/>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4"/>
              </w:rPr>
              <w:t>Item 6.</w:t>
            </w:r>
          </w:p>
        </w:tc>
        <w:tc>
          <w:tcPr>
            <w:tcW w:w="180" w:type="dxa"/>
            <w:vAlign w:val="bottom"/>
            <w:gridSpan w:val="2"/>
          </w:tcPr>
          <w:p>
            <w:pPr>
              <w:spacing w:after="0"/>
              <w:rPr>
                <w:sz w:val="19"/>
                <w:szCs w:val="19"/>
                <w:color w:val="auto"/>
              </w:rPr>
            </w:pPr>
          </w:p>
        </w:tc>
        <w:tc>
          <w:tcPr>
            <w:tcW w:w="1000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70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5"/>
              </w:rPr>
              <w:t>Signature</w:t>
            </w: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44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1,642,156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1,463,442</w:t>
            </w:r>
          </w:p>
        </w:tc>
        <w:tc>
          <w:tcPr>
            <w:tcW w:w="0" w:type="dxa"/>
            <w:vAlign w:val="bottom"/>
          </w:tcPr>
          <w:p>
            <w:pPr>
              <w:spacing w:after="0"/>
              <w:rPr>
                <w:sz w:val="1"/>
                <w:szCs w:val="1"/>
                <w:color w:val="auto"/>
              </w:rPr>
            </w:pPr>
          </w:p>
        </w:tc>
      </w:tr>
      <w:tr>
        <w:trPr>
          <w:trHeight w:val="220"/>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Investments</w:t>
            </w:r>
          </w:p>
        </w:tc>
        <w:tc>
          <w:tcPr>
            <w:tcW w:w="140" w:type="dxa"/>
            <w:vAlign w:val="bottom"/>
          </w:tcPr>
          <w:p>
            <w:pPr>
              <w:spacing w:after="0"/>
              <w:rPr>
                <w:sz w:val="19"/>
                <w:szCs w:val="19"/>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150,202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601,756</w:t>
            </w:r>
          </w:p>
        </w:tc>
        <w:tc>
          <w:tcPr>
            <w:tcW w:w="0" w:type="dxa"/>
            <w:vAlign w:val="bottom"/>
          </w:tcPr>
          <w:p>
            <w:pPr>
              <w:spacing w:after="0"/>
              <w:rPr>
                <w:sz w:val="1"/>
                <w:szCs w:val="1"/>
                <w:color w:val="auto"/>
              </w:rPr>
            </w:pPr>
          </w:p>
        </w:tc>
      </w:tr>
      <w:tr>
        <w:trPr>
          <w:trHeight w:val="23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$59,928 and $45,645, respectively</w:t>
            </w: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382,925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402,641</w:t>
            </w:r>
          </w:p>
        </w:tc>
        <w:tc>
          <w:tcPr>
            <w:tcW w:w="0" w:type="dxa"/>
            <w:vAlign w:val="bottom"/>
          </w:tcPr>
          <w:p>
            <w:pPr>
              <w:spacing w:after="0"/>
              <w:rPr>
                <w:sz w:val="1"/>
                <w:szCs w:val="1"/>
                <w:color w:val="auto"/>
              </w:rPr>
            </w:pPr>
          </w:p>
        </w:tc>
      </w:tr>
      <w:tr>
        <w:trPr>
          <w:trHeight w:val="220"/>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tcPr>
          <w:p>
            <w:pPr>
              <w:spacing w:after="0"/>
              <w:rPr>
                <w:sz w:val="19"/>
                <w:szCs w:val="19"/>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92,088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88,478</w:t>
            </w:r>
          </w:p>
        </w:tc>
        <w:tc>
          <w:tcPr>
            <w:tcW w:w="0" w:type="dxa"/>
            <w:vAlign w:val="bottom"/>
          </w:tcPr>
          <w:p>
            <w:pPr>
              <w:spacing w:after="0"/>
              <w:rPr>
                <w:sz w:val="1"/>
                <w:szCs w:val="1"/>
                <w:color w:val="auto"/>
              </w:rPr>
            </w:pPr>
          </w:p>
        </w:tc>
      </w:tr>
      <w:tr>
        <w:trPr>
          <w:trHeight w:val="23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137,362</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127,204</w:t>
            </w:r>
          </w:p>
        </w:tc>
        <w:tc>
          <w:tcPr>
            <w:tcW w:w="0" w:type="dxa"/>
            <w:vAlign w:val="bottom"/>
          </w:tcPr>
          <w:p>
            <w:pPr>
              <w:spacing w:after="0"/>
              <w:rPr>
                <w:sz w:val="1"/>
                <w:szCs w:val="1"/>
                <w:color w:val="auto"/>
              </w:rPr>
            </w:pPr>
          </w:p>
        </w:tc>
      </w:tr>
      <w:tr>
        <w:trPr>
          <w:trHeight w:val="213"/>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4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2,404,733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2,683,521</w:t>
            </w:r>
          </w:p>
        </w:tc>
        <w:tc>
          <w:tcPr>
            <w:tcW w:w="0" w:type="dxa"/>
            <w:vAlign w:val="bottom"/>
          </w:tcPr>
          <w:p>
            <w:pPr>
              <w:spacing w:after="0"/>
              <w:rPr>
                <w:sz w:val="1"/>
                <w:szCs w:val="1"/>
                <w:color w:val="auto"/>
              </w:rPr>
            </w:pPr>
          </w:p>
        </w:tc>
      </w:tr>
      <w:tr>
        <w:trPr>
          <w:trHeight w:val="23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6,684,076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6,625,922</w:t>
            </w:r>
          </w:p>
        </w:tc>
        <w:tc>
          <w:tcPr>
            <w:tcW w:w="0" w:type="dxa"/>
            <w:vAlign w:val="bottom"/>
          </w:tcPr>
          <w:p>
            <w:pPr>
              <w:spacing w:after="0"/>
              <w:rPr>
                <w:sz w:val="1"/>
                <w:szCs w:val="1"/>
                <w:color w:val="auto"/>
              </w:rPr>
            </w:pPr>
          </w:p>
        </w:tc>
      </w:tr>
      <w:tr>
        <w:trPr>
          <w:trHeight w:val="22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140" w:type="dxa"/>
            <w:vAlign w:val="bottom"/>
          </w:tcPr>
          <w:p>
            <w:pPr>
              <w:spacing w:after="0"/>
              <w:rPr>
                <w:sz w:val="19"/>
                <w:szCs w:val="19"/>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55,791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67,594</w:t>
            </w:r>
          </w:p>
        </w:tc>
        <w:tc>
          <w:tcPr>
            <w:tcW w:w="0" w:type="dxa"/>
            <w:vAlign w:val="bottom"/>
          </w:tcPr>
          <w:p>
            <w:pPr>
              <w:spacing w:after="0"/>
              <w:rPr>
                <w:sz w:val="1"/>
                <w:szCs w:val="1"/>
                <w:color w:val="auto"/>
              </w:rPr>
            </w:pPr>
          </w:p>
        </w:tc>
      </w:tr>
      <w:tr>
        <w:trPr>
          <w:trHeight w:val="23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95,401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96,653</w:t>
            </w:r>
          </w:p>
        </w:tc>
        <w:tc>
          <w:tcPr>
            <w:tcW w:w="0" w:type="dxa"/>
            <w:vAlign w:val="bottom"/>
          </w:tcPr>
          <w:p>
            <w:pPr>
              <w:spacing w:after="0"/>
              <w:rPr>
                <w:sz w:val="1"/>
                <w:szCs w:val="1"/>
                <w:color w:val="auto"/>
              </w:rPr>
            </w:pPr>
          </w:p>
        </w:tc>
      </w:tr>
      <w:tr>
        <w:trPr>
          <w:trHeight w:val="22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tcPr>
          <w:p>
            <w:pPr>
              <w:spacing w:after="0"/>
              <w:rPr>
                <w:sz w:val="19"/>
                <w:szCs w:val="19"/>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200,720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224,242</w:t>
            </w:r>
          </w:p>
        </w:tc>
        <w:tc>
          <w:tcPr>
            <w:tcW w:w="0" w:type="dxa"/>
            <w:vAlign w:val="bottom"/>
          </w:tcPr>
          <w:p>
            <w:pPr>
              <w:spacing w:after="0"/>
              <w:rPr>
                <w:sz w:val="1"/>
                <w:szCs w:val="1"/>
                <w:color w:val="auto"/>
              </w:rPr>
            </w:pPr>
          </w:p>
        </w:tc>
      </w:tr>
      <w:tr>
        <w:trPr>
          <w:trHeight w:val="23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1,834,813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1,778,052</w:t>
            </w:r>
          </w:p>
        </w:tc>
        <w:tc>
          <w:tcPr>
            <w:tcW w:w="0" w:type="dxa"/>
            <w:vAlign w:val="bottom"/>
          </w:tcPr>
          <w:p>
            <w:pPr>
              <w:spacing w:after="0"/>
              <w:rPr>
                <w:sz w:val="1"/>
                <w:szCs w:val="1"/>
                <w:color w:val="auto"/>
              </w:rPr>
            </w:pPr>
          </w:p>
        </w:tc>
      </w:tr>
      <w:tr>
        <w:trPr>
          <w:trHeight w:val="22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40" w:type="dxa"/>
            <w:vAlign w:val="bottom"/>
          </w:tcPr>
          <w:p>
            <w:pPr>
              <w:spacing w:after="0"/>
              <w:rPr>
                <w:sz w:val="19"/>
                <w:szCs w:val="19"/>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386,975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409,070</w:t>
            </w:r>
          </w:p>
        </w:tc>
        <w:tc>
          <w:tcPr>
            <w:tcW w:w="0" w:type="dxa"/>
            <w:vAlign w:val="bottom"/>
          </w:tcPr>
          <w:p>
            <w:pPr>
              <w:spacing w:after="0"/>
              <w:rPr>
                <w:sz w:val="1"/>
                <w:szCs w:val="1"/>
                <w:color w:val="auto"/>
              </w:rPr>
            </w:pPr>
          </w:p>
        </w:tc>
      </w:tr>
      <w:tr>
        <w:trPr>
          <w:trHeight w:val="23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1,199,519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948,156</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257,685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274,907</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13,119,713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13,108,117</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and construction payables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267,306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255,307</w:t>
            </w:r>
          </w:p>
        </w:tc>
        <w:tc>
          <w:tcPr>
            <w:tcW w:w="0" w:type="dxa"/>
            <w:vAlign w:val="bottom"/>
          </w:tcPr>
          <w:p>
            <w:pPr>
              <w:spacing w:after="0"/>
              <w:rPr>
                <w:sz w:val="1"/>
                <w:szCs w:val="1"/>
                <w:color w:val="auto"/>
              </w:rPr>
            </w:pPr>
          </w:p>
        </w:tc>
      </w:tr>
      <w:tr>
        <w:trPr>
          <w:trHeight w:val="23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Customer deposits</w:t>
            </w: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527,975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569,603</w:t>
            </w:r>
          </w:p>
        </w:tc>
        <w:tc>
          <w:tcPr>
            <w:tcW w:w="0" w:type="dxa"/>
            <w:vAlign w:val="bottom"/>
          </w:tcPr>
          <w:p>
            <w:pPr>
              <w:spacing w:after="0"/>
              <w:rPr>
                <w:sz w:val="1"/>
                <w:szCs w:val="1"/>
                <w:color w:val="auto"/>
              </w:rPr>
            </w:pPr>
          </w:p>
        </w:tc>
      </w:tr>
      <w:tr>
        <w:trPr>
          <w:trHeight w:val="220"/>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Gaming taxes payable</w:t>
            </w:r>
          </w:p>
        </w:tc>
        <w:tc>
          <w:tcPr>
            <w:tcW w:w="140" w:type="dxa"/>
            <w:vAlign w:val="bottom"/>
          </w:tcPr>
          <w:p>
            <w:pPr>
              <w:spacing w:after="0"/>
              <w:rPr>
                <w:sz w:val="19"/>
                <w:szCs w:val="19"/>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161,383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215,581</w:t>
            </w:r>
          </w:p>
        </w:tc>
        <w:tc>
          <w:tcPr>
            <w:tcW w:w="0" w:type="dxa"/>
            <w:vAlign w:val="bottom"/>
          </w:tcPr>
          <w:p>
            <w:pPr>
              <w:spacing w:after="0"/>
              <w:rPr>
                <w:sz w:val="1"/>
                <w:szCs w:val="1"/>
                <w:color w:val="auto"/>
              </w:rPr>
            </w:pPr>
          </w:p>
        </w:tc>
      </w:tr>
      <w:tr>
        <w:trPr>
          <w:trHeight w:val="23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210,294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245,550</w:t>
            </w:r>
          </w:p>
        </w:tc>
        <w:tc>
          <w:tcPr>
            <w:tcW w:w="0" w:type="dxa"/>
            <w:vAlign w:val="bottom"/>
          </w:tcPr>
          <w:p>
            <w:pPr>
              <w:spacing w:after="0"/>
              <w:rPr>
                <w:sz w:val="1"/>
                <w:szCs w:val="1"/>
                <w:color w:val="auto"/>
              </w:rPr>
            </w:pPr>
          </w:p>
        </w:tc>
      </w:tr>
      <w:tr>
        <w:trPr>
          <w:trHeight w:val="220"/>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interest</w:t>
            </w:r>
          </w:p>
        </w:tc>
        <w:tc>
          <w:tcPr>
            <w:tcW w:w="140" w:type="dxa"/>
            <w:vAlign w:val="bottom"/>
          </w:tcPr>
          <w:p>
            <w:pPr>
              <w:spacing w:after="0"/>
              <w:rPr>
                <w:sz w:val="19"/>
                <w:szCs w:val="19"/>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89,229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132,772</w:t>
            </w:r>
          </w:p>
        </w:tc>
        <w:tc>
          <w:tcPr>
            <w:tcW w:w="0" w:type="dxa"/>
            <w:vAlign w:val="bottom"/>
          </w:tcPr>
          <w:p>
            <w:pPr>
              <w:spacing w:after="0"/>
              <w:rPr>
                <w:sz w:val="1"/>
                <w:szCs w:val="1"/>
                <w:color w:val="auto"/>
              </w:rPr>
            </w:pPr>
          </w:p>
        </w:tc>
      </w:tr>
      <w:tr>
        <w:trPr>
          <w:trHeight w:val="23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1,159,665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9,410</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240,770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214,955</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2,656,622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1,643,178</w:t>
            </w:r>
          </w:p>
        </w:tc>
        <w:tc>
          <w:tcPr>
            <w:tcW w:w="0" w:type="dxa"/>
            <w:vAlign w:val="bottom"/>
          </w:tcPr>
          <w:p>
            <w:pPr>
              <w:spacing w:after="0"/>
              <w:rPr>
                <w:sz w:val="1"/>
                <w:szCs w:val="1"/>
                <w:color w:val="auto"/>
              </w:rPr>
            </w:pPr>
          </w:p>
        </w:tc>
      </w:tr>
      <w:tr>
        <w:trPr>
          <w:trHeight w:val="22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40" w:type="dxa"/>
            <w:vAlign w:val="bottom"/>
          </w:tcPr>
          <w:p>
            <w:pPr>
              <w:spacing w:after="0"/>
              <w:rPr>
                <w:sz w:val="19"/>
                <w:szCs w:val="19"/>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9,574,564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10,537,402</w:t>
            </w:r>
          </w:p>
        </w:tc>
        <w:tc>
          <w:tcPr>
            <w:tcW w:w="0" w:type="dxa"/>
            <w:vAlign w:val="bottom"/>
          </w:tcPr>
          <w:p>
            <w:pPr>
              <w:spacing w:after="0"/>
              <w:rPr>
                <w:sz w:val="1"/>
                <w:szCs w:val="1"/>
                <w:color w:val="auto"/>
              </w:rPr>
            </w:pPr>
          </w:p>
        </w:tc>
      </w:tr>
      <w:tr>
        <w:trPr>
          <w:trHeight w:val="23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1,621,285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1,629,117</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252,280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329,699</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14,104,751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14,139,396</w:t>
            </w:r>
          </w:p>
        </w:tc>
        <w:tc>
          <w:tcPr>
            <w:tcW w:w="0" w:type="dxa"/>
            <w:vAlign w:val="bottom"/>
          </w:tcPr>
          <w:p>
            <w:pPr>
              <w:spacing w:after="0"/>
              <w:rPr>
                <w:sz w:val="1"/>
                <w:szCs w:val="1"/>
                <w:color w:val="auto"/>
              </w:rPr>
            </w:pPr>
          </w:p>
        </w:tc>
      </w:tr>
      <w:tr>
        <w:trPr>
          <w:trHeight w:val="22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15)</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Preferred stock, par value $0.01; 40,000,000 shares authorized; zero shares issued and outstanding</w:t>
            </w:r>
          </w:p>
        </w:tc>
        <w:tc>
          <w:tcPr>
            <w:tcW w:w="1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7960" w:type="dxa"/>
            <w:vAlign w:val="bottom"/>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rPr>
              <w:t>Common stock, par value $0.01; 400,000,000 shares authorized; 135,328,075 and 134,326,464 shares issued;</w:t>
            </w:r>
          </w:p>
        </w:tc>
        <w:tc>
          <w:tcPr>
            <w:tcW w:w="14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1,353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102,774,991 and 103,989,787 shares outstanding, respectively</w:t>
            </w:r>
          </w:p>
        </w:tc>
        <w:tc>
          <w:tcPr>
            <w:tcW w:w="14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Treasury stock, at cost; 32,553,084 and 30,336,677 shares, respectively</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(2,844,019)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(2,621,394)</w:t>
            </w:r>
          </w:p>
        </w:tc>
        <w:tc>
          <w:tcPr>
            <w:tcW w:w="0" w:type="dxa"/>
            <w:vAlign w:val="bottom"/>
          </w:tcPr>
          <w:p>
            <w:pPr>
              <w:spacing w:after="0"/>
              <w:rPr>
                <w:sz w:val="1"/>
                <w:szCs w:val="1"/>
                <w:color w:val="auto"/>
              </w:rPr>
            </w:pPr>
          </w:p>
        </w:tc>
      </w:tr>
      <w:tr>
        <w:trPr>
          <w:trHeight w:val="23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3,871,851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3,801,934</w:t>
            </w:r>
          </w:p>
        </w:tc>
        <w:tc>
          <w:tcPr>
            <w:tcW w:w="0" w:type="dxa"/>
            <w:vAlign w:val="bottom"/>
          </w:tcPr>
          <w:p>
            <w:pPr>
              <w:spacing w:after="0"/>
              <w:rPr>
                <w:sz w:val="1"/>
                <w:szCs w:val="1"/>
                <w:color w:val="auto"/>
              </w:rPr>
            </w:pPr>
          </w:p>
        </w:tc>
      </w:tr>
      <w:tr>
        <w:trPr>
          <w:trHeight w:val="220"/>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40" w:type="dxa"/>
            <w:vAlign w:val="bottom"/>
          </w:tcPr>
          <w:p>
            <w:pPr>
              <w:spacing w:after="0"/>
              <w:rPr>
                <w:sz w:val="19"/>
                <w:szCs w:val="19"/>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7,326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(3,136)</w:t>
            </w:r>
          </w:p>
        </w:tc>
        <w:tc>
          <w:tcPr>
            <w:tcW w:w="0" w:type="dxa"/>
            <w:vAlign w:val="bottom"/>
          </w:tcPr>
          <w:p>
            <w:pPr>
              <w:spacing w:after="0"/>
              <w:rPr>
                <w:sz w:val="1"/>
                <w:szCs w:val="1"/>
                <w:color w:val="auto"/>
              </w:rPr>
            </w:pPr>
          </w:p>
        </w:tc>
      </w:tr>
      <w:tr>
        <w:trPr>
          <w:trHeight w:val="23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(1,253,977)</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(1,454,239)</w:t>
            </w:r>
          </w:p>
        </w:tc>
        <w:tc>
          <w:tcPr>
            <w:tcW w:w="0" w:type="dxa"/>
            <w:vAlign w:val="bottom"/>
          </w:tcPr>
          <w:p>
            <w:pPr>
              <w:spacing w:after="0"/>
              <w:rPr>
                <w:sz w:val="1"/>
                <w:szCs w:val="1"/>
                <w:color w:val="auto"/>
              </w:rPr>
            </w:pPr>
          </w:p>
        </w:tc>
      </w:tr>
      <w:tr>
        <w:trPr>
          <w:trHeight w:val="213"/>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Total Wynn Resorts, Limited stockholders' deficit</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(217,466)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(275,492)</w:t>
            </w:r>
          </w:p>
        </w:tc>
        <w:tc>
          <w:tcPr>
            <w:tcW w:w="0" w:type="dxa"/>
            <w:vAlign w:val="bottom"/>
          </w:tcPr>
          <w:p>
            <w:pPr>
              <w:spacing w:after="0"/>
              <w:rPr>
                <w:sz w:val="1"/>
                <w:szCs w:val="1"/>
                <w:color w:val="auto"/>
              </w:rPr>
            </w:pPr>
          </w:p>
        </w:tc>
      </w:tr>
      <w:tr>
        <w:trPr>
          <w:trHeight w:val="23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(767,572)</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(755,787)</w:t>
            </w:r>
          </w:p>
        </w:tc>
        <w:tc>
          <w:tcPr>
            <w:tcW w:w="0" w:type="dxa"/>
            <w:vAlign w:val="bottom"/>
          </w:tcPr>
          <w:p>
            <w:pPr>
              <w:spacing w:after="0"/>
              <w:rPr>
                <w:sz w:val="1"/>
                <w:szCs w:val="1"/>
                <w:color w:val="auto"/>
              </w:rPr>
            </w:pPr>
          </w:p>
        </w:tc>
      </w:tr>
      <w:tr>
        <w:trPr>
          <w:trHeight w:val="216"/>
        </w:trPr>
        <w:tc>
          <w:tcPr>
            <w:tcW w:w="79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(985,038)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(1,031,279)</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13,119,713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13,108,117</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4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3"/>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1,050,471</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1,174,717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3,402,992</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3,266,981</w:t>
            </w:r>
          </w:p>
        </w:tc>
      </w:tr>
      <w:tr>
        <w:trPr>
          <w:trHeight w:val="243"/>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261,499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270,484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842,183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836,058</w:t>
            </w:r>
          </w:p>
        </w:tc>
      </w:tr>
      <w:tr>
        <w:trPr>
          <w:trHeight w:val="243"/>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781,020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772,926</w:t>
            </w:r>
          </w:p>
        </w:tc>
      </w:tr>
      <w:tr>
        <w:trPr>
          <w:trHeight w:val="243"/>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126,556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376,553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395,976</w:t>
            </w:r>
          </w:p>
        </w:tc>
      </w:tr>
      <w:tr>
        <w:trPr>
          <w:trHeight w:val="237"/>
        </w:trPr>
        <w:tc>
          <w:tcPr>
            <w:tcW w:w="5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1,689,053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1,833,747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5,402,748</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5,271,941</w:t>
            </w: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3"/>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2,128,301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1,983,362</w:t>
            </w:r>
          </w:p>
        </w:tc>
      </w:tr>
      <w:tr>
        <w:trPr>
          <w:trHeight w:val="243"/>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261,785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256,524</w:t>
            </w:r>
          </w:p>
        </w:tc>
      </w:tr>
      <w:tr>
        <w:trPr>
          <w:trHeight w:val="243"/>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691,762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656,167</w:t>
            </w:r>
          </w:p>
        </w:tc>
      </w:tr>
      <w:tr>
        <w:trPr>
          <w:trHeight w:val="243"/>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161,071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174,768</w:t>
            </w:r>
          </w:p>
        </w:tc>
      </w:tr>
      <w:tr>
        <w:trPr>
          <w:trHeight w:val="243"/>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821,732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831,539</w:t>
            </w:r>
          </w:p>
        </w:tc>
      </w:tr>
      <w:tr>
        <w:trPr>
          <w:trHeight w:val="243"/>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w:t>
            </w:r>
          </w:p>
        </w:tc>
      </w:tr>
      <w:tr>
        <w:trPr>
          <w:trHeight w:val="243"/>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23,862</w:t>
            </w:r>
          </w:p>
        </w:tc>
      </w:tr>
      <w:tr>
        <w:trPr>
          <w:trHeight w:val="243"/>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166,782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152,828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492,730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461,156</w:t>
            </w:r>
          </w:p>
        </w:tc>
      </w:tr>
      <w:tr>
        <w:trPr>
          <w:trHeight w:val="243"/>
        </w:trPr>
        <w:tc>
          <w:tcPr>
            <w:tcW w:w="5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43,322</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31,631</w:t>
            </w:r>
          </w:p>
        </w:tc>
      </w:tr>
      <w:tr>
        <w:trPr>
          <w:trHeight w:val="237"/>
        </w:trPr>
        <w:tc>
          <w:tcPr>
            <w:tcW w:w="5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1,510,831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1,523,258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4,644,334</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4,428,263</w:t>
            </w:r>
          </w:p>
        </w:tc>
      </w:tr>
      <w:tr>
        <w:trPr>
          <w:trHeight w:val="236"/>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178,222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310,489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758,414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843,678</w:t>
            </w: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3"/>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51,799</w:t>
            </w:r>
          </w:p>
        </w:tc>
      </w:tr>
      <w:tr>
        <w:trPr>
          <w:trHeight w:val="243"/>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(151,735)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(157,581)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(456,274)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(469,740)</w:t>
            </w:r>
          </w:p>
        </w:tc>
      </w:tr>
      <w:tr>
        <w:trPr>
          <w:trHeight w:val="243"/>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(43,827)</w:t>
            </w:r>
          </w:p>
        </w:tc>
      </w:tr>
      <w:tr>
        <w:trPr>
          <w:trHeight w:val="243"/>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43"/>
        </w:trPr>
        <w:tc>
          <w:tcPr>
            <w:tcW w:w="5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(34,081)</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(10,670)</w:t>
            </w:r>
          </w:p>
        </w:tc>
      </w:tr>
      <w:tr>
        <w:trPr>
          <w:trHeight w:val="237"/>
        </w:trPr>
        <w:tc>
          <w:tcPr>
            <w:tcW w:w="5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(135,882)</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(120,926)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(356,678)</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(474,139)</w:t>
            </w:r>
          </w:p>
        </w:tc>
      </w:tr>
      <w:tr>
        <w:trPr>
          <w:trHeight w:val="23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42,340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189,563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401,736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369,539</w:t>
            </w:r>
          </w:p>
        </w:tc>
      </w:tr>
      <w:tr>
        <w:trPr>
          <w:trHeight w:val="243"/>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(82,746)</w:t>
            </w:r>
          </w:p>
        </w:tc>
      </w:tr>
      <w:tr>
        <w:trPr>
          <w:trHeight w:val="237"/>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128,427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369,873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286,793</w:t>
            </w:r>
          </w:p>
        </w:tc>
      </w:tr>
      <w:tr>
        <w:trPr>
          <w:trHeight w:val="243"/>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(92,036)</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(59,487)</w:t>
            </w:r>
          </w:p>
        </w:tc>
      </w:tr>
      <w:tr>
        <w:trPr>
          <w:trHeight w:val="237"/>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17,321</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88,341</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277,837</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227,306</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common share: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3"/>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5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43"/>
        </w:trPr>
        <w:tc>
          <w:tcPr>
            <w:tcW w:w="5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43"/>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5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102,550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103,955</w:t>
            </w:r>
          </w:p>
        </w:tc>
      </w:tr>
      <w:tr>
        <w:trPr>
          <w:trHeight w:val="243"/>
        </w:trPr>
        <w:tc>
          <w:tcPr>
            <w:tcW w:w="5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103,636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103,013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104,373</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20" w:type="dxa"/>
            <w:vAlign w:val="bottom"/>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369,873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286,793</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 before and after tax</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37,565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111,878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384,256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291,980</w:t>
            </w:r>
          </w:p>
        </w:tc>
      </w:tr>
      <w:tr>
        <w:trPr>
          <w:trHeight w:val="243"/>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(19,654)</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(95,957)</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(60,640)</w:t>
            </w: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Wynn Resorts, Limited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17,911</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76,103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288,299</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231,340</w:t>
            </w: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3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 2026</w:t>
            </w: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64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2"/>
              </w:rPr>
              <w:t>Total Wynn</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Ltd.</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9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Pr>
          <w:p>
            <w:pPr>
              <w:spacing w:after="0"/>
              <w:rPr>
                <w:sz w:val="11"/>
                <w:szCs w:val="11"/>
                <w:color w:val="auto"/>
              </w:rPr>
            </w:pPr>
          </w:p>
        </w:tc>
        <w:tc>
          <w:tcPr>
            <w:tcW w:w="5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8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1"/>
                <w:szCs w:val="11"/>
                <w:color w:val="auto"/>
              </w:rPr>
            </w:pPr>
          </w:p>
        </w:tc>
        <w:tc>
          <w:tcPr>
            <w:tcW w:w="8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2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87"/>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July 1, 2026</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103,405,133</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(2,784,163)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3,852,236</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(1,245,613)</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(169,451)</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(737,216)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(906,667)</w:t>
            </w:r>
          </w:p>
        </w:tc>
        <w:tc>
          <w:tcPr>
            <w:tcW w:w="0" w:type="dxa"/>
            <w:vAlign w:val="bottom"/>
          </w:tcPr>
          <w:p>
            <w:pPr>
              <w:spacing w:after="0"/>
              <w:rPr>
                <w:sz w:val="1"/>
                <w:szCs w:val="1"/>
                <w:color w:val="auto"/>
              </w:rPr>
            </w:pPr>
          </w:p>
        </w:tc>
      </w:tr>
      <w:tr>
        <w:trPr>
          <w:trHeight w:val="181"/>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17,321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17,321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19,442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36,763</w:t>
            </w: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590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0" w:type="dxa"/>
            <w:vAlign w:val="bottom"/>
          </w:tcPr>
          <w:p>
            <w:pPr>
              <w:spacing w:after="0"/>
              <w:rPr>
                <w:sz w:val="1"/>
                <w:szCs w:val="1"/>
                <w:color w:val="auto"/>
              </w:rPr>
            </w:pPr>
          </w:p>
        </w:tc>
      </w:tr>
      <w:tr>
        <w:trPr>
          <w:trHeight w:val="181"/>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w w:val="98"/>
              </w:rPr>
              <w:t>Shares repurchased by the Company and held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 treasury 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(642,118)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(59,856)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(59,856)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(59,856)</w:t>
            </w: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(25,685)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(69,752)</w:t>
            </w:r>
          </w:p>
        </w:tc>
        <w:tc>
          <w:tcPr>
            <w:tcW w:w="0" w:type="dxa"/>
            <w:vAlign w:val="bottom"/>
          </w:tcPr>
          <w:p>
            <w:pPr>
              <w:spacing w:after="0"/>
              <w:rPr>
                <w:sz w:val="1"/>
                <w:szCs w:val="1"/>
                <w:color w:val="auto"/>
              </w:rPr>
            </w:pPr>
          </w:p>
        </w:tc>
      </w:tr>
      <w:tr>
        <w:trPr>
          <w:trHeight w:val="181"/>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 to noncontrolling interests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(7,834)</w:t>
            </w:r>
          </w:p>
        </w:tc>
        <w:tc>
          <w:tcPr>
            <w:tcW w:w="0" w:type="dxa"/>
            <w:vAlign w:val="bottom"/>
          </w:tcPr>
          <w:p>
            <w:pPr>
              <w:spacing w:after="0"/>
              <w:rPr>
                <w:sz w:val="1"/>
                <w:szCs w:val="1"/>
                <w:color w:val="auto"/>
              </w:rPr>
            </w:pPr>
          </w:p>
        </w:tc>
      </w:tr>
      <w:tr>
        <w:trPr>
          <w:trHeight w:val="143"/>
        </w:trPr>
        <w:tc>
          <w:tcPr>
            <w:tcW w:w="23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Transactions with subsidiary minority</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shareholders</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772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772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18,843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18,843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21,506</w:t>
            </w:r>
          </w:p>
        </w:tc>
        <w:tc>
          <w:tcPr>
            <w:tcW w:w="0" w:type="dxa"/>
            <w:vAlign w:val="bottom"/>
          </w:tcPr>
          <w:p>
            <w:pPr>
              <w:spacing w:after="0"/>
              <w:rPr>
                <w:sz w:val="1"/>
                <w:szCs w:val="1"/>
                <w:color w:val="auto"/>
              </w:rPr>
            </w:pPr>
          </w:p>
        </w:tc>
      </w:tr>
      <w:tr>
        <w:trPr>
          <w:trHeight w:val="214"/>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September 30, 2026</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102,774,991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(2,844,019)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3,871,851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7,326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(1,253,977)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(217,466)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(767,572)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(985,038)</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3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 2025</w:t>
            </w: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64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2"/>
              </w:rPr>
              <w:t>Total Wynn</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Pr>
          <w:p>
            <w:pPr>
              <w:spacing w:after="0"/>
              <w:rPr>
                <w:sz w:val="10"/>
                <w:szCs w:val="10"/>
                <w:color w:val="auto"/>
              </w:rPr>
            </w:pPr>
          </w:p>
        </w:tc>
        <w:tc>
          <w:tcPr>
            <w:tcW w:w="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Par</w:t>
            </w:r>
          </w:p>
        </w:tc>
        <w:tc>
          <w:tcPr>
            <w:tcW w:w="12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Ltd.</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20" w:type="dxa"/>
            <w:vAlign w:val="bottom"/>
          </w:tcPr>
          <w:p>
            <w:pPr>
              <w:spacing w:after="0"/>
              <w:rPr>
                <w:sz w:val="15"/>
                <w:szCs w:val="15"/>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2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89"/>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July 1, 2025</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103,976,829</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(2,618,638)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3,755,873</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(1,590,690)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(441,540)</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(766,434)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(1,207,974)</w:t>
            </w:r>
          </w:p>
        </w:tc>
        <w:tc>
          <w:tcPr>
            <w:tcW w:w="0" w:type="dxa"/>
            <w:vAlign w:val="bottom"/>
          </w:tcPr>
          <w:p>
            <w:pPr>
              <w:spacing w:after="0"/>
              <w:rPr>
                <w:sz w:val="1"/>
                <w:szCs w:val="1"/>
                <w:color w:val="auto"/>
              </w:rPr>
            </w:pPr>
          </w:p>
        </w:tc>
      </w:tr>
      <w:tr>
        <w:trPr>
          <w:trHeight w:val="181"/>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88,341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88,341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128,427</w:t>
            </w: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(16,549)</w:t>
            </w:r>
          </w:p>
        </w:tc>
        <w:tc>
          <w:tcPr>
            <w:tcW w:w="0" w:type="dxa"/>
            <w:vAlign w:val="bottom"/>
          </w:tcPr>
          <w:p>
            <w:pPr>
              <w:spacing w:after="0"/>
              <w:rPr>
                <w:sz w:val="1"/>
                <w:szCs w:val="1"/>
                <w:color w:val="auto"/>
              </w:rPr>
            </w:pPr>
          </w:p>
        </w:tc>
      </w:tr>
      <w:tr>
        <w:trPr>
          <w:trHeight w:val="181"/>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303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303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18,356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3"/>
        </w:trPr>
        <w:tc>
          <w:tcPr>
            <w:tcW w:w="23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w w:val="98"/>
              </w:rPr>
              <w:t>Shares repurchased by the Company and held</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 treasury shares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(13,517)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(1,864)</w:t>
            </w:r>
          </w:p>
        </w:tc>
        <w:tc>
          <w:tcPr>
            <w:tcW w:w="0" w:type="dxa"/>
            <w:vAlign w:val="bottom"/>
          </w:tcPr>
          <w:p>
            <w:pPr>
              <w:spacing w:after="0"/>
              <w:rPr>
                <w:sz w:val="1"/>
                <w:szCs w:val="1"/>
                <w:color w:val="auto"/>
              </w:rPr>
            </w:pPr>
          </w:p>
        </w:tc>
      </w:tr>
      <w:tr>
        <w:trPr>
          <w:trHeight w:val="181"/>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(25,945)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(25,945)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(61,755)</w:t>
            </w: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 to noncontrolling interests</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(5,814)</w:t>
            </w:r>
          </w:p>
        </w:tc>
        <w:tc>
          <w:tcPr>
            <w:tcW w:w="0" w:type="dxa"/>
            <w:vAlign w:val="bottom"/>
          </w:tcPr>
          <w:p>
            <w:pPr>
              <w:spacing w:after="0"/>
              <w:rPr>
                <w:sz w:val="1"/>
                <w:szCs w:val="1"/>
                <w:color w:val="auto"/>
              </w:rPr>
            </w:pPr>
          </w:p>
        </w:tc>
      </w:tr>
      <w:tr>
        <w:trPr>
          <w:trHeight w:val="135"/>
        </w:trPr>
        <w:tc>
          <w:tcPr>
            <w:tcW w:w="23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Transactions with subsidiary minority</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shareholders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22,880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22,880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23,756</w:t>
            </w: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September 30, 2025</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103,977,280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1,343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(2,620,502)</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3,779,077</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(1,666)</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(1,528,294)</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(370,042)</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(771,428)</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(1,141,470)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3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 2026</w:t>
            </w: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64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2"/>
              </w:rPr>
              <w:t>Total Wynn</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Ltd.</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9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Pr>
          <w:p>
            <w:pPr>
              <w:spacing w:after="0"/>
              <w:rPr>
                <w:sz w:val="11"/>
                <w:szCs w:val="11"/>
                <w:color w:val="auto"/>
              </w:rPr>
            </w:pPr>
          </w:p>
        </w:tc>
        <w:tc>
          <w:tcPr>
            <w:tcW w:w="5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8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1"/>
                <w:szCs w:val="11"/>
                <w:color w:val="auto"/>
              </w:rPr>
            </w:pPr>
          </w:p>
        </w:tc>
        <w:tc>
          <w:tcPr>
            <w:tcW w:w="8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2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(loss) income</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87"/>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January 1, 2026</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103,989,787</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(2,621,394)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3,801,934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(1,454,239)</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(275,492)</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(755,787)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(1,031,279)</w:t>
            </w:r>
          </w:p>
        </w:tc>
        <w:tc>
          <w:tcPr>
            <w:tcW w:w="0" w:type="dxa"/>
            <w:vAlign w:val="bottom"/>
          </w:tcPr>
          <w:p>
            <w:pPr>
              <w:spacing w:after="0"/>
              <w:rPr>
                <w:sz w:val="1"/>
                <w:szCs w:val="1"/>
                <w:color w:val="auto"/>
              </w:rPr>
            </w:pPr>
          </w:p>
        </w:tc>
      </w:tr>
      <w:tr>
        <w:trPr>
          <w:trHeight w:val="181"/>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277,837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277,837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369,873</w:t>
            </w: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10,462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14,383</w:t>
            </w:r>
          </w:p>
        </w:tc>
        <w:tc>
          <w:tcPr>
            <w:tcW w:w="0" w:type="dxa"/>
            <w:vAlign w:val="bottom"/>
          </w:tcPr>
          <w:p>
            <w:pPr>
              <w:spacing w:after="0"/>
              <w:rPr>
                <w:sz w:val="1"/>
                <w:szCs w:val="1"/>
                <w:color w:val="auto"/>
              </w:rPr>
            </w:pPr>
          </w:p>
        </w:tc>
      </w:tr>
      <w:tr>
        <w:trPr>
          <w:trHeight w:val="181"/>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10,827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883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883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w:t>
            </w: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1,042,122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5,621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5,631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5,631</w:t>
            </w:r>
          </w:p>
        </w:tc>
        <w:tc>
          <w:tcPr>
            <w:tcW w:w="0" w:type="dxa"/>
            <w:vAlign w:val="bottom"/>
          </w:tcPr>
          <w:p>
            <w:pPr>
              <w:spacing w:after="0"/>
              <w:rPr>
                <w:sz w:val="1"/>
                <w:szCs w:val="1"/>
                <w:color w:val="auto"/>
              </w:rPr>
            </w:pPr>
          </w:p>
        </w:tc>
      </w:tr>
      <w:tr>
        <w:trPr>
          <w:trHeight w:val="181"/>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(51,338)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3"/>
        </w:trPr>
        <w:tc>
          <w:tcPr>
            <w:tcW w:w="23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w w:val="98"/>
              </w:rPr>
              <w:t>Shares repurchased by the Company and held</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 treasury shares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(2,216,407)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(222,625)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(222,625)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(222,625)</w:t>
            </w:r>
          </w:p>
        </w:tc>
        <w:tc>
          <w:tcPr>
            <w:tcW w:w="0" w:type="dxa"/>
            <w:vAlign w:val="bottom"/>
          </w:tcPr>
          <w:p>
            <w:pPr>
              <w:spacing w:after="0"/>
              <w:rPr>
                <w:sz w:val="1"/>
                <w:szCs w:val="1"/>
                <w:color w:val="auto"/>
              </w:rPr>
            </w:pPr>
          </w:p>
        </w:tc>
      </w:tr>
      <w:tr>
        <w:trPr>
          <w:trHeight w:val="181"/>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(77,575)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(77,575)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(164,691)</w:t>
            </w: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 to noncontrolling interests</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(23,752)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(23,752)</w:t>
            </w:r>
          </w:p>
        </w:tc>
        <w:tc>
          <w:tcPr>
            <w:tcW w:w="0" w:type="dxa"/>
            <w:vAlign w:val="bottom"/>
          </w:tcPr>
          <w:p>
            <w:pPr>
              <w:spacing w:after="0"/>
              <w:rPr>
                <w:sz w:val="1"/>
                <w:szCs w:val="1"/>
                <w:color w:val="auto"/>
              </w:rPr>
            </w:pPr>
          </w:p>
        </w:tc>
      </w:tr>
      <w:tr>
        <w:trPr>
          <w:trHeight w:val="135"/>
        </w:trPr>
        <w:tc>
          <w:tcPr>
            <w:tcW w:w="23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Transactions with subsidiary minority</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shareholders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61,709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61,709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66,539</w:t>
            </w: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September 30, 2026</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102,774,991</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1,353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(2,844,019)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3,871,851</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7,326</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(1,253,977)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(217,466)</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(767,572)</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(985,038)</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3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 2025</w:t>
            </w: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64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2"/>
              </w:rPr>
              <w:t>Total Wynn</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Pr>
          <w:p>
            <w:pPr>
              <w:spacing w:after="0"/>
              <w:rPr>
                <w:sz w:val="10"/>
                <w:szCs w:val="10"/>
                <w:color w:val="auto"/>
              </w:rPr>
            </w:pPr>
          </w:p>
        </w:tc>
        <w:tc>
          <w:tcPr>
            <w:tcW w:w="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Par</w:t>
            </w:r>
          </w:p>
        </w:tc>
        <w:tc>
          <w:tcPr>
            <w:tcW w:w="12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Ltd.</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20" w:type="dxa"/>
            <w:vAlign w:val="bottom"/>
          </w:tcPr>
          <w:p>
            <w:pPr>
              <w:spacing w:after="0"/>
              <w:rPr>
                <w:sz w:val="15"/>
                <w:szCs w:val="15"/>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2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89"/>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January 1, 2025</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107,821,567</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(2,241,607)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3,698,800</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(1,676,990)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(224,161)</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(744,442)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(968,603)</w:t>
            </w:r>
          </w:p>
        </w:tc>
        <w:tc>
          <w:tcPr>
            <w:tcW w:w="0" w:type="dxa"/>
            <w:vAlign w:val="bottom"/>
          </w:tcPr>
          <w:p>
            <w:pPr>
              <w:spacing w:after="0"/>
              <w:rPr>
                <w:sz w:val="1"/>
                <w:szCs w:val="1"/>
                <w:color w:val="auto"/>
              </w:rPr>
            </w:pPr>
          </w:p>
        </w:tc>
      </w:tr>
      <w:tr>
        <w:trPr>
          <w:trHeight w:val="181"/>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227,306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227,306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59,487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286,793</w:t>
            </w: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4,034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5,187</w:t>
            </w:r>
          </w:p>
        </w:tc>
        <w:tc>
          <w:tcPr>
            <w:tcW w:w="0" w:type="dxa"/>
            <w:vAlign w:val="bottom"/>
          </w:tcPr>
          <w:p>
            <w:pPr>
              <w:spacing w:after="0"/>
              <w:rPr>
                <w:sz w:val="1"/>
                <w:szCs w:val="1"/>
                <w:color w:val="auto"/>
              </w:rPr>
            </w:pPr>
          </w:p>
        </w:tc>
      </w:tr>
      <w:tr>
        <w:trPr>
          <w:trHeight w:val="181"/>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457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457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739,939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7,915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7,922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7,922</w:t>
            </w:r>
          </w:p>
        </w:tc>
        <w:tc>
          <w:tcPr>
            <w:tcW w:w="0" w:type="dxa"/>
            <w:vAlign w:val="bottom"/>
          </w:tcPr>
          <w:p>
            <w:pPr>
              <w:spacing w:after="0"/>
              <w:rPr>
                <w:sz w:val="1"/>
                <w:szCs w:val="1"/>
                <w:color w:val="auto"/>
              </w:rPr>
            </w:pPr>
          </w:p>
        </w:tc>
      </w:tr>
      <w:tr>
        <w:trPr>
          <w:trHeight w:val="181"/>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Cancellation of restricted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3"/>
        </w:trPr>
        <w:tc>
          <w:tcPr>
            <w:tcW w:w="23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w w:val="98"/>
              </w:rPr>
              <w:t>Shares repurchased by the Company and held</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 treasury shares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(4,570,526)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(378,895)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(378,895)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(378,895)</w:t>
            </w:r>
          </w:p>
        </w:tc>
        <w:tc>
          <w:tcPr>
            <w:tcW w:w="0" w:type="dxa"/>
            <w:vAlign w:val="bottom"/>
          </w:tcPr>
          <w:p>
            <w:pPr>
              <w:spacing w:after="0"/>
              <w:rPr>
                <w:sz w:val="1"/>
                <w:szCs w:val="1"/>
                <w:color w:val="auto"/>
              </w:rPr>
            </w:pPr>
          </w:p>
        </w:tc>
      </w:tr>
      <w:tr>
        <w:trPr>
          <w:trHeight w:val="181"/>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(78,610)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(71,344)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(149,954)</w:t>
            </w: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 to noncontrolling interests</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(18,138)</w:t>
            </w:r>
          </w:p>
        </w:tc>
        <w:tc>
          <w:tcPr>
            <w:tcW w:w="0" w:type="dxa"/>
            <w:vAlign w:val="bottom"/>
          </w:tcPr>
          <w:p>
            <w:pPr>
              <w:spacing w:after="0"/>
              <w:rPr>
                <w:sz w:val="1"/>
                <w:szCs w:val="1"/>
                <w:color w:val="auto"/>
              </w:rPr>
            </w:pPr>
          </w:p>
        </w:tc>
      </w:tr>
      <w:tr>
        <w:trPr>
          <w:trHeight w:val="135"/>
        </w:trPr>
        <w:tc>
          <w:tcPr>
            <w:tcW w:w="23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Transactions with subsidiary minority</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shareholders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1,290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1,290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70,615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70,615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73,761</w:t>
            </w: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September 30, 2025</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103,977,280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1,343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(2,620,502)</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3,779,077</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(1,666)</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(1,528,294)</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(370,042)</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(771,428)</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(1,141,470)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7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7"/>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369,873</w:t>
            </w:r>
          </w:p>
        </w:tc>
        <w:tc>
          <w:tcPr>
            <w:tcW w:w="8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286,793</w:t>
            </w:r>
          </w:p>
        </w:tc>
      </w:tr>
      <w:tr>
        <w:trPr>
          <w:trHeight w:val="23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7"/>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492,730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461,156</w:t>
            </w:r>
          </w:p>
        </w:tc>
      </w:tr>
      <w:tr>
        <w:trPr>
          <w:trHeight w:val="23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22,095</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76,247</w:t>
            </w:r>
          </w:p>
        </w:tc>
      </w:tr>
      <w:tr>
        <w:trPr>
          <w:trHeight w:val="227"/>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62,845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70,901</w:t>
            </w:r>
          </w:p>
        </w:tc>
      </w:tr>
      <w:tr>
        <w:trPr>
          <w:trHeight w:val="23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32,645</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28,400</w:t>
            </w:r>
          </w:p>
        </w:tc>
      </w:tr>
      <w:tr>
        <w:trPr>
          <w:trHeight w:val="227"/>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debt financing transactions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w:t>
            </w:r>
          </w:p>
        </w:tc>
      </w:tr>
      <w:tr>
        <w:trPr>
          <w:trHeight w:val="23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20,010</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9,254</w:t>
            </w:r>
          </w:p>
        </w:tc>
      </w:tr>
      <w:tr>
        <w:trPr>
          <w:trHeight w:val="226"/>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derivatives fair value</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46,225</w:t>
            </w:r>
          </w:p>
        </w:tc>
      </w:tr>
      <w:tr>
        <w:trPr>
          <w:trHeight w:val="23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Property charges and other</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84,675</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45,875</w:t>
            </w:r>
          </w:p>
        </w:tc>
      </w:tr>
      <w:tr>
        <w:trPr>
          <w:trHeight w:val="227"/>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Increase (decrease) in cash from changes in:</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2"/>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Receivables, net</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22,277</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(36,531)</w:t>
            </w:r>
          </w:p>
        </w:tc>
      </w:tr>
      <w:tr>
        <w:trPr>
          <w:trHeight w:val="227"/>
        </w:trPr>
        <w:tc>
          <w:tcPr>
            <w:tcW w:w="7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Inventories, prepaid expenses and other</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(79,056)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(12,494)</w:t>
            </w:r>
          </w:p>
        </w:tc>
      </w:tr>
      <w:tr>
        <w:trPr>
          <w:trHeight w:val="233"/>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Customer deposits</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(39,210)</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20,828</w:t>
            </w:r>
          </w:p>
        </w:tc>
      </w:tr>
      <w:tr>
        <w:trPr>
          <w:trHeight w:val="226"/>
        </w:trPr>
        <w:tc>
          <w:tcPr>
            <w:tcW w:w="79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(170,065)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(123,718)</w:t>
            </w:r>
          </w:p>
        </w:tc>
      </w:tr>
      <w:tr>
        <w:trPr>
          <w:trHeight w:val="226"/>
        </w:trPr>
        <w:tc>
          <w:tcPr>
            <w:tcW w:w="79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742,202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874,637</w:t>
            </w:r>
          </w:p>
        </w:tc>
      </w:tr>
      <w:tr>
        <w:trPr>
          <w:trHeight w:val="206"/>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Capital expenditures, net of construction payables and retention</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(533,687)</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(489,185)</w:t>
            </w:r>
          </w:p>
        </w:tc>
      </w:tr>
      <w:tr>
        <w:trPr>
          <w:trHeight w:val="226"/>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(257,793)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(236,117)</w:t>
            </w:r>
          </w:p>
        </w:tc>
      </w:tr>
      <w:tr>
        <w:trPr>
          <w:trHeight w:val="23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 of investments</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(93,522)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(475,000)</w:t>
            </w:r>
          </w:p>
        </w:tc>
      </w:tr>
      <w:tr>
        <w:trPr>
          <w:trHeight w:val="226"/>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maturity of investments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574,227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 of intangible and other assets</w:t>
            </w:r>
          </w:p>
        </w:tc>
        <w:tc>
          <w:tcPr>
            <w:tcW w:w="3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r>
      <w:tr>
        <w:trPr>
          <w:trHeight w:val="227"/>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Proceeds from sale of assets and other</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1,107</w:t>
            </w:r>
          </w:p>
        </w:tc>
      </w:tr>
      <w:tr>
        <w:trPr>
          <w:trHeight w:val="226"/>
        </w:trPr>
        <w:tc>
          <w:tcPr>
            <w:tcW w:w="79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(301,463)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(1,199,731)</w:t>
            </w:r>
          </w:p>
        </w:tc>
      </w:tr>
      <w:tr>
        <w:trPr>
          <w:trHeight w:val="20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1,095,500</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1,752,812</w:t>
            </w:r>
          </w:p>
        </w:tc>
      </w:tr>
      <w:tr>
        <w:trPr>
          <w:trHeight w:val="226"/>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(884,705)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(1,763,125)</w:t>
            </w:r>
          </w:p>
        </w:tc>
      </w:tr>
      <w:tr>
        <w:trPr>
          <w:trHeight w:val="23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(223,644)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(379,661)</w:t>
            </w:r>
          </w:p>
        </w:tc>
      </w:tr>
      <w:tr>
        <w:trPr>
          <w:trHeight w:val="226"/>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r>
      <w:tr>
        <w:trPr>
          <w:trHeight w:val="23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 to noncontrolling interests</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(18,138)</w:t>
            </w:r>
          </w:p>
        </w:tc>
      </w:tr>
      <w:tr>
        <w:trPr>
          <w:trHeight w:val="226"/>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Dividends paid</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(163,360)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(148,861)</w:t>
            </w:r>
          </w:p>
        </w:tc>
      </w:tr>
      <w:tr>
        <w:trPr>
          <w:trHeight w:val="23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Finance lease payments</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(21,055)</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(19,210)</w:t>
            </w:r>
          </w:p>
        </w:tc>
      </w:tr>
      <w:tr>
        <w:trPr>
          <w:trHeight w:val="227"/>
        </w:trPr>
        <w:tc>
          <w:tcPr>
            <w:tcW w:w="7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for financing costs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(26,446)</w:t>
            </w:r>
          </w:p>
        </w:tc>
      </w:tr>
      <w:tr>
        <w:trPr>
          <w:trHeight w:val="23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(25,809)</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(9,142)</w:t>
            </w:r>
          </w:p>
        </w:tc>
      </w:tr>
      <w:tr>
        <w:trPr>
          <w:trHeight w:val="220"/>
        </w:trPr>
        <w:tc>
          <w:tcPr>
            <w:tcW w:w="79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(258,489)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(611,314)</w:t>
            </w:r>
          </w:p>
        </w:tc>
      </w:tr>
      <w:tr>
        <w:trPr>
          <w:trHeight w:val="22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exchange rate on cash, cash equivalents and restricted cash</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(2,487)</w:t>
            </w:r>
          </w:p>
        </w:tc>
      </w:tr>
      <w:tr>
        <w:trPr>
          <w:trHeight w:val="22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2"/>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Increase (decrease) in cash, cash equivalents and restricted cash</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177,462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(938,895)</w:t>
            </w:r>
          </w:p>
        </w:tc>
      </w:tr>
      <w:tr>
        <w:trPr>
          <w:trHeight w:val="227"/>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Balance, beginning of period</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1,560,095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2,521,793</w:t>
            </w:r>
          </w:p>
        </w:tc>
      </w:tr>
      <w:tr>
        <w:trPr>
          <w:trHeight w:val="248"/>
        </w:trPr>
        <w:tc>
          <w:tcPr>
            <w:tcW w:w="7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1,737,557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1,582,898</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w:t>
      </w:r>
    </w:p>
    <w:p>
      <w:pPr>
        <w:spacing w:after="0" w:line="20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the Macau Special Administrative Region of the People's Republic of China ("Macau"), the Company owns approximately 71%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Encore, an expansion at Wynn Las Vegas, and the Retail Joint Venture as its Las Vegas Operations. In Everett, Massachusetts, the Company operates Encore Boston Harbor, an integrated resort.</w:t>
      </w:r>
    </w:p>
    <w:p>
      <w:pPr>
        <w:spacing w:after="0" w:line="21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Additionally, the Company has a 40% equity interest in Island 3 AMI FZ-LLC ("Island 3"), an unconsolidated affiliate, which is constructing an integrated resort property ("Wynn Al Marjan Island") in Ras Al Khaimah, United Arab Emirates, currently expected to open in September 2027.</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2 -</w:t>
        <w:tab/>
        <w:t>Basis of Presentation and Significant Accounting Policies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by the Company pursuant to the rules and regulations of the Securities and Exchange Commission. Certain information and footnote disclosures normally included in financial statements prepared in accordance with United States ("U.S.") generally accepted accounting principles ("GAAP") have been condensed or omitted pursuant to such rules and regulations, although the Company believes that the disclosures herein are adequate to make the information presented not misleading. In the opinion of management, the accompanying condensed consolidated financial statements reflect all adjustments, which are of a normal recurring nature, necessary to a fair presentation of the results for the interim periods presented. The results for the three and nine months ended September 30, 2026 are not necessarily indicative of results to be expected for any other interim period or the full fiscal year ending December 31, 2026. These condensed consolidated financial statements should be read in conjunction with the consolidated financial statements and notes thereto in the Company's Annual Report on Form 10-K for the year ended December 31,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its majority-owned subsidiaries, and entities the Company identifies as variable interest entities ("VIEs") of which the Company is determined to be the primary beneficiary. For information on the Company's VIEs, see Note 16, "Retail Joint Venture." If the entity does not qualify for consolidation and the Company has significant influence over the operating and financial decisions of the entity, the Company accounts for the entity under the equity method. All significant intercompany accounts and transactions have been eliminated.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inputs into the Company's estimated allowance for deferred tax assets and credit losses, estimates regarding the useful lives and recoverability of long-lived and intangible assets, valuations of derivatives, and litigation and contingency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Taxes</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is subject to taxes based on gross gaming revenues in the jurisdictions in which it operates, subject to applicable jurisdictional adjustments. These gaming taxes are recorded as casino expenses in the accompanying Condensed Consolidated Statements of Operations. These taxes totaled $459.3 million and $509.9 million for the three months ended September 30, 2026 and 2025, respectively, and $1.49 billion and $1.40 billion for the nine months ended September 30, 2026 and 2025,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September 30, 2026, the Company held $150.2 million and $55.8 million in U.S. treasuries (including accrued interest), recorded at amortized cost within Investments and Long-term investments, respectively, in the Condensed Consolidated Balance Sheets. The estimated fair value of the Company's U.S. treasuries as of September 30, 2026 was approximately $205.1 million, as determined based on quoted market prices in active markets (Level 1 inputs), and the unrecognized holding loss was $0.9 million.</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held $475.0 million in fixed deposits, recorded at fair value within Investments, and $127.3 million and $67.6 million in U.S. treasuries (including accrued interest), recorded at amortized cost within Investments and Long-term investments, respectively, in the Condensed Consolidated Balance Sheets. The estimated fair value of the Company's U.S. treasuries as of December 31, 2025 was approximately $194.4 million, as determined based on quoted market prices in active markets (Level 1 inputs), and the unrecognized holding loss was $0.5 million.</w:t>
      </w:r>
    </w:p>
    <w:p>
      <w:pPr>
        <w:spacing w:after="0" w:line="20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the balance sheet date, the Company evaluates whether the unrealized losses are attributable to credit losses or other factors. The Company considers the severity of the decline in value, creditworthiness of the issuer and other relevant factors and records an allowance for credit losses, limited to the excess of amortized cost over fair value, with a corresponding charge to earnings. The allowance may be subsequently increased or decreased based on the prevailing facts and circumstances. During the three and nine months ended September 30, 2026 and 2025, the Company recorded no allowance for credit losses related to its investments.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Unconsolidated Affiliates</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accounts for its investment in Island 3 and affiliated ventures (the "Al Marjan Joint Venture") using the equity method. Under the equity method, the investment's carrying value is adjusted for the Company's share of the investee's earnings and losses, capital contributions to and distributions from the investee, and capitalization of interest cost incurred by the Company during the investee's initial development period.</w:t>
      </w:r>
    </w:p>
    <w:p>
      <w:pPr>
        <w:spacing w:after="0" w:line="20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records its share of income and loss on investments in unconsolidated affiliates as a component of Operating income within the Company's accompanying Condensed Consolidated Statements of Operations, as the Company's investments in unconsolidated affiliates are an extension of the Company's core business operations. The Company recognized a loss on investments in unconsolidated affiliates of $0.2 million and $7.1 million for the three months ended September 30, 2026 and 2025, respectively, and $16.5 million and $16.6 million for the nine months ended September 30, 2026 and 2025, respectively, recorded in Pre-opening expenses within the Company's accompanying Condensed Consolidated Statements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5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(the "FASB") issued Accounting Standards Update ("ASU") 2024-03,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 — Reporting Comprehensive Income — Expense Disaggregation Disclosures (Subtopic 220-40) </w:t>
      </w:r>
      <w:r>
        <w:rPr>
          <w:rFonts w:ascii="Times New Roman" w:cs="Times New Roman" w:eastAsia="Times New Roman" w:hAnsi="Times New Roman"/>
          <w:sz w:val="18"/>
          <w:szCs w:val="18"/>
          <w:color w:val="auto"/>
        </w:rPr>
        <w:t>("ASU 2024-03"). The standard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on expanded disclosures related to the disaggregation of income statement expenses. The standard specifically requires additional disclosure of certain costs and expenses, including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The Company's adoption of ASU 2024-03 will result in additional disclosures but is not expected to have an impact on the Company's financial condition, results of operations and cash flows.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w:t>
      </w:r>
      <w:r>
        <w:rPr>
          <w:rFonts w:ascii="Times New Roman" w:cs="Times New Roman" w:eastAsia="Times New Roman" w:hAnsi="Times New Roman"/>
          <w:sz w:val="18"/>
          <w:szCs w:val="18"/>
          <w:color w:val="auto"/>
        </w:rPr>
        <w:t xml:space="preserve"> ("ASU 2025-06"), which revises the approach to accounting for internal-use software costs by eliminating all references to the stages of software development projects, thereby making the guidance adaptable to a variety of software development methodologies. ASU 2025-06 will be effective for annual periods beginning after December 15, 2027, and interim periods within those annual reporting periods, on a prospective, modified or retrospective basis, with early adoption permitted. The Company is currently evaluating the impact that this guidance will have on the Company's consolidated financial statements and related disclosures.</w:t>
      </w:r>
    </w:p>
    <w:p>
      <w:pPr>
        <w:spacing w:after="0" w:line="20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3 -</w:t>
        <w:tab/>
        <w:t>Cash, Cash Equivalents and Restricted Cash</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43"/>
        </w:trPr>
        <w:tc>
          <w:tcPr>
            <w:tcW w:w="7960" w:type="dxa"/>
            <w:vAlign w:val="bottom"/>
          </w:tcPr>
          <w:p>
            <w:pPr>
              <w:ind w:left="160"/>
              <w:spacing w:after="0" w:line="243" w:lineRule="exact"/>
              <w:rPr>
                <w:sz w:val="20"/>
                <w:szCs w:val="20"/>
                <w:color w:val="auto"/>
              </w:rPr>
            </w:pPr>
            <w:r>
              <w:rPr>
                <w:rFonts w:ascii="Times New Roman" w:cs="Times New Roman" w:eastAsia="Times New Roman" w:hAnsi="Times New Roman"/>
                <w:sz w:val="18"/>
                <w:szCs w:val="18"/>
                <w:color w:val="auto"/>
              </w:rPr>
              <w:t>Cash</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1,372,289</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1,297,417</w:t>
            </w:r>
          </w:p>
        </w:tc>
      </w:tr>
      <w:tr>
        <w:trPr>
          <w:trHeight w:val="243"/>
        </w:trPr>
        <w:tc>
          <w:tcPr>
            <w:tcW w:w="7960" w:type="dxa"/>
            <w:vAlign w:val="bottom"/>
            <w:shd w:val="clear" w:color="auto" w:fill="CCEEFF"/>
          </w:tcPr>
          <w:p>
            <w:pPr>
              <w:ind w:left="160"/>
              <w:spacing w:after="0" w:line="243"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269,867</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166,025</w:t>
            </w:r>
          </w:p>
        </w:tc>
      </w:tr>
      <w:tr>
        <w:trPr>
          <w:trHeight w:val="236"/>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1,642,156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1,463,442</w:t>
            </w:r>
          </w:p>
        </w:tc>
      </w:tr>
      <w:tr>
        <w:trPr>
          <w:trHeight w:val="243"/>
        </w:trPr>
        <w:tc>
          <w:tcPr>
            <w:tcW w:w="79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Restricted cash</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95,401</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96,653</w:t>
            </w:r>
          </w:p>
        </w:tc>
      </w:tr>
      <w:tr>
        <w:trPr>
          <w:trHeight w:val="23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1,737,557</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1,560,095</w:t>
            </w:r>
          </w:p>
        </w:tc>
      </w:tr>
      <w:tr>
        <w:trPr>
          <w:trHeight w:val="20"/>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consists of cash on hand and bank deposits.</w:t>
      </w:r>
    </w:p>
    <w:p>
      <w:pPr>
        <w:spacing w:after="0" w:line="17"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equivalents consist of bank time deposits, U.S. government treasuries and money market funds and excludes $150.2 million and $601.8 million of short-term investments as of</w:t>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September 30, 2026 and December 31, 2025, respectively, as described in Note 2, "Basis of Presentation and Significant Accounting Policies."</w:t>
      </w:r>
    </w:p>
    <w:p>
      <w:pPr>
        <w:spacing w:after="0" w:line="15" w:lineRule="exact"/>
        <w:rPr>
          <w:sz w:val="20"/>
          <w:szCs w:val="20"/>
          <w:color w:val="auto"/>
        </w:rPr>
      </w:pPr>
    </w:p>
    <w:p>
      <w:pPr>
        <w:jc w:val="both"/>
        <w:ind w:left="340" w:hanging="332"/>
        <w:spacing w:after="0" w:line="272" w:lineRule="auto"/>
        <w:tabs>
          <w:tab w:leader="none" w:pos="358"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cash consists of cash subject to certain contractual restrictions, cash collateral associated with obligations and cash held in trusts in accordance with WML's share award plans, and as of September 30, 2026 and December 31, 2025 includes $86.6 million and $87.3 million, respectively, in the form of a first demand bank guarantee in favor of the Macau government to support the legal and contractual obligations of Wynn Resorts (Macau) S.A. ("Wynn Macau SA") through the term of Wynn Macau SA's gaming concession contract.</w:t>
      </w:r>
    </w:p>
    <w:p>
      <w:pPr>
        <w:spacing w:after="0" w:line="2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disclosures of the Company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7"/>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468,582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470,288</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settled with shares of common stock</w:t>
            </w:r>
          </w:p>
        </w:tc>
        <w:tc>
          <w:tcPr>
            <w:tcW w:w="160" w:type="dxa"/>
            <w:vAlign w:val="bottom"/>
          </w:tcPr>
          <w:p>
            <w:pPr>
              <w:spacing w:after="0"/>
              <w:rPr>
                <w:sz w:val="21"/>
                <w:szCs w:val="21"/>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5,631</w:t>
            </w:r>
          </w:p>
        </w:tc>
        <w:tc>
          <w:tcPr>
            <w:tcW w:w="10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w:t>
            </w:r>
          </w:p>
        </w:tc>
      </w:tr>
      <w:tr>
        <w:trPr>
          <w:trHeight w:val="24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and construction payables related to property and equipment</w:t>
            </w:r>
          </w:p>
        </w:tc>
        <w:tc>
          <w:tcPr>
            <w:tcW w:w="1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134,218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77,008</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arising from obtaining finance lease assets</w:t>
            </w:r>
          </w:p>
        </w:tc>
        <w:tc>
          <w:tcPr>
            <w:tcW w:w="160" w:type="dxa"/>
            <w:vAlign w:val="bottom"/>
          </w:tcPr>
          <w:p>
            <w:pPr>
              <w:spacing w:after="0"/>
              <w:rPr>
                <w:sz w:val="21"/>
                <w:szCs w:val="21"/>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5,748</w:t>
            </w:r>
          </w:p>
        </w:tc>
        <w:tc>
          <w:tcPr>
            <w:tcW w:w="10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39,573</w:t>
            </w:r>
          </w:p>
        </w:tc>
      </w:tr>
      <w:tr>
        <w:trPr>
          <w:trHeight w:val="24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arising from obtaining investments</w:t>
            </w:r>
          </w:p>
        </w:tc>
        <w:tc>
          <w:tcPr>
            <w:tcW w:w="1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25,191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arising from obtaining property and equipment</w:t>
            </w:r>
          </w:p>
        </w:tc>
        <w:tc>
          <w:tcPr>
            <w:tcW w:w="160" w:type="dxa"/>
            <w:vAlign w:val="bottom"/>
          </w:tcPr>
          <w:p>
            <w:pPr>
              <w:spacing w:after="0"/>
              <w:rPr>
                <w:sz w:val="21"/>
                <w:szCs w:val="21"/>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3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21,400</w:t>
            </w:r>
          </w:p>
        </w:tc>
      </w:tr>
      <w:tr>
        <w:trPr>
          <w:trHeight w:val="797"/>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Receivables, net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9"/>
        </w:trPr>
        <w:tc>
          <w:tcPr>
            <w:tcW w:w="7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Accounts Receivable and Credit Risk</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9"/>
        </w:trPr>
        <w:tc>
          <w:tcPr>
            <w:tcW w:w="7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Receivables, net consisted of the following (in thousands):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9"/>
        </w:trPr>
        <w:tc>
          <w:tcPr>
            <w:tcW w:w="7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Casino</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300,398</w:t>
            </w:r>
          </w:p>
        </w:tc>
        <w:tc>
          <w:tcPr>
            <w:tcW w:w="3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309,500</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Hotel</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44,259</w:t>
            </w:r>
          </w:p>
        </w:tc>
      </w:tr>
      <w:tr>
        <w:trPr>
          <w:trHeight w:val="24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94,879</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94,527</w:t>
            </w:r>
          </w:p>
        </w:tc>
      </w:tr>
      <w:tr>
        <w:trPr>
          <w:trHeight w:val="236"/>
        </w:trPr>
        <w:tc>
          <w:tcPr>
            <w:tcW w:w="7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442,853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448,286</w:t>
            </w:r>
          </w:p>
        </w:tc>
      </w:tr>
      <w:tr>
        <w:trPr>
          <w:trHeight w:val="24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(59,928)</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(45,645)</w:t>
            </w:r>
          </w:p>
        </w:tc>
      </w:tr>
      <w:tr>
        <w:trPr>
          <w:trHeight w:val="236"/>
        </w:trPr>
        <w:tc>
          <w:tcPr>
            <w:tcW w:w="79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382,925</w:t>
            </w:r>
          </w:p>
        </w:tc>
        <w:tc>
          <w:tcPr>
            <w:tcW w:w="3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402,641</w:t>
            </w:r>
          </w:p>
        </w:tc>
      </w:tr>
      <w:tr>
        <w:trPr>
          <w:trHeight w:val="20"/>
        </w:trPr>
        <w:tc>
          <w:tcPr>
            <w:tcW w:w="7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approximately 71.7% and 77.5%, respectively, of the Company's markers were due from customers residing outside the U.S., primarily in Asia. Business or economic conditions or other significant events in the countries in which the Company's customers reside could affect the collectability of such receivables.</w:t>
      </w:r>
    </w:p>
    <w:p>
      <w:pPr>
        <w:spacing w:after="0" w:line="20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allowance for casino credit losses was 18.7% and 14.3% of gross casino receivables as of September 30, 2026 and December 31, 2025, respectively. Although the Company believes that its allowance is adequate, it is possible the estimated amounts of cash collections with respect to receivables could change. The Company’s allowances for credit losses from its hotel and other receivables were not material.</w:t>
      </w:r>
    </w:p>
    <w:p>
      <w:pPr>
        <w:spacing w:after="0" w:line="19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shows the movement in the Company's allowance for credit losses recognized for receivables that occurred during the periods presented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4"/>
          </w:tcPr>
          <w:p>
            <w:pPr>
              <w:jc w:val="right"/>
              <w:ind w:right="1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7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45,645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37,694</w:t>
            </w:r>
          </w:p>
        </w:tc>
        <w:tc>
          <w:tcPr>
            <w:tcW w:w="0" w:type="dxa"/>
            <w:vAlign w:val="bottom"/>
          </w:tcPr>
          <w:p>
            <w:pPr>
              <w:spacing w:after="0"/>
              <w:rPr>
                <w:sz w:val="1"/>
                <w:szCs w:val="1"/>
                <w:color w:val="auto"/>
              </w:rPr>
            </w:pPr>
          </w:p>
        </w:tc>
      </w:tr>
      <w:tr>
        <w:trPr>
          <w:trHeight w:val="243"/>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Write-offs</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0" w:type="dxa"/>
            <w:vAlign w:val="bottom"/>
          </w:tcPr>
          <w:p>
            <w:pPr>
              <w:spacing w:after="0"/>
              <w:rPr>
                <w:sz w:val="1"/>
                <w:szCs w:val="1"/>
                <w:color w:val="auto"/>
              </w:rPr>
            </w:pPr>
          </w:p>
        </w:tc>
      </w:tr>
      <w:tr>
        <w:trPr>
          <w:trHeight w:val="243"/>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Recoveries of receivables previously written off</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exchange rate</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59,928</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45,207</w:t>
            </w:r>
          </w:p>
        </w:tc>
        <w:tc>
          <w:tcPr>
            <w:tcW w:w="0" w:type="dxa"/>
            <w:vAlign w:val="bottom"/>
          </w:tcPr>
          <w:p>
            <w:pPr>
              <w:spacing w:after="0"/>
              <w:rPr>
                <w:sz w:val="1"/>
                <w:szCs w:val="1"/>
                <w:color w:val="auto"/>
              </w:rPr>
            </w:pPr>
          </w:p>
        </w:tc>
      </w:tr>
      <w:tr>
        <w:trPr>
          <w:trHeight w:val="21"/>
        </w:trPr>
        <w:tc>
          <w:tcPr>
            <w:tcW w:w="7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 net</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8,807,453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8,708,210</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1,240,487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1,226,834</w:t>
            </w: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3,767,366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3,662,869</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Airplanes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187,597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187,597</w:t>
            </w: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532,236</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350,286</w:t>
            </w:r>
          </w:p>
        </w:tc>
        <w:tc>
          <w:tcPr>
            <w:tcW w:w="0" w:type="dxa"/>
            <w:vAlign w:val="bottom"/>
          </w:tcPr>
          <w:p>
            <w:pPr>
              <w:spacing w:after="0"/>
              <w:rPr>
                <w:sz w:val="1"/>
                <w:szCs w:val="1"/>
                <w:color w:val="auto"/>
              </w:rPr>
            </w:pPr>
          </w:p>
        </w:tc>
      </w:tr>
      <w:tr>
        <w:trPr>
          <w:trHeight w:val="236"/>
        </w:trPr>
        <w:tc>
          <w:tcPr>
            <w:tcW w:w="7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14,535,139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14,135,796</w:t>
            </w: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(7,851,063)</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(7,509,874)</w:t>
            </w: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6,684,076</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6,625,922</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September 30, 2026, construction in progress consisted primarily of costs capitalized for capital enhancements at the Company's properties, including room remodels at the Company's Las Vegas Operations and expanded entertainment and event space at Wynn Palace. As of December 31, 2025, construction in progress primarily included capitalized costs for new food and beverage offerings at our Las Vegas Operations and the expansion of entertainment and event space at Wynn Palace.</w:t>
      </w:r>
    </w:p>
    <w:p>
      <w:pPr>
        <w:spacing w:after="0" w:line="20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September 30, 2026 and 2025 was $147.3 million and $139.5 million, respectively, and depreciation expense for the nine months ended September 30, 2026 and 2025 was $447.1 million and $422.2 million,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6 -</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Macau Related:</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43"/>
        </w:trPr>
        <w:tc>
          <w:tcPr>
            <w:tcW w:w="7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WM Cayman II Revolver, due 2028</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1,142,183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1,149,597</w:t>
            </w: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5 1/2% Senior Notes, due 2027</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5 5/8% Senior Notes, due 2028</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5 1/8% Senior Notes, due 2029</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6 3/4% Senior Notes, due 2034</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43"/>
        </w:trPr>
        <w:tc>
          <w:tcPr>
            <w:tcW w:w="78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WML 4 1/2% Convertible Bonds, due 2029</w:t>
            </w:r>
            <w:r>
              <w:rPr>
                <w:rFonts w:ascii="Times New Roman" w:cs="Times New Roman" w:eastAsia="Times New Roman" w:hAnsi="Times New Roman"/>
                <w:sz w:val="23"/>
                <w:szCs w:val="23"/>
                <w:color w:val="auto"/>
                <w:vertAlign w:val="superscript"/>
              </w:rPr>
              <w:t>(2)(3)</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57"/>
        </w:trPr>
        <w:tc>
          <w:tcPr>
            <w:tcW w:w="7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U.S. and Corporate Related:</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43"/>
        </w:trPr>
        <w:tc>
          <w:tcPr>
            <w:tcW w:w="7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WRF Credit Facilities</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WRF Term Loan, due 2030</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748,107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752,813</w:t>
            </w:r>
          </w:p>
        </w:tc>
      </w:tr>
      <w:tr>
        <w:trPr>
          <w:trHeight w:val="243"/>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WRF Revolver, due 2030</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WLV 5 1/4% Senior Notes, due 2027</w:t>
            </w:r>
          </w:p>
        </w:tc>
        <w:tc>
          <w:tcPr>
            <w:tcW w:w="1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880,000</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WRF 5 1/8% Senior Notes, due 2029</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7 1/8% Senior Notes, due 2031</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WRF 6 1/4% Senior Notes, due 2033</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6 7/8% Senior Notes, due 2035</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2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Retail Term Loan, due 2027</w:t>
            </w:r>
            <w:r>
              <w:rPr>
                <w:rFonts w:ascii="Times New Roman" w:cs="Times New Roman" w:eastAsia="Times New Roman" w:hAnsi="Times New Roman"/>
                <w:sz w:val="23"/>
                <w:szCs w:val="23"/>
                <w:color w:val="auto"/>
                <w:vertAlign w:val="superscript"/>
              </w:rPr>
              <w:t>(5)</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37"/>
        </w:trPr>
        <w:tc>
          <w:tcPr>
            <w:tcW w:w="7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10,840,290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10,632,410</w:t>
            </w:r>
          </w:p>
        </w:tc>
      </w:tr>
      <w:tr>
        <w:trPr>
          <w:trHeight w:val="243"/>
        </w:trPr>
        <w:tc>
          <w:tcPr>
            <w:tcW w:w="7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WML Convertible Bond Conversion Option Derivative</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32,586</w:t>
            </w: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 and original issue discounts and premium, net</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(106,919)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(118,184)</w:t>
            </w:r>
          </w:p>
        </w:tc>
      </w:tr>
      <w:tr>
        <w:trPr>
          <w:trHeight w:val="236"/>
        </w:trPr>
        <w:tc>
          <w:tcPr>
            <w:tcW w:w="7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10,734,229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10,546,812</w:t>
            </w: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(1,159,665)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r>
      <w:tr>
        <w:trPr>
          <w:trHeight w:val="23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9,574,564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10,537,402</w:t>
            </w: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340" w:hanging="332"/>
        <w:spacing w:after="0" w:line="261" w:lineRule="auto"/>
        <w:tabs>
          <w:tab w:leader="none" w:pos="343"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2026, the borrowings under the WM Cayman II Revolver bear interest at the term secured overnight financing rate ("Term SOFR") plus a credit adjustment spread of 0.10% or the Hong Kong Interbank Offered Rate ("HIBOR"), in each case plus a margin of 1.875% to 2.875% per annum based on WM Cayman II’s leverage ratio on a consolidated basis. Approximately $239.1 million and $903.1 million of the WM Cayman II Revolver bears interest at a rate of Term SOFR plus 1.975% per year and HIBOR plus 1.875% per year, respectively. As of September 30, 2026, the weighted average interest rate was approximately 5.09%. As of September 30, 2026, the available borrowing capacity under the WM Cayman II Revolver was $1.35 billion.</w:t>
      </w:r>
    </w:p>
    <w:p>
      <w:pPr>
        <w:spacing w:after="0" w:line="1"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53"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carrying amount of the WML Convertible Bonds, together with the WML Convertible Bond Conversion Option Derivative, is included in Current portion of long-term debt as of September 30, 2026. WML may be required to redeem all or a portion of the WML Convertible Bonds at the option of bond holders on March 7, 2027.</w:t>
      </w:r>
    </w:p>
    <w:p>
      <w:pPr>
        <w:jc w:val="both"/>
        <w:ind w:left="340" w:hanging="332"/>
        <w:spacing w:after="0" w:line="256" w:lineRule="auto"/>
        <w:tabs>
          <w:tab w:leader="none" w:pos="37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2026, the net carrying amount of the WML Convertible Bonds was $536.1 million, with unamortized debt discount and debt issuance costs of $63.9 million. The Company recorded contractual interest expense of $6.8 million in each of the three months ended September 30, 2026 and 2025 and amortization of discounts and issuance costs of $5.8 million and $5.3 million during the three months ended September 30, 2026 and 2025, respectively, and contractual interest expense of $20.3 million in each of the nine months ended September 30, 2026 and 2025 and amortization of discounts and issuance costs of $16.9 million and $15.4 million during the nine months ended September 30, 2026 and 2025, respectively.</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69" w:lineRule="auto"/>
        <w:tabs>
          <w:tab w:leader="none" w:pos="35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WRF Term Loan and WRF Revolver bear interest at a rate of Term SOFR plus 1.50% and 1.75% per year, respectively. As of September 30, 2026, the weighted average interest rate was approximately 5.44%. Additionally, as of September 30, 2026, the available borrowing capacity under the WRF Revolver was $1.03 billion, net of $15.3 million in outstanding letters of credit.</w:t>
      </w:r>
    </w:p>
    <w:p>
      <w:pPr>
        <w:spacing w:after="0" w:line="152" w:lineRule="exact"/>
        <w:rPr>
          <w:rFonts w:ascii="Times New Roman" w:cs="Times New Roman" w:eastAsia="Times New Roman" w:hAnsi="Times New Roman"/>
          <w:sz w:val="14"/>
          <w:szCs w:val="14"/>
          <w:color w:val="auto"/>
        </w:rPr>
      </w:pPr>
    </w:p>
    <w:p>
      <w:pPr>
        <w:ind w:left="340" w:hanging="332"/>
        <w:spacing w:after="0" w:line="283" w:lineRule="auto"/>
        <w:tabs>
          <w:tab w:leader="none" w:pos="34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Retail Term Loan bears interest at a rate of adjusted daily simple secured overnight financing rate ("SOFR") plus 2.15% per year. As of September 30, 2026, the effective interest rate was 5.54%.</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WRF Senior Notes</w:t>
      </w:r>
    </w:p>
    <w:p>
      <w:pPr>
        <w:spacing w:after="0" w:line="2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September 2026, WRF and its subsidiary Wynn Resorts Capital Corp. (together the "WRF Issuers") issued $900.0 million aggregate principal amount of 6 7/8% Senior Notes due 2035 (the "2035 WRF Senior Notes") pursuant to an indenture among the WRF Issuers, the guarantors party thereto, and U.S. Bank Trust Company, National Association, as trustee, in a private placement exempt from the registration requirements of the Securities Act of 1933, as amended. WRF used the net proceeds from the issuance of the 2035 WRF Senior Notes, along with cash on hand, to: i) redeem in full the outstanding principal amount of the Wynn Las Vegas 5 1/4% Senior Notes due 2027 (the "2027 WLV Senior Notes") in accordance with the terms and conditions of the 2027 WLV Senior Notes' indenture; and ii) pay fees and expenses related to the issuance of the 2035 WRF Senior Notes and the redemption of the 2027 WLV Senior Notes. In connection with the issuance of the 2035 WRF Senior Notes, the Company recorded $4.5 million of original issue discount and $9.2 million of debt issuance costs within the Condensed Consolidated Balance Sheet.</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WLV Senior Notes</w:t>
      </w:r>
    </w:p>
    <w:p>
      <w:pPr>
        <w:spacing w:after="0" w:line="2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September 2026, Wynn Las Vegas redeemed $900.0 million aggregate principal amount of its 2027 WLV Senior Notes at a price equal to 100.00% of the principal amount, plus a "make-whole" amount and accrued interest, in accordance with the terms and conditions of its indenture. Included in the $900.0 million redemption was $20.0 million aggregate principal amount of 2027 WLV Senior Notes held by Wynn Resorts. In connection with the redemption of the 2027 WLV Senior Notes, the Company recognized a loss on debt financing transactions of $5.4 million within the accompanying Condensed Consolidated Statement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 Compliance</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2026, management believes the Company was in compliance with all debt covenants.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Long-Term Debt</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estimated fair value of the Company's long-term debt as of September 30, 2026 and December 31, 2025 was approximately $10.62 billion and $10.74 billion, respectively, compared to its carrying value, excluding debt issuance costs and original issue discount and premium, of $10.84 billion and $10.63 billion, respectively. The estimated fair value of the Company's long-term debt is based on recent trades, if available, and indicative pricing from market information (Level 2 inputs).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 Instruments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WML Convertible Bond Conversion Option</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conversion feature contained within the WML Convertible Bonds (the "WML Convertible Bond Conversion Option Derivative") is not indexed to WML's equity and, as such, is required to be bifurcated from the debt host contract and accounted for as a free-standing derivative, reported at fair value as of the end of each reporting period, with changes recognized in the Condensed Consolidated Statements of Operations. The following table sets forth the inputs to the lattice models that were used to value the WML Convertible Bond Conversion Option Derivative: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00" w:type="dxa"/>
            <w:vAlign w:val="bottom"/>
          </w:tcPr>
          <w:p>
            <w:pPr>
              <w:spacing w:after="0"/>
              <w:rPr>
                <w:sz w:val="16"/>
                <w:szCs w:val="16"/>
                <w:color w:val="auto"/>
              </w:rPr>
            </w:pPr>
          </w:p>
        </w:tc>
        <w:tc>
          <w:tcPr>
            <w:tcW w:w="15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stock price</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1"/>
              </w:rPr>
              <w:t>HK$</w:t>
            </w: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HK$</w:t>
            </w:r>
          </w:p>
        </w:tc>
        <w:tc>
          <w:tcPr>
            <w:tcW w:w="15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5.94</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volatility</w:t>
            </w:r>
          </w:p>
        </w:tc>
        <w:tc>
          <w:tcPr>
            <w:tcW w:w="3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w:t>
            </w:r>
          </w:p>
        </w:tc>
      </w:tr>
      <w:tr>
        <w:trPr>
          <w:trHeight w:val="24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360" w:type="dxa"/>
            <w:vAlign w:val="bottom"/>
          </w:tcPr>
          <w:p>
            <w:pPr>
              <w:spacing w:after="0"/>
              <w:rPr>
                <w:sz w:val="21"/>
                <w:szCs w:val="21"/>
                <w:color w:val="auto"/>
              </w:rPr>
            </w:pP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72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Dividend yield</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bl>
    <w:p>
      <w:pPr>
        <w:spacing w:after="0" w:line="72" w:lineRule="exact"/>
        <w:rPr>
          <w:sz w:val="20"/>
          <w:szCs w:val="20"/>
          <w:color w:val="auto"/>
        </w:rPr>
      </w:pPr>
    </w:p>
    <w:p>
      <w:pPr>
        <w:ind w:left="340" w:hanging="332"/>
        <w:spacing w:after="0" w:line="282" w:lineRule="auto"/>
        <w:tabs>
          <w:tab w:leader="none" w:pos="393"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yield is assumed to be zero in the lattice model used to value the WML Convertible Bond Conversion Option Derivative, due to a dividend protection feature in the WML Convertible Bond Agreement.</w:t>
      </w:r>
    </w:p>
    <w:p>
      <w:pPr>
        <w:spacing w:after="0" w:line="20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estimated fair value of the embedded derivative was $0.9 million recorded in Current portion of long-term debt and $32.6 million recorded in Long-term debt in the accompanying Condensed Consolidated Balance Sheets as of September 30, 2026 and December 31, 2025, respectively. In connection with the change in fair value, the Company recorded a gain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$1.1 million and a loss of $18.5 million for the three months ended September 30, 2026 and 2025, respectively, and a gain of $31.7 million and a loss of $28.5 million for the nine months ended September 30, 2026 and 2025, respectively, within Change in derivatives fair value in the accompanying Condensed Consolidated Statements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Swaps</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enters into foreign currency swap agreements (the "Foreign Currency Swaps") with the objective of managing foreign currency exchange rate risk associated with the outstanding U.S. dollar denominated WML Senior Notes. The Foreign Currency Swaps exchange predetermined amounts of Hong Kong dollars for U.S. dollars at a contractual spot rate, and as of September 30, 2026, have an aggregate notional amount of $4.10 billion, and have maturities between October 2027 and August 2030.</w:t>
      </w:r>
    </w:p>
    <w:p>
      <w:pPr>
        <w:spacing w:after="0" w:line="20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September 30, 2026, the net fair value of the Foreign Currency Swaps was an asset of $20.5 million, with $20.1 million recorded in Prepaid expenses and other, $1.9 million recorded in Other assets and $1.5 million recorded in Other long-term liabilities in the accompanying Condensed Consolidated Balance Sheets. As of December 31, 2025, the net fair value of the Foreign Currency Swaps was a liability of $36.0 million, with $17.0 million recorded in Prepaid expenses and other and $53.0 million recorded in Other long-term liabilities in the accompanying Condensed Consolidated Balance Sheets.</w:t>
      </w:r>
    </w:p>
    <w:p>
      <w:pPr>
        <w:spacing w:after="0" w:line="21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fair values of the Foreign Currency Swaps were estimated based on discounted future cash flows, incorporating foreign currency spot rates and market yield curves (Level 2 inputs). Gains and losses on the Foreign Currency Swaps are recorded in earnings, as these instruments are not designated as hedges. The Company recorded a gain of $17.5 million and $6.1 million in the three months ended September 30, 2026 and 2025, respectively, and a gain of $75.1 million and a loss of $8.4 million in the nine months ended September 30, 2026 and 2025, respectively, within Change in derivatives fair value in the accompanying Condensed Consolidated Statements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Deficit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Repurchase Program</w:t>
      </w:r>
    </w:p>
    <w:p>
      <w:pPr>
        <w:spacing w:after="0" w:line="24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November 2024, the Company’s Board of Directors authorized an increase in the amount of the Company's outstanding shares of common stock available for repurchase under the previously available repurchase authorization to $1.00 billion.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w:t>
      </w:r>
    </w:p>
    <w:p>
      <w:pPr>
        <w:spacing w:after="0" w:line="21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repurchased 627,475 and 1,897,240 shares of its common stock at average prices of $92.61 and $98.50 per share, respectively, for an aggregate cost of $58.1 million and $186.9 million, respectively, under the equity repurchase program. During the three and nine months ended September 30, 2025, the Company repurchased 600 and 4,365,212 shares of its common stock at average prices of $99.27 and $82.06 per share for an aggregate cost of $0.1 million and $358.2 million, respectively, under the equity repurchase program. As of September 30, 2026, the Company had $268.0 million in repurchase authority remaining under the program.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paid a cash dividend of $0.25 per share on its common stock during each of the three month periods ended March 31, 2026, June 30, 2026 and September 30, 2026 and recorded $26.1 million, $25.8 million and $25.7 million against accumulated deficit, respectively. The Company paid a cash dividend of $0.25 per share on its common stock during each of the three month periods ended March 31, 2025, June 30, 2025 and September 30, 2025 and recorded $26.6 million, $26.1 million and $25.9 million against accumulated deficit, respectively.</w:t>
      </w:r>
    </w:p>
    <w:p>
      <w:pPr>
        <w:spacing w:after="0" w:line="20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November 5, 2026, the Company's Board of Directors declared a cash dividend of $0.25 per share on its common stock, payable on November 30, 2026 to stockholders of record as of November 16, 2026.</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Wynn Macau, Limited</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June 16, 2026, WML paid a cash dividend of HK$0.223 per share on its common stock for a total U.S. dollar equivalent of approximately $149.8 million. The Company's share of this dividend was $106.7 million, and the noncontrolling interest holders' share of this dividend was $43.1 million.</w:t>
      </w:r>
    </w:p>
    <w:p>
      <w:pPr>
        <w:spacing w:after="0" w:line="18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On September 24, 2026, WML paid a cash dividend of HK$0.223 per share on its common stock for a total U.S. dollar equivalent of approximately $150.7 million. The Company's share of this dividend was $106.6 million, and the noncontrolling interest holders' share of this dividend was $44.1 million.</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WML Securities Lending Agreement</w:t>
      </w:r>
    </w:p>
    <w:p>
      <w:pPr>
        <w:spacing w:after="0" w:line="2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connection with the offering of the WML Convertible Bonds, WM Cayman Holdings I Limited ("WM Cayman I"), a wholly owned subsidiary of the Company and holder of our approximate 71% ownership interest in WML, entered into a stock borrowing and lending agreement with Goldman Sachs International (the "WML Stock Borrower") in March 2023 (the "Securities Lending Agreement"), pursuant to which WM Cayman I has agreed to lend to the WML Stock Borrower up to 459,774,985 of its ordinary share holdings in WML, upon and subject to the terms and conditions in the Securities Lending Agreement. WM Cayman I may, at its sole discretion, terminate any stock loan by giving the WML Stock Borrower no less than five business days' notice. The Securities Lending Agreement terminates on the date on which the WML Convertible Bonds have been redeemed, or converted in full, whichever is the earlier. As of the date of this report, the WML Stock Borrower held 79,774,985 WML shares under the Securities Lending Agreement.</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Retail Joint Venture</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Retail Joint Venture made aggregate distributions of $7.8 million and $5.8 million during the three months ended September 30, 2026 and 2025, respectively, and $23.8 million and $18.1 million during the nine months ended September 30, 2026 and 2025, respectively, to its noncontrolling interest holder. For more information on the Retail Joint Venture, see Note 16, "Retail Joint Venture."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assets and liabilities carried at fair value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20" w:type="dxa"/>
            <w:vAlign w:val="bottom"/>
            <w:gridSpan w:val="6"/>
          </w:tcPr>
          <w:p>
            <w:pPr>
              <w:jc w:val="center"/>
              <w:ind w:left="919"/>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Quoted</w:t>
            </w:r>
          </w:p>
        </w:tc>
        <w:tc>
          <w:tcPr>
            <w:tcW w:w="240" w:type="dxa"/>
            <w:vAlign w:val="bottom"/>
          </w:tcPr>
          <w:p>
            <w:pPr>
              <w:spacing w:after="0"/>
              <w:rPr>
                <w:sz w:val="12"/>
                <w:szCs w:val="12"/>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Market</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4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118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11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8"/>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269,867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253,856</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95,401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91,015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Swaps (see Note 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22,042</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Convertible Bond Conversion Option Derivative (see Note 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Swaps (see Note 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equity contribution agreement (see Note 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17,881</w:t>
            </w:r>
          </w:p>
        </w:tc>
        <w:tc>
          <w:tcPr>
            <w:tcW w:w="0" w:type="dxa"/>
            <w:vAlign w:val="bottom"/>
          </w:tcPr>
          <w:p>
            <w:pPr>
              <w:spacing w:after="0"/>
              <w:rPr>
                <w:sz w:val="1"/>
                <w:szCs w:val="1"/>
                <w:color w:val="auto"/>
              </w:rPr>
            </w:pPr>
          </w:p>
        </w:tc>
      </w:tr>
      <w:tr>
        <w:trPr>
          <w:trHeight w:val="449"/>
        </w:trPr>
        <w:tc>
          <w:tcPr>
            <w:tcW w:w="5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6"/>
          </w:tcPr>
          <w:p>
            <w:pPr>
              <w:jc w:val="center"/>
              <w:ind w:left="919"/>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Quoted</w:t>
            </w:r>
          </w:p>
        </w:tc>
        <w:tc>
          <w:tcPr>
            <w:tcW w:w="240" w:type="dxa"/>
            <w:vAlign w:val="bottom"/>
          </w:tcPr>
          <w:p>
            <w:pPr>
              <w:spacing w:after="0"/>
              <w:rPr>
                <w:sz w:val="12"/>
                <w:szCs w:val="12"/>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Market</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4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118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11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8"/>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166,025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159,481</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96,653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deposits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475,000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Swaps (see Note 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16,980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40" w:lineRule="exact"/>
        <w:rPr>
          <w:sz w:val="20"/>
          <w:szCs w:val="20"/>
          <w:color w:val="auto"/>
        </w:rPr>
      </w:pPr>
    </w:p>
    <w:p>
      <w:pPr>
        <w:ind w:left="20" w:right="520"/>
        <w:spacing w:after="0" w:line="237" w:lineRule="auto"/>
        <w:rPr>
          <w:sz w:val="20"/>
          <w:szCs w:val="20"/>
          <w:color w:val="auto"/>
        </w:rPr>
      </w:pPr>
      <w:r>
        <w:rPr>
          <w:rFonts w:ascii="Times New Roman" w:cs="Times New Roman" w:eastAsia="Times New Roman" w:hAnsi="Times New Roman"/>
          <w:sz w:val="18"/>
          <w:szCs w:val="18"/>
          <w:color w:val="auto"/>
        </w:rPr>
        <w:t>WML Convertible Bond Conversion Option Derivative (see Note 7)</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Currency Swaps (see Note 7)</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rate swap</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32,586</w:t>
            </w:r>
          </w:p>
        </w:tc>
        <w:tc>
          <w:tcPr>
            <w:tcW w:w="7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32,586</w:t>
            </w:r>
          </w:p>
        </w:tc>
      </w:tr>
      <w:tr>
        <w:trPr>
          <w:trHeight w:val="338"/>
        </w:trPr>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53,036</w:t>
            </w:r>
          </w:p>
        </w:tc>
        <w:tc>
          <w:tcPr>
            <w:tcW w:w="7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53,036</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7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-582295</wp:posOffset>
            </wp:positionV>
            <wp:extent cx="71323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-153670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720"/>
            <w:col w:w="5980"/>
          </w:cols>
          <w:pgMar w:left="320" w:top="118"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Customer Contract Liabilities</w:t>
      </w:r>
    </w:p>
    <w:p>
      <w:pPr>
        <w:spacing w:after="0" w:line="256"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primary liabilities associated with customer contracts are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Increase /</w:t>
            </w:r>
          </w:p>
        </w:tc>
        <w:tc>
          <w:tcPr>
            <w:tcW w:w="14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9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Increase /</w:t>
            </w:r>
          </w:p>
        </w:tc>
      </w:tr>
      <w:tr>
        <w:trPr>
          <w:trHeight w:val="195"/>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0" w:type="dxa"/>
            <w:vAlign w:val="bottom"/>
          </w:tcPr>
          <w:p>
            <w:pPr>
              <w:spacing w:after="0"/>
              <w:rPr>
                <w:sz w:val="16"/>
                <w:szCs w:val="16"/>
                <w:color w:val="auto"/>
              </w:rPr>
            </w:pPr>
          </w:p>
        </w:tc>
        <w:tc>
          <w:tcPr>
            <w:tcW w:w="10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79"/>
        </w:trPr>
        <w:tc>
          <w:tcPr>
            <w:tcW w:w="3720" w:type="dxa"/>
            <w:vAlign w:val="bottom"/>
            <w:tcBorders>
              <w:top w:val="single" w:sz="8" w:color="CCEEFF"/>
            </w:tcBorders>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Casino outstanding chips and front money</w:t>
            </w:r>
          </w:p>
        </w:tc>
        <w:tc>
          <w:tcPr>
            <w:tcW w:w="1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r>
      <w:tr>
        <w:trPr>
          <w:trHeight w:val="238"/>
        </w:trPr>
        <w:tc>
          <w:tcPr>
            <w:tcW w:w="372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deposits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467,994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423,005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409,928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13,077</w:t>
            </w:r>
          </w:p>
        </w:tc>
      </w:tr>
      <w:tr>
        <w:trPr>
          <w:trHeight w:val="243"/>
        </w:trPr>
        <w:tc>
          <w:tcPr>
            <w:tcW w:w="37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Advance room deposits and ticket sales</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r>
      <w:tr>
        <w:trPr>
          <w:trHeight w:val="243"/>
        </w:trPr>
        <w:tc>
          <w:tcPr>
            <w:tcW w:w="37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Other gaming-related liabilities</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r>
      <w:tr>
        <w:trPr>
          <w:trHeight w:val="243"/>
        </w:trPr>
        <w:tc>
          <w:tcPr>
            <w:tcW w:w="372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Loyalty program and related liabilities</w:t>
            </w:r>
            <w:r>
              <w:rPr>
                <w:rFonts w:ascii="Times New Roman" w:cs="Times New Roman" w:eastAsia="Times New Roman" w:hAnsi="Times New Roman"/>
                <w:sz w:val="23"/>
                <w:szCs w:val="23"/>
                <w:color w:val="auto"/>
                <w:vertAlign w:val="superscript"/>
              </w:rPr>
              <w:t>(4)</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32,279</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w:t>
            </w:r>
          </w:p>
        </w:tc>
      </w:tr>
      <w:tr>
        <w:trPr>
          <w:trHeight w:val="262"/>
        </w:trPr>
        <w:tc>
          <w:tcPr>
            <w:tcW w:w="3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554,302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593,361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554,781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539,335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15,446</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340" w:hanging="332"/>
        <w:spacing w:after="0" w:line="262" w:lineRule="auto"/>
        <w:tabs>
          <w:tab w:leader="none" w:pos="34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Casino outstanding chips generally represent amounts owed to gaming promoters and customers for chips in their possession, and casino front money deposits represent funds deposited by customers before gaming play occurs. These amounts are included in customer deposits on the Condensed Consolidated Balance Sheets and may be recognized as revenue or redeemed for cash in the future.</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60" w:lineRule="auto"/>
        <w:tabs>
          <w:tab w:leader="none" w:pos="379"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room deposits and ticket sales represent cash received in advance for goods or services to be provided in the future. These amounts are included in 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ind w:left="340" w:hanging="332"/>
        <w:spacing w:after="0" w:line="254" w:lineRule="auto"/>
        <w:tabs>
          <w:tab w:leader="none" w:pos="35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ind w:left="340" w:hanging="332"/>
        <w:spacing w:after="0" w:line="278" w:lineRule="auto"/>
        <w:tabs>
          <w:tab w:leader="none" w:pos="33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 by customers.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total compensation cost for stock-based compensation plans was recorded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62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Casino</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Rooms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w:t>
            </w:r>
          </w:p>
        </w:tc>
      </w:tr>
      <w:tr>
        <w:trPr>
          <w:trHeight w:val="24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beverage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12,876</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4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43,629</w:t>
            </w:r>
          </w:p>
        </w:tc>
      </w:tr>
      <w:tr>
        <w:trPr>
          <w:trHeight w:val="237"/>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62,845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70,901</w:t>
            </w:r>
          </w:p>
        </w:tc>
      </w:tr>
      <w:tr>
        <w:trPr>
          <w:trHeight w:val="243"/>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capitalized</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r>
      <w:tr>
        <w:trPr>
          <w:trHeight w:val="23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stock-based compensation costs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21,534</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24,071</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66,856</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75,186</w:t>
            </w:r>
          </w:p>
        </w:tc>
      </w:tr>
      <w:tr>
        <w:trPr>
          <w:trHeight w:val="21"/>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recorded income tax expense of $5.6 million and $61.1 million for the three months ended September 30, 2026 and 2025, respectively, and income tax expense of $31.9 million and $82.7 million for the nine months ended September 30, 2026 and 2025, respectively, primarily related to its U.S.-based operating profits.</w:t>
      </w:r>
    </w:p>
    <w:p>
      <w:pPr>
        <w:spacing w:after="0" w:line="20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difference between the statutory tax rate of 21% and the effective tax rate of 7.9% for the nine months ended September 30, 2026 is due to the exemption from Macau's 12% Complementary Tax on casino gaming profits earned by Wynn Macau SA.</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p>
      <w:pPr>
        <w:spacing w:after="0" w:line="25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attributable to Wynn Resorts by the weighted average number of common shares outstanding during the period. Diluted EPS is computed by dividing net income attributable to Wynn Resorts, adjusted for the potential dilutive impact assuming that the conversion of the WML Convertible Bonds occurred at the later of the date of issuance or beginning of the period presented under the if-converted method, by the weighted average number of common shares outstanding during the period increased to include the number of additional shares of common stock that would have been outstanding if the potential dilutive securities had been issued, to the extent such impact is not anti-dilutive. Other potentially dilutive securities include share-based awards outstanding under the Wynn Resorts, Limited Third Amended and Restated 2014 Omnibus Incentive Plan.</w:t>
      </w:r>
    </w:p>
    <w:p>
      <w:pPr>
        <w:spacing w:after="0" w:line="21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weighted average number of common and common equivalent shares used in the calculation of basic and diluted EPS consisted of the following (in thousands, except per share amounts):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4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 - basic</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17,321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88,341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277,837</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227,306</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 of Wynn Resorts, Limited subsidiaries: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220"/>
              <w:spacing w:after="0" w:line="243" w:lineRule="exact"/>
              <w:rPr>
                <w:sz w:val="20"/>
                <w:szCs w:val="20"/>
                <w:color w:val="auto"/>
              </w:rPr>
            </w:pPr>
            <w:r>
              <w:rPr>
                <w:rFonts w:ascii="Times New Roman" w:cs="Times New Roman" w:eastAsia="Times New Roman" w:hAnsi="Times New Roman"/>
                <w:sz w:val="18"/>
                <w:szCs w:val="18"/>
                <w:color w:val="auto"/>
              </w:rPr>
              <w:t>Assumed conversion of WML Convertible Bonds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4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 - diluted</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17,321</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88,341</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265,736</w:t>
            </w:r>
          </w:p>
        </w:tc>
        <w:tc>
          <w:tcPr>
            <w:tcW w:w="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227,306</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102,550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103,955</w:t>
            </w:r>
          </w:p>
        </w:tc>
        <w:tc>
          <w:tcPr>
            <w:tcW w:w="0" w:type="dxa"/>
            <w:vAlign w:val="bottom"/>
          </w:tcPr>
          <w:p>
            <w:pPr>
              <w:spacing w:after="0"/>
              <w:rPr>
                <w:sz w:val="1"/>
                <w:szCs w:val="1"/>
                <w:color w:val="auto"/>
              </w:rPr>
            </w:pPr>
          </w:p>
        </w:tc>
      </w:tr>
      <w:tr>
        <w:trPr>
          <w:trHeight w:val="189"/>
        </w:trPr>
        <w:tc>
          <w:tcPr>
            <w:tcW w:w="54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Potential dilutive effect of stock options, nonvested, and performance</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nonvested shares</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169"/>
        </w:trPr>
        <w:tc>
          <w:tcPr>
            <w:tcW w:w="542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Weighted average common and common equivalent shares</w:t>
            </w:r>
          </w:p>
        </w:tc>
        <w:tc>
          <w:tcPr>
            <w:tcW w:w="2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102,267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103,636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103,013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104,373</w:t>
            </w:r>
          </w:p>
        </w:tc>
        <w:tc>
          <w:tcPr>
            <w:tcW w:w="0" w:type="dxa"/>
            <w:vAlign w:val="bottom"/>
          </w:tcPr>
          <w:p>
            <w:pPr>
              <w:spacing w:after="0"/>
              <w:rPr>
                <w:sz w:val="1"/>
                <w:szCs w:val="1"/>
                <w:color w:val="auto"/>
              </w:rPr>
            </w:pPr>
          </w:p>
        </w:tc>
      </w:tr>
      <w:tr>
        <w:trPr>
          <w:trHeight w:val="216"/>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4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Net income attributable to Wynn Resorts, Limited per common share,</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6"/>
                <w:szCs w:val="16"/>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spacing w:after="0"/>
              <w:rPr>
                <w:sz w:val="16"/>
                <w:szCs w:val="16"/>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16"/>
                <w:szCs w:val="16"/>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1"/>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20" w:type="dxa"/>
            <w:vAlign w:val="bottom"/>
            <w:shd w:val="clear" w:color="auto" w:fill="CCEEFF"/>
          </w:tcPr>
          <w:p>
            <w:pPr>
              <w:ind w:left="220"/>
              <w:spacing w:after="0" w:line="156" w:lineRule="exact"/>
              <w:rPr>
                <w:sz w:val="20"/>
                <w:szCs w:val="20"/>
                <w:color w:val="auto"/>
              </w:rPr>
            </w:pPr>
            <w:r>
              <w:rPr>
                <w:rFonts w:ascii="Times New Roman" w:cs="Times New Roman" w:eastAsia="Times New Roman" w:hAnsi="Times New Roman"/>
                <w:sz w:val="18"/>
                <w:szCs w:val="18"/>
                <w:color w:val="auto"/>
              </w:rPr>
              <w:t>Net income attributable to Wynn Resorts, Limited per common share,</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36"/>
        </w:trPr>
        <w:tc>
          <w:tcPr>
            <w:tcW w:w="5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42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Anti-dilutive stock options, nonvested, and performance nonvested</w:t>
            </w:r>
          </w:p>
        </w:tc>
        <w:tc>
          <w:tcPr>
            <w:tcW w:w="22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36"/>
        </w:trPr>
        <w:tc>
          <w:tcPr>
            <w:tcW w:w="5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excluded from the calculation of diluted net income per share</w:t>
            </w: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40" w:hanging="332"/>
        <w:spacing w:after="0" w:line="282" w:lineRule="auto"/>
        <w:tabs>
          <w:tab w:leader="none" w:pos="3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assumed conversion of the WML Convertible Bonds had an anti-dilutive impact for the three months ended September 30, 2026 and for the three and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minimum and contingent operating lease income for the periods presented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40" w:type="dxa"/>
            <w:vAlign w:val="bottom"/>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rental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112,699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110,263</w:t>
            </w:r>
          </w:p>
        </w:tc>
      </w:tr>
      <w:tr>
        <w:trPr>
          <w:trHeight w:val="24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rental income</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48,968</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45,114</w:t>
            </w:r>
          </w:p>
        </w:tc>
      </w:tr>
      <w:tr>
        <w:trPr>
          <w:trHeight w:val="261"/>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rental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53,679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161,667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155,377</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 Marjan Island Funding Commitments</w:t>
      </w:r>
    </w:p>
    <w:p>
      <w:pPr>
        <w:spacing w:after="0" w:line="2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connection with the construction of Wynn Al Marjan Island and surrounding developments, including Janu Al Marjan Island, a hotel and residential development to be operated by Aman Group, the Company is required to contribute capital to the Al Marjan Joint Venture to fund 40% of the project design and development costs in exchange for a pro-rata share of equity. During the three and nine months ended September 30, 2026, the Company contributed $62.2 million and $210.4 million of cash into the Al Marjan Joint Venture, bringing our life-to-date cash contributions to $1.12 billion. The remaining 40% pro-rata share of the required cash contributions for Wynn Al Marjan Island, including Janu Al Marjan Island, is currently estimated to be between $465 million and $590 million inclusive of capitalized interest and fees.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 Marjan Facility Completion Guarantee</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February 2025, Wynn Al Marjan Island FZ-LLC (the "Borrower"), a wholly-owned subsidiary of Island 3, an unconsolidated affiliate, entered into a facility agreement with a syndicate of lenders (the "Al Marjan Facility Agreement") which provides the Borrower with approximately $2.4 billion (or equivalent in local currency) delayed draw secured term loan facility to finance the development of Wynn Al Marjan Island (the "Al Marjan Facility").</w:t>
      </w:r>
    </w:p>
    <w:p>
      <w:pPr>
        <w:spacing w:after="0" w:line="20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is not a party to the Al Marjan Facility Agreement, but as a condition precedent to the Al Marjan Facility being made available to the Borrower, the Company and the government of Ras Al Khaimah, acting through the Investment and Development Office of Ras Al Khaimah (collectively, the "Al Marjan Guarantors"), entered into a guarantee (the "Completion Guarantee") in favor of First Abu Dhabi Bank PJSC, as security agent for itself and the other secured parties (collectively, the "Secured Parties") under the Al Marjan Facility Agreement. The guarantees and undertakings provided by the Al Marjan Guarantors under the Completion Guarantee terminate on the earlier of: (1) the date on which all secured liabilities under the Al Marjan Facility Agreement have been paid in full, and (2) the date of practical completion of the project (as provided in the Al Marjan Facility Agreement), taking place no later than June 30, 2028.</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Equity Contribution Agreement</w:t>
      </w:r>
    </w:p>
    <w:p>
      <w:pPr>
        <w:spacing w:after="0" w:line="2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July 2026, the Al Marjan Guarantors entered into an interest rate equity contribution agreement ("IRECA") in favor of the Borrower and the Secured Parties which requires the Al Marjan Guarantors to make pro-rata equity contributions to the Borrower in the event there are Hedging Shortfalls, as defined below. Pursuant to the Al Marjan Facility Agreement, the Borrower is required to enter into interest rate hedging agreements with notional amounts equal to 75% of the aggregate principal amount of indebtedness then outstanding under the Al Marjan Facility (the "Hedging Requirement"). To the extent that the Borrower's interest rate hedging agreements are insufficient to cover the Hedging Requirement, the IRECA requires the Al Marjan Guarantors to provide financial support in the form of equity contributions to the Borrower for unhedged amounts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the Emirates Interbank Offered Rate or the Term SOFR rate exceeds 5.0% and 4.5%, respectively (the "Hedging Shortfalls").</w:t>
      </w:r>
    </w:p>
    <w:p>
      <w:pPr>
        <w:spacing w:after="0" w:line="25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accounts for its pro-rata portion of obligations under the IRECA as a derivative and reports it at fair value as of the end of each reporting period, with changes recognized in the statements of operations. The initial fair value of the IRECA was $10.0 million and is recorded within Investments in unconsolidated affiliates. The Company estimates the fair value of the IRECA using a combination of observable (Level 2) and unobservable (Level 3) inputs, including forecasted draws and hedging transactions of the Borrower, forward interest rate curves, discount rates and interest rate volatility. As of September 30, 2026, the estimated fair value of the IRECA was a liability of $17.9 million, with $0.7 million and $17.2 million recorded in Other accrued liabilities and Other long-term liabilities, respectively. The Company recorded a loss of $7.9 million for the three and nine months ended September 30, 2026 within Change in derivatives fair value in the accompanying Condensed Consolidated Statements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DCP Completion Guarantee and Share Pledge</w:t>
      </w:r>
    </w:p>
    <w:p>
      <w:pPr>
        <w:spacing w:after="0" w:line="2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February 2026, DCP AMI 3 FZ-LLC ("DCP"), an unconsolidated affiliate included in the Al Marjan Joint Venture, entered into a financing agreement for a U.S. dollar equivalent of approximately $45.1 million (the "DCP Financing"). DCP will construct and operate a district cooling plant serving Wynn Al Marjan Island and surrounding developments. In connection with the DCP Financing, the Al Marjan Guarantors entered into a completion guarantee, pursuant to which the Al Marjan Guarantors may be required to fund shortfalls necessary to achieve practical completion of the cooling plant by September 30, 2026. As of September 30, 2026, practical completion has been achieved and the cooling plant is operational. Pursuant to a shareholder side letter, the Al Marjan Guarantors are required to pledge their equity interests in DCP as collateral for the DCP Financing. As of September 30, 2026, the Company's investment in DCP was $18.4 million and is presented in Investments in unconsolidated affiliates in the Condensed Consolidated Balance Sheet.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Macau Land Concession</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July 2026, Palo Real Estate Company Limited ("Palo") and Wynn Macau SA, each an indirect subsidiary of the Company, accepted the terms and conditions of an amended and restated land concession contract from the Macau government (the "Amended Land Concession Contract"). The Amended Land Concession Contract amends and restates the original land concession contract among Palo, Wynn Macau SA and the Macau government published in the Official Gazette of Macau on May 2, 2012 (the "Land Concession Contract").</w:t>
      </w:r>
    </w:p>
    <w:p>
      <w:pPr>
        <w:spacing w:after="0" w:line="20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Pursuant to the Land Concession Contract, Palo leases 51 acres of land in the Cotai area of Macau (the "Cotai Land") from the Macau government for an initial term of 25 years from May 2, 2012 until May 1, 2037, with the right to renew for additional periods, subject to applicable legislation. The Land Concession Contract also requires that Wynn Macau SA, as a gaming concessionaire, operate and manage gaming operations on the Cotai Land.</w:t>
      </w:r>
    </w:p>
    <w:p>
      <w:pPr>
        <w:spacing w:after="0" w:line="20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Amended Land Concession Contract permits Palo and Wynn Macau SA to expand Wynn Palace to develop a new five-star hotel, a theater and an event and entertainment center on the Cotai Land (the "Expanded Resort"). The Macau government has allocated Palo a maximum of 60 months from the date of publication of the Amended Land Concession Contract to complete development of the Expanded Resort on the Cotai Land. Upon acceptance of the conditions of the Amended Land Concession Contract, Palo paid an additional land premium of MOP652.3 million (approximately $80.8 million) as a one-time lump sum payment. Palo is also required to pay an additional annual rent to the Macau government, resulting in a total annual rent of MOP9.5 million (approximately $1.2 million) for the Expanded Resort. The rent for the Expanded Resort may be reviewed by the Macau government every five years since the date of publication of the Amended Land Concession Contract. Palo also provided the Macau government with an additional guarantee by means of a deposit or bank guarantee for an amount equal to the annual rent payable under the Amended Land Concession Contract.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Macau Government Investment Fund</w:t>
      </w:r>
    </w:p>
    <w:p>
      <w:pPr>
        <w:spacing w:after="0" w:line="2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October 2026, Wynn Macau SA and Macau Project Management (No. 2) Limited, a limited liability company established by the Macau government, entered into a subscription agreement (the "Subscription Agreement"), pursuant to which Wynn Macau SA agreed to commit capital investments of up to MOP1.37 billion (approximately $168.9 million) to the Macau SAR Government Guidance Fund No. 2, Limited Partnership Fund (the "Fund"), which was established by the Macau government to support Macau's economic diversification. The amounts to be contributed to the Fund, pursuant to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Subscription Agreement and the limited partnership agreement, will constitute non-gaming investment and be applied towards Wynn Macau SA's committed investment obligations under Wynn Macau SA's gaming concession contract.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Retail Joint Venture</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September 30, 2026 and December 31, 2025, the Retail Joint Venture had total assets of $97.6 million and $96.5 million, respectively, and total liabilities of $608.4 million and $607.3 million, respectively. As of September 30, 2026 and December 31, 2025, the Retail Joint Venture's liabilities included long-term debt of $599.1 million and $598.4 million, respectively, net of debt issuance costs, related to the outstanding borrowings under the Retail Term Loan.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Information</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has identified its reportable segments based on factors such as geography, regulatory environment, the Company's organizational and management reporting structure and the information reviewed by its chief operating decision maker, the Company's Chief Executive Officer ("CEO"). The primary profitability measure used by the Company's CEO to review segment operating results and allocate resources is Adjusted Property EBITDAR.</w:t>
      </w:r>
    </w:p>
    <w:p>
      <w:pPr>
        <w:spacing w:after="0" w:line="20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has identified the following reportable segments: (i) Wynn Macau, representing the aggregate of Wynn Macau and Encore, an expansion at Wynn Macau, which are managed as a single integrated resort; (ii) Wynn Palace; (iii) Las Vegas Operations, representing the aggregate of Wynn Las Vegas, Encore, an expansion at Wynn Las Vegas, and the Retail Joint Venture, which are managed as a single integrated resort; and (iv) Encore Boston Harbor. For geographical reporting purposes, Wynn Macau, Wynn Palace, and Other Macau (which represents the assets of the Company's Macau holding company and other ancillary entities) have been aggregated into Macau Operations.</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the Company's segment information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Wynn Palace</w:t>
            </w:r>
          </w:p>
        </w:tc>
        <w:tc>
          <w:tcPr>
            <w:tcW w:w="12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Las Vegas</w:t>
            </w:r>
          </w:p>
        </w:tc>
        <w:tc>
          <w:tcPr>
            <w:tcW w:w="120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Encore Boston</w:t>
            </w:r>
          </w:p>
        </w:tc>
        <w:tc>
          <w:tcPr>
            <w:tcW w:w="280" w:type="dxa"/>
            <w:vAlign w:val="bottom"/>
          </w:tcPr>
          <w:p>
            <w:pPr>
              <w:spacing w:after="0"/>
              <w:rPr>
                <w:sz w:val="12"/>
                <w:szCs w:val="12"/>
                <w:color w:val="auto"/>
              </w:rPr>
            </w:pPr>
          </w:p>
        </w:tc>
        <w:tc>
          <w:tcPr>
            <w:tcW w:w="96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2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Harbor</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Casino</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495,808</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123,379</w:t>
            </w:r>
          </w:p>
        </w:tc>
        <w:tc>
          <w:tcPr>
            <w:tcW w:w="100" w:type="dxa"/>
            <w:vAlign w:val="bottom"/>
          </w:tcPr>
          <w:p>
            <w:pPr>
              <w:spacing w:after="0"/>
              <w:rPr>
                <w:sz w:val="21"/>
                <w:szCs w:val="21"/>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145,198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1,050,471</w:t>
            </w: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Rooms</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181,827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261,499</w:t>
            </w:r>
          </w:p>
        </w:tc>
        <w:tc>
          <w:tcPr>
            <w:tcW w:w="0" w:type="dxa"/>
            <w:vAlign w:val="bottom"/>
          </w:tcPr>
          <w:p>
            <w:pPr>
              <w:spacing w:after="0"/>
              <w:rPr>
                <w:sz w:val="1"/>
                <w:szCs w:val="1"/>
                <w:color w:val="auto"/>
              </w:rPr>
            </w:pPr>
          </w:p>
        </w:tc>
      </w:tr>
      <w:tr>
        <w:trPr>
          <w:trHeight w:val="243"/>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Food and beverage</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257,657</w:t>
            </w: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Entertainment, retail and other</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20,540</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119,426</w:t>
            </w:r>
          </w:p>
        </w:tc>
        <w:tc>
          <w:tcPr>
            <w:tcW w:w="0" w:type="dxa"/>
            <w:vAlign w:val="bottom"/>
          </w:tcPr>
          <w:p>
            <w:pPr>
              <w:spacing w:after="0"/>
              <w:rPr>
                <w:sz w:val="1"/>
                <w:szCs w:val="1"/>
                <w:color w:val="auto"/>
              </w:rPr>
            </w:pPr>
          </w:p>
        </w:tc>
      </w:tr>
      <w:tr>
        <w:trPr>
          <w:trHeight w:val="23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revenues</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583,771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335,428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575,154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194,700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1,689,053</w:t>
            </w:r>
          </w:p>
        </w:tc>
        <w:tc>
          <w:tcPr>
            <w:tcW w:w="0" w:type="dxa"/>
            <w:vAlign w:val="bottom"/>
          </w:tcPr>
          <w:p>
            <w:pPr>
              <w:spacing w:after="0"/>
              <w:rPr>
                <w:sz w:val="1"/>
                <w:szCs w:val="1"/>
                <w:color w:val="auto"/>
              </w:rPr>
            </w:pPr>
          </w:p>
        </w:tc>
      </w:tr>
      <w:tr>
        <w:trPr>
          <w:trHeight w:val="270"/>
        </w:trPr>
        <w:tc>
          <w:tcPr>
            <w:tcW w:w="5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159,998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Gaming taxes</w:t>
            </w:r>
            <w:r>
              <w:rPr>
                <w:rFonts w:ascii="Times New Roman" w:cs="Times New Roman" w:eastAsia="Times New Roman" w:hAnsi="Times New Roman"/>
                <w:sz w:val="23"/>
                <w:szCs w:val="23"/>
                <w:color w:val="auto"/>
                <w:vertAlign w:val="superscript"/>
              </w:rPr>
              <w:t>(3)</w:t>
            </w: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258,011</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140,354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20" w:type="dxa"/>
            <w:vAlign w:val="bottom"/>
            <w:tcBorders>
              <w:bottom w:val="single" w:sz="8" w:color="CCEEFF"/>
            </w:tcBorders>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Segment Adjusted Property EBITDAR</w:t>
            </w:r>
            <w:r>
              <w:rPr>
                <w:rFonts w:ascii="Times New Roman" w:cs="Times New Roman" w:eastAsia="Times New Roman" w:hAnsi="Times New Roman"/>
                <w:sz w:val="23"/>
                <w:szCs w:val="23"/>
                <w:b w:val="1"/>
                <w:bCs w:val="1"/>
                <w:color w:val="auto"/>
                <w:vertAlign w:val="superscript"/>
              </w:rPr>
              <w:t>(4)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165,762</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89,514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158,818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50,136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464,230</w:t>
            </w:r>
          </w:p>
        </w:tc>
        <w:tc>
          <w:tcPr>
            <w:tcW w:w="0" w:type="dxa"/>
            <w:vAlign w:val="bottom"/>
          </w:tcPr>
          <w:p>
            <w:pPr>
              <w:spacing w:after="0"/>
              <w:rPr>
                <w:sz w:val="1"/>
                <w:szCs w:val="1"/>
                <w:color w:val="auto"/>
              </w:rPr>
            </w:pPr>
          </w:p>
        </w:tc>
      </w:tr>
      <w:tr>
        <w:trPr>
          <w:trHeight w:val="250"/>
        </w:trPr>
        <w:tc>
          <w:tcPr>
            <w:tcW w:w="5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166,782</w:t>
            </w:r>
          </w:p>
        </w:tc>
        <w:tc>
          <w:tcPr>
            <w:tcW w:w="0" w:type="dxa"/>
            <w:vAlign w:val="bottom"/>
          </w:tcPr>
          <w:p>
            <w:pPr>
              <w:spacing w:after="0"/>
              <w:rPr>
                <w:sz w:val="1"/>
                <w:szCs w:val="1"/>
                <w:color w:val="auto"/>
              </w:rPr>
            </w:pPr>
          </w:p>
        </w:tc>
      </w:tr>
      <w:tr>
        <w:trPr>
          <w:trHeight w:val="243"/>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22,031</w:t>
            </w: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expense and other</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39,024</w:t>
            </w:r>
          </w:p>
        </w:tc>
        <w:tc>
          <w:tcPr>
            <w:tcW w:w="0" w:type="dxa"/>
            <w:vAlign w:val="bottom"/>
          </w:tcPr>
          <w:p>
            <w:pPr>
              <w:spacing w:after="0"/>
              <w:rPr>
                <w:sz w:val="1"/>
                <w:szCs w:val="1"/>
                <w:color w:val="auto"/>
              </w:rPr>
            </w:pPr>
          </w:p>
        </w:tc>
      </w:tr>
      <w:tr>
        <w:trPr>
          <w:trHeight w:val="243"/>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20,205</w:t>
            </w: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Triple-net operating lease expense</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35,322</w:t>
            </w:r>
          </w:p>
        </w:tc>
        <w:tc>
          <w:tcPr>
            <w:tcW w:w="0" w:type="dxa"/>
            <w:vAlign w:val="bottom"/>
          </w:tcPr>
          <w:p>
            <w:pPr>
              <w:spacing w:after="0"/>
              <w:rPr>
                <w:sz w:val="1"/>
                <w:szCs w:val="1"/>
                <w:color w:val="auto"/>
              </w:rPr>
            </w:pPr>
          </w:p>
        </w:tc>
      </w:tr>
      <w:tr>
        <w:trPr>
          <w:trHeight w:val="237"/>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178,222</w:t>
            </w:r>
          </w:p>
        </w:tc>
        <w:tc>
          <w:tcPr>
            <w:tcW w:w="0" w:type="dxa"/>
            <w:vAlign w:val="bottom"/>
          </w:tcPr>
          <w:p>
            <w:pPr>
              <w:spacing w:after="0"/>
              <w:rPr>
                <w:sz w:val="1"/>
                <w:szCs w:val="1"/>
                <w:color w:val="auto"/>
              </w:rPr>
            </w:pPr>
          </w:p>
        </w:tc>
      </w:tr>
      <w:tr>
        <w:trPr>
          <w:trHeight w:val="250"/>
        </w:trPr>
        <w:tc>
          <w:tcPr>
            <w:tcW w:w="5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non-operating income and expenses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w:t>
            </w:r>
          </w:p>
        </w:tc>
        <w:tc>
          <w:tcPr>
            <w:tcW w:w="0" w:type="dxa"/>
            <w:vAlign w:val="bottom"/>
          </w:tcPr>
          <w:p>
            <w:pPr>
              <w:spacing w:after="0"/>
              <w:rPr>
                <w:sz w:val="1"/>
                <w:szCs w:val="1"/>
                <w:color w:val="auto"/>
              </w:rPr>
            </w:pPr>
          </w:p>
        </w:tc>
      </w:tr>
      <w:tr>
        <w:trPr>
          <w:trHeight w:val="243"/>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(151,735)</w:t>
            </w: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10,498</w:t>
            </w:r>
          </w:p>
        </w:tc>
        <w:tc>
          <w:tcPr>
            <w:tcW w:w="0" w:type="dxa"/>
            <w:vAlign w:val="bottom"/>
          </w:tcPr>
          <w:p>
            <w:pPr>
              <w:spacing w:after="0"/>
              <w:rPr>
                <w:sz w:val="1"/>
                <w:szCs w:val="1"/>
                <w:color w:val="auto"/>
              </w:rPr>
            </w:pPr>
          </w:p>
        </w:tc>
      </w:tr>
      <w:tr>
        <w:trPr>
          <w:trHeight w:val="243"/>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0" w:type="dxa"/>
            <w:vAlign w:val="bottom"/>
          </w:tcPr>
          <w:p>
            <w:pPr>
              <w:spacing w:after="0"/>
              <w:rPr>
                <w:sz w:val="1"/>
                <w:szCs w:val="1"/>
                <w:color w:val="auto"/>
              </w:rPr>
            </w:pPr>
          </w:p>
        </w:tc>
      </w:tr>
      <w:tr>
        <w:trPr>
          <w:trHeight w:val="237"/>
        </w:trPr>
        <w:tc>
          <w:tcPr>
            <w:tcW w:w="5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other non-operating income and expenses</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(135,882)</w:t>
            </w:r>
          </w:p>
        </w:tc>
        <w:tc>
          <w:tcPr>
            <w:tcW w:w="0" w:type="dxa"/>
            <w:vAlign w:val="bottom"/>
          </w:tcPr>
          <w:p>
            <w:pPr>
              <w:spacing w:after="0"/>
              <w:rPr>
                <w:sz w:val="1"/>
                <w:szCs w:val="1"/>
                <w:color w:val="auto"/>
              </w:rPr>
            </w:pPr>
          </w:p>
        </w:tc>
      </w:tr>
      <w:tr>
        <w:trPr>
          <w:trHeight w:val="23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42,340</w:t>
            </w: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3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36,763</w:t>
            </w: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(19,442)</w:t>
            </w:r>
          </w:p>
        </w:tc>
        <w:tc>
          <w:tcPr>
            <w:tcW w:w="0" w:type="dxa"/>
            <w:vAlign w:val="bottom"/>
          </w:tcPr>
          <w:p>
            <w:pPr>
              <w:spacing w:after="0"/>
              <w:rPr>
                <w:sz w:val="1"/>
                <w:szCs w:val="1"/>
                <w:color w:val="auto"/>
              </w:rPr>
            </w:pPr>
          </w:p>
        </w:tc>
      </w:tr>
      <w:tr>
        <w:trPr>
          <w:trHeight w:val="262"/>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17,321</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512"/>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5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Wynn Palace</w:t>
            </w:r>
          </w:p>
        </w:tc>
        <w:tc>
          <w:tcPr>
            <w:tcW w:w="12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Las Vegas</w:t>
            </w:r>
          </w:p>
        </w:tc>
        <w:tc>
          <w:tcPr>
            <w:tcW w:w="120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Encore Boston</w:t>
            </w:r>
          </w:p>
        </w:tc>
        <w:tc>
          <w:tcPr>
            <w:tcW w:w="260" w:type="dxa"/>
            <w:vAlign w:val="bottom"/>
          </w:tcPr>
          <w:p>
            <w:pPr>
              <w:spacing w:after="0"/>
              <w:rPr>
                <w:sz w:val="12"/>
                <w:szCs w:val="12"/>
                <w:color w:val="auto"/>
              </w:rPr>
            </w:pPr>
          </w:p>
        </w:tc>
        <w:tc>
          <w:tcPr>
            <w:tcW w:w="94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2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Harbor</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Casino</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542,439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161,576</w:t>
            </w:r>
          </w:p>
        </w:tc>
        <w:tc>
          <w:tcPr>
            <w:tcW w:w="100" w:type="dxa"/>
            <w:vAlign w:val="bottom"/>
          </w:tcPr>
          <w:p>
            <w:pPr>
              <w:spacing w:after="0"/>
              <w:rPr>
                <w:sz w:val="21"/>
                <w:szCs w:val="21"/>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156,213</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1,174,717</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Rooms</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270,484</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Food and beverage</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261,990</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Entertainment, retail and other</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126,556</w:t>
            </w: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revenues</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635,472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365,513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211,750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1,833,747</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Gaming taxes</w:t>
            </w:r>
            <w:r>
              <w:rPr>
                <w:rFonts w:ascii="Times New Roman" w:cs="Times New Roman" w:eastAsia="Times New Roman" w:hAnsi="Times New Roman"/>
                <w:sz w:val="23"/>
                <w:szCs w:val="23"/>
                <w:color w:val="auto"/>
                <w:vertAlign w:val="superscript"/>
              </w:rPr>
              <w:t>(3)</w:t>
            </w: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285,078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154,835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Segment Adjusted Property EBITDAR</w:t>
            </w:r>
            <w:r>
              <w:rPr>
                <w:rFonts w:ascii="Times New Roman" w:cs="Times New Roman" w:eastAsia="Times New Roman" w:hAnsi="Times New Roman"/>
                <w:sz w:val="23"/>
                <w:szCs w:val="23"/>
                <w:b w:val="1"/>
                <w:bCs w:val="1"/>
                <w:color w:val="auto"/>
                <w:vertAlign w:val="superscript"/>
              </w:rPr>
              <w:t>(4)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200,282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107,998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203,413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58,394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570,087</w:t>
            </w:r>
          </w:p>
        </w:tc>
        <w:tc>
          <w:tcPr>
            <w:tcW w:w="0" w:type="dxa"/>
            <w:vAlign w:val="bottom"/>
          </w:tcPr>
          <w:p>
            <w:pPr>
              <w:spacing w:after="0"/>
              <w:rPr>
                <w:sz w:val="1"/>
                <w:szCs w:val="1"/>
                <w:color w:val="auto"/>
              </w:rPr>
            </w:pPr>
          </w:p>
        </w:tc>
      </w:tr>
      <w:tr>
        <w:trPr>
          <w:trHeight w:val="250"/>
        </w:trPr>
        <w:tc>
          <w:tcPr>
            <w:tcW w:w="5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152,828</w:t>
            </w:r>
          </w:p>
        </w:tc>
        <w:tc>
          <w:tcPr>
            <w:tcW w:w="0" w:type="dxa"/>
            <w:vAlign w:val="bottom"/>
          </w:tcPr>
          <w:p>
            <w:pPr>
              <w:spacing w:after="0"/>
              <w:rPr>
                <w:sz w:val="1"/>
                <w:szCs w:val="1"/>
                <w:color w:val="auto"/>
              </w:rPr>
            </w:pPr>
          </w:p>
        </w:tc>
      </w:tr>
      <w:tr>
        <w:trPr>
          <w:trHeight w:val="24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expense and other</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35,721</w:t>
            </w:r>
          </w:p>
        </w:tc>
        <w:tc>
          <w:tcPr>
            <w:tcW w:w="0" w:type="dxa"/>
            <w:vAlign w:val="bottom"/>
          </w:tcPr>
          <w:p>
            <w:pPr>
              <w:spacing w:after="0"/>
              <w:rPr>
                <w:sz w:val="1"/>
                <w:szCs w:val="1"/>
                <w:color w:val="auto"/>
              </w:rPr>
            </w:pPr>
          </w:p>
        </w:tc>
      </w:tr>
      <w:tr>
        <w:trPr>
          <w:trHeight w:val="24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22,664</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Triple-net operating lease expense</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310,489</w:t>
            </w:r>
          </w:p>
        </w:tc>
        <w:tc>
          <w:tcPr>
            <w:tcW w:w="0" w:type="dxa"/>
            <w:vAlign w:val="bottom"/>
          </w:tcPr>
          <w:p>
            <w:pPr>
              <w:spacing w:after="0"/>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non-operating income and expenses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16,581</w:t>
            </w:r>
          </w:p>
        </w:tc>
        <w:tc>
          <w:tcPr>
            <w:tcW w:w="0" w:type="dxa"/>
            <w:vAlign w:val="bottom"/>
          </w:tcPr>
          <w:p>
            <w:pPr>
              <w:spacing w:after="0"/>
              <w:rPr>
                <w:sz w:val="1"/>
                <w:szCs w:val="1"/>
                <w:color w:val="auto"/>
              </w:rPr>
            </w:pPr>
          </w:p>
        </w:tc>
      </w:tr>
      <w:tr>
        <w:trPr>
          <w:trHeight w:val="24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(157,581)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0" w:type="dxa"/>
            <w:vAlign w:val="bottom"/>
          </w:tcPr>
          <w:p>
            <w:pPr>
              <w:spacing w:after="0"/>
              <w:rPr>
                <w:sz w:val="1"/>
                <w:szCs w:val="1"/>
                <w:color w:val="auto"/>
              </w:rPr>
            </w:pPr>
          </w:p>
        </w:tc>
      </w:tr>
      <w:tr>
        <w:trPr>
          <w:trHeight w:val="24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33,868</w:t>
            </w:r>
          </w:p>
        </w:tc>
        <w:tc>
          <w:tcPr>
            <w:tcW w:w="0" w:type="dxa"/>
            <w:vAlign w:val="bottom"/>
          </w:tcPr>
          <w:p>
            <w:pPr>
              <w:spacing w:after="0"/>
              <w:rPr>
                <w:sz w:val="1"/>
                <w:szCs w:val="1"/>
                <w:color w:val="auto"/>
              </w:rPr>
            </w:pPr>
          </w:p>
        </w:tc>
      </w:tr>
      <w:tr>
        <w:trPr>
          <w:trHeight w:val="236"/>
        </w:trPr>
        <w:tc>
          <w:tcPr>
            <w:tcW w:w="5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other non-operating income and expenses</w:t>
            </w: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(120,926)</w:t>
            </w:r>
          </w:p>
        </w:tc>
        <w:tc>
          <w:tcPr>
            <w:tcW w:w="0" w:type="dxa"/>
            <w:vAlign w:val="bottom"/>
          </w:tcPr>
          <w:p>
            <w:pPr>
              <w:spacing w:after="0"/>
              <w:rPr>
                <w:sz w:val="1"/>
                <w:szCs w:val="1"/>
                <w:color w:val="auto"/>
              </w:rPr>
            </w:pPr>
          </w:p>
        </w:tc>
      </w:tr>
      <w:tr>
        <w:trPr>
          <w:trHeight w:val="23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189,563</w:t>
            </w: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(61,136)</w:t>
            </w:r>
          </w:p>
        </w:tc>
        <w:tc>
          <w:tcPr>
            <w:tcW w:w="0" w:type="dxa"/>
            <w:vAlign w:val="bottom"/>
          </w:tcPr>
          <w:p>
            <w:pPr>
              <w:spacing w:after="0"/>
              <w:rPr>
                <w:sz w:val="1"/>
                <w:szCs w:val="1"/>
                <w:color w:val="auto"/>
              </w:rPr>
            </w:pPr>
          </w:p>
        </w:tc>
      </w:tr>
      <w:tr>
        <w:trPr>
          <w:trHeight w:val="23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128,427</w:t>
            </w: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(40,086)</w:t>
            </w:r>
          </w:p>
        </w:tc>
        <w:tc>
          <w:tcPr>
            <w:tcW w:w="0" w:type="dxa"/>
            <w:vAlign w:val="bottom"/>
          </w:tcPr>
          <w:p>
            <w:pPr>
              <w:spacing w:after="0"/>
              <w:rPr>
                <w:sz w:val="1"/>
                <w:szCs w:val="1"/>
                <w:color w:val="auto"/>
              </w:rPr>
            </w:pPr>
          </w:p>
        </w:tc>
      </w:tr>
      <w:tr>
        <w:trPr>
          <w:trHeight w:val="261"/>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88,341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Wynn Palace</w:t>
            </w:r>
          </w:p>
        </w:tc>
        <w:tc>
          <w:tcPr>
            <w:tcW w:w="12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Las Vegas</w:t>
            </w:r>
          </w:p>
        </w:tc>
        <w:tc>
          <w:tcPr>
            <w:tcW w:w="120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Encore Boston</w:t>
            </w:r>
          </w:p>
        </w:tc>
        <w:tc>
          <w:tcPr>
            <w:tcW w:w="260" w:type="dxa"/>
            <w:vAlign w:val="bottom"/>
          </w:tcPr>
          <w:p>
            <w:pPr>
              <w:spacing w:after="0"/>
              <w:rPr>
                <w:sz w:val="12"/>
                <w:szCs w:val="12"/>
                <w:color w:val="auto"/>
              </w:rPr>
            </w:pPr>
          </w:p>
        </w:tc>
        <w:tc>
          <w:tcPr>
            <w:tcW w:w="94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2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Harbor</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Casino</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1,625,081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863,544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459,674</w:t>
            </w:r>
          </w:p>
        </w:tc>
        <w:tc>
          <w:tcPr>
            <w:tcW w:w="100" w:type="dxa"/>
            <w:vAlign w:val="bottom"/>
          </w:tcPr>
          <w:p>
            <w:pPr>
              <w:spacing w:after="0"/>
              <w:rPr>
                <w:sz w:val="21"/>
                <w:szCs w:val="21"/>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454,693</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3,402,992</w:t>
            </w: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Rooms</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842,183</w:t>
            </w:r>
          </w:p>
        </w:tc>
        <w:tc>
          <w:tcPr>
            <w:tcW w:w="0" w:type="dxa"/>
            <w:vAlign w:val="bottom"/>
          </w:tcPr>
          <w:p>
            <w:pPr>
              <w:spacing w:after="0"/>
              <w:rPr>
                <w:sz w:val="1"/>
                <w:szCs w:val="1"/>
                <w:color w:val="auto"/>
              </w:rPr>
            </w:pPr>
          </w:p>
        </w:tc>
      </w:tr>
      <w:tr>
        <w:trPr>
          <w:trHeight w:val="243"/>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Food and beverage</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781,020</w:t>
            </w: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Entertainment, retail and other</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239,645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376,553</w:t>
            </w:r>
          </w:p>
        </w:tc>
        <w:tc>
          <w:tcPr>
            <w:tcW w:w="0" w:type="dxa"/>
            <w:vAlign w:val="bottom"/>
          </w:tcPr>
          <w:p>
            <w:pPr>
              <w:spacing w:after="0"/>
              <w:rPr>
                <w:sz w:val="1"/>
                <w:szCs w:val="1"/>
                <w:color w:val="auto"/>
              </w:rPr>
            </w:pPr>
          </w:p>
        </w:tc>
      </w:tr>
      <w:tr>
        <w:trPr>
          <w:trHeight w:val="23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revenues</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1,896,508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1,016,366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1,880,231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609,643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5,402,748</w:t>
            </w: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1,218,977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Gaming taxes</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856,725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433,754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132,674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Segment Adjusted Property EBITDAR</w:t>
            </w:r>
            <w:r>
              <w:rPr>
                <w:rFonts w:ascii="Times New Roman" w:cs="Times New Roman" w:eastAsia="Times New Roman" w:hAnsi="Times New Roman"/>
                <w:sz w:val="23"/>
                <w:szCs w:val="23"/>
                <w:b w:val="1"/>
                <w:bCs w:val="1"/>
                <w:color w:val="auto"/>
                <w:vertAlign w:val="superscript"/>
              </w:rPr>
              <w:t>(4)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571,072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260,641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606,504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156,739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1,594,956</w:t>
            </w:r>
          </w:p>
        </w:tc>
        <w:tc>
          <w:tcPr>
            <w:tcW w:w="0" w:type="dxa"/>
            <w:vAlign w:val="bottom"/>
          </w:tcPr>
          <w:p>
            <w:pPr>
              <w:spacing w:after="0"/>
              <w:rPr>
                <w:sz w:val="1"/>
                <w:szCs w:val="1"/>
                <w:color w:val="auto"/>
              </w:rPr>
            </w:pPr>
          </w:p>
        </w:tc>
      </w:tr>
      <w:tr>
        <w:trPr>
          <w:trHeight w:val="250"/>
        </w:trPr>
        <w:tc>
          <w:tcPr>
            <w:tcW w:w="5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23,621</w:t>
            </w: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492,730</w:t>
            </w:r>
          </w:p>
        </w:tc>
        <w:tc>
          <w:tcPr>
            <w:tcW w:w="0" w:type="dxa"/>
            <w:vAlign w:val="bottom"/>
          </w:tcPr>
          <w:p>
            <w:pPr>
              <w:spacing w:after="0"/>
              <w:rPr>
                <w:sz w:val="1"/>
                <w:szCs w:val="1"/>
                <w:color w:val="auto"/>
              </w:rPr>
            </w:pPr>
          </w:p>
        </w:tc>
      </w:tr>
      <w:tr>
        <w:trPr>
          <w:trHeight w:val="243"/>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43,322</w:t>
            </w: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expense and other</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108,043</w:t>
            </w:r>
          </w:p>
        </w:tc>
        <w:tc>
          <w:tcPr>
            <w:tcW w:w="0" w:type="dxa"/>
            <w:vAlign w:val="bottom"/>
          </w:tcPr>
          <w:p>
            <w:pPr>
              <w:spacing w:after="0"/>
              <w:rPr>
                <w:sz w:val="1"/>
                <w:szCs w:val="1"/>
                <w:color w:val="auto"/>
              </w:rPr>
            </w:pPr>
          </w:p>
        </w:tc>
      </w:tr>
      <w:tr>
        <w:trPr>
          <w:trHeight w:val="243"/>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62,845</w:t>
            </w: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Triple-net operating lease expense</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105,981</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758,414</w:t>
            </w:r>
          </w:p>
        </w:tc>
        <w:tc>
          <w:tcPr>
            <w:tcW w:w="0" w:type="dxa"/>
            <w:vAlign w:val="bottom"/>
          </w:tcPr>
          <w:p>
            <w:pPr>
              <w:spacing w:after="0"/>
              <w:rPr>
                <w:sz w:val="1"/>
                <w:szCs w:val="1"/>
                <w:color w:val="auto"/>
              </w:rPr>
            </w:pPr>
          </w:p>
        </w:tc>
      </w:tr>
      <w:tr>
        <w:trPr>
          <w:trHeight w:val="250"/>
        </w:trPr>
        <w:tc>
          <w:tcPr>
            <w:tcW w:w="5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non-operating income and expenses</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38,511</w:t>
            </w:r>
          </w:p>
        </w:tc>
        <w:tc>
          <w:tcPr>
            <w:tcW w:w="0" w:type="dxa"/>
            <w:vAlign w:val="bottom"/>
          </w:tcPr>
          <w:p>
            <w:pPr>
              <w:spacing w:after="0"/>
              <w:rPr>
                <w:sz w:val="1"/>
                <w:szCs w:val="1"/>
                <w:color w:val="auto"/>
              </w:rPr>
            </w:pPr>
          </w:p>
        </w:tc>
      </w:tr>
      <w:tr>
        <w:trPr>
          <w:trHeight w:val="243"/>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(456,274)</w:t>
            </w: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100,555</w:t>
            </w:r>
          </w:p>
        </w:tc>
        <w:tc>
          <w:tcPr>
            <w:tcW w:w="0" w:type="dxa"/>
            <w:vAlign w:val="bottom"/>
          </w:tcPr>
          <w:p>
            <w:pPr>
              <w:spacing w:after="0"/>
              <w:rPr>
                <w:sz w:val="1"/>
                <w:szCs w:val="1"/>
                <w:color w:val="auto"/>
              </w:rPr>
            </w:pPr>
          </w:p>
        </w:tc>
      </w:tr>
      <w:tr>
        <w:trPr>
          <w:trHeight w:val="243"/>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(34,081)</w:t>
            </w:r>
          </w:p>
        </w:tc>
        <w:tc>
          <w:tcPr>
            <w:tcW w:w="0" w:type="dxa"/>
            <w:vAlign w:val="bottom"/>
          </w:tcPr>
          <w:p>
            <w:pPr>
              <w:spacing w:after="0"/>
              <w:rPr>
                <w:sz w:val="1"/>
                <w:szCs w:val="1"/>
                <w:color w:val="auto"/>
              </w:rPr>
            </w:pPr>
          </w:p>
        </w:tc>
      </w:tr>
      <w:tr>
        <w:trPr>
          <w:trHeight w:val="236"/>
        </w:trPr>
        <w:tc>
          <w:tcPr>
            <w:tcW w:w="51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other non-operating income and expenses</w:t>
            </w:r>
          </w:p>
        </w:tc>
        <w:tc>
          <w:tcPr>
            <w:tcW w:w="1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(356,678)</w:t>
            </w:r>
          </w:p>
        </w:tc>
        <w:tc>
          <w:tcPr>
            <w:tcW w:w="0" w:type="dxa"/>
            <w:vAlign w:val="bottom"/>
          </w:tcPr>
          <w:p>
            <w:pPr>
              <w:spacing w:after="0"/>
              <w:rPr>
                <w:sz w:val="1"/>
                <w:szCs w:val="1"/>
                <w:color w:val="auto"/>
              </w:rPr>
            </w:pPr>
          </w:p>
        </w:tc>
      </w:tr>
      <w:tr>
        <w:trPr>
          <w:trHeight w:val="237"/>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401,736</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(31,863)</w:t>
            </w:r>
          </w:p>
        </w:tc>
        <w:tc>
          <w:tcPr>
            <w:tcW w:w="0" w:type="dxa"/>
            <w:vAlign w:val="bottom"/>
          </w:tcPr>
          <w:p>
            <w:pPr>
              <w:spacing w:after="0"/>
              <w:rPr>
                <w:sz w:val="1"/>
                <w:szCs w:val="1"/>
                <w:color w:val="auto"/>
              </w:rPr>
            </w:pPr>
          </w:p>
        </w:tc>
      </w:tr>
      <w:tr>
        <w:trPr>
          <w:trHeight w:val="23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369,873</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6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(92,036)</w:t>
            </w:r>
          </w:p>
        </w:tc>
        <w:tc>
          <w:tcPr>
            <w:tcW w:w="0" w:type="dxa"/>
            <w:vAlign w:val="bottom"/>
          </w:tcPr>
          <w:p>
            <w:pPr>
              <w:spacing w:after="0"/>
              <w:rPr>
                <w:sz w:val="1"/>
                <w:szCs w:val="1"/>
                <w:color w:val="auto"/>
              </w:rPr>
            </w:pPr>
          </w:p>
        </w:tc>
      </w:tr>
      <w:tr>
        <w:trPr>
          <w:trHeight w:val="261"/>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277,837</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ind w:right="53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Wynn Palace</w:t>
            </w:r>
          </w:p>
        </w:tc>
        <w:tc>
          <w:tcPr>
            <w:tcW w:w="120" w:type="dxa"/>
            <w:vAlign w:val="bottom"/>
          </w:tcPr>
          <w:p>
            <w:pPr>
              <w:spacing w:after="0"/>
              <w:rPr>
                <w:sz w:val="12"/>
                <w:szCs w:val="12"/>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Las Vegas</w:t>
            </w:r>
          </w:p>
        </w:tc>
        <w:tc>
          <w:tcPr>
            <w:tcW w:w="118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Encore Boston</w:t>
            </w:r>
          </w:p>
        </w:tc>
        <w:tc>
          <w:tcPr>
            <w:tcW w:w="240" w:type="dxa"/>
            <w:vAlign w:val="bottom"/>
          </w:tcPr>
          <w:p>
            <w:pPr>
              <w:spacing w:after="0"/>
              <w:rPr>
                <w:sz w:val="12"/>
                <w:szCs w:val="12"/>
                <w:color w:val="auto"/>
              </w:rPr>
            </w:pPr>
          </w:p>
        </w:tc>
        <w:tc>
          <w:tcPr>
            <w:tcW w:w="94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2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Harbor</w:t>
            </w: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Casino</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1,435,245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471,071</w:t>
            </w:r>
          </w:p>
        </w:tc>
        <w:tc>
          <w:tcPr>
            <w:tcW w:w="8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477,246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3,266,981</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Rooms</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112,492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590,561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836,058</w:t>
            </w:r>
          </w:p>
        </w:tc>
        <w:tc>
          <w:tcPr>
            <w:tcW w:w="0" w:type="dxa"/>
            <w:vAlign w:val="bottom"/>
          </w:tcPr>
          <w:p>
            <w:pPr>
              <w:spacing w:after="0"/>
              <w:rPr>
                <w:sz w:val="1"/>
                <w:szCs w:val="1"/>
                <w:color w:val="auto"/>
              </w:rPr>
            </w:pPr>
          </w:p>
        </w:tc>
      </w:tr>
      <w:tr>
        <w:trPr>
          <w:trHeight w:val="24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Food and beverage</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566,847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772,926</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Entertainment, retail and other</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256,451</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395,976</w:t>
            </w: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revenues</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1,711,042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1,039,286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1,884,930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636,683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5,271,941</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1,167,611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Gaming taxes</w:t>
            </w:r>
            <w:r>
              <w:rPr>
                <w:rFonts w:ascii="Times New Roman" w:cs="Times New Roman" w:eastAsia="Times New Roman" w:hAnsi="Times New Roman"/>
                <w:sz w:val="23"/>
                <w:szCs w:val="23"/>
                <w:color w:val="auto"/>
                <w:vertAlign w:val="superscript"/>
              </w:rPr>
              <w:t>(3)</w:t>
            </w: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763,146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440,493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Segment Adjusted Property EBITDAR</w:t>
            </w:r>
            <w:r>
              <w:rPr>
                <w:rFonts w:ascii="Times New Roman" w:cs="Times New Roman" w:eastAsia="Times New Roman" w:hAnsi="Times New Roman"/>
                <w:sz w:val="23"/>
                <w:szCs w:val="23"/>
                <w:b w:val="1"/>
                <w:bCs w:val="1"/>
                <w:color w:val="auto"/>
                <w:vertAlign w:val="superscript"/>
              </w:rPr>
              <w:t>(4)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519,373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294,707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661,586</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179,707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1,655,373</w:t>
            </w:r>
          </w:p>
        </w:tc>
        <w:tc>
          <w:tcPr>
            <w:tcW w:w="0" w:type="dxa"/>
            <w:vAlign w:val="bottom"/>
          </w:tcPr>
          <w:p>
            <w:pPr>
              <w:spacing w:after="0"/>
              <w:rPr>
                <w:sz w:val="1"/>
                <w:szCs w:val="1"/>
                <w:color w:val="auto"/>
              </w:rPr>
            </w:pPr>
          </w:p>
        </w:tc>
      </w:tr>
      <w:tr>
        <w:trPr>
          <w:trHeight w:val="250"/>
        </w:trPr>
        <w:tc>
          <w:tcPr>
            <w:tcW w:w="5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23,862</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461,156</w:t>
            </w:r>
          </w:p>
        </w:tc>
        <w:tc>
          <w:tcPr>
            <w:tcW w:w="0" w:type="dxa"/>
            <w:vAlign w:val="bottom"/>
          </w:tcPr>
          <w:p>
            <w:pPr>
              <w:spacing w:after="0"/>
              <w:rPr>
                <w:sz w:val="1"/>
                <w:szCs w:val="1"/>
                <w:color w:val="auto"/>
              </w:rPr>
            </w:pPr>
          </w:p>
        </w:tc>
      </w:tr>
      <w:tr>
        <w:trPr>
          <w:trHeight w:val="24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31,631</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expense and other</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118,748</w:t>
            </w:r>
          </w:p>
        </w:tc>
        <w:tc>
          <w:tcPr>
            <w:tcW w:w="0" w:type="dxa"/>
            <w:vAlign w:val="bottom"/>
          </w:tcPr>
          <w:p>
            <w:pPr>
              <w:spacing w:after="0"/>
              <w:rPr>
                <w:sz w:val="1"/>
                <w:szCs w:val="1"/>
                <w:color w:val="auto"/>
              </w:rPr>
            </w:pPr>
          </w:p>
        </w:tc>
      </w:tr>
      <w:tr>
        <w:trPr>
          <w:trHeight w:val="24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70,901</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Triple-net operating lease expense</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105,397</w:t>
            </w:r>
          </w:p>
        </w:tc>
        <w:tc>
          <w:tcPr>
            <w:tcW w:w="0" w:type="dxa"/>
            <w:vAlign w:val="bottom"/>
          </w:tcPr>
          <w:p>
            <w:pPr>
              <w:spacing w:after="0"/>
              <w:rPr>
                <w:sz w:val="1"/>
                <w:szCs w:val="1"/>
                <w:color w:val="auto"/>
              </w:rPr>
            </w:pPr>
          </w:p>
        </w:tc>
      </w:tr>
      <w:tr>
        <w:trPr>
          <w:trHeight w:val="236"/>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843,678</w:t>
            </w:r>
          </w:p>
        </w:tc>
        <w:tc>
          <w:tcPr>
            <w:tcW w:w="0" w:type="dxa"/>
            <w:vAlign w:val="bottom"/>
          </w:tcPr>
          <w:p>
            <w:pPr>
              <w:spacing w:after="0"/>
              <w:rPr>
                <w:sz w:val="1"/>
                <w:szCs w:val="1"/>
                <w:color w:val="auto"/>
              </w:rPr>
            </w:pPr>
          </w:p>
        </w:tc>
      </w:tr>
      <w:tr>
        <w:trPr>
          <w:trHeight w:val="250"/>
        </w:trPr>
        <w:tc>
          <w:tcPr>
            <w:tcW w:w="5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non-operating income and expenses</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51,799</w:t>
            </w:r>
          </w:p>
        </w:tc>
        <w:tc>
          <w:tcPr>
            <w:tcW w:w="0" w:type="dxa"/>
            <w:vAlign w:val="bottom"/>
          </w:tcPr>
          <w:p>
            <w:pPr>
              <w:spacing w:after="0"/>
              <w:rPr>
                <w:sz w:val="1"/>
                <w:szCs w:val="1"/>
                <w:color w:val="auto"/>
              </w:rPr>
            </w:pPr>
          </w:p>
        </w:tc>
      </w:tr>
      <w:tr>
        <w:trPr>
          <w:trHeight w:val="24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(469,740)</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(43,827)</w:t>
            </w:r>
          </w:p>
        </w:tc>
        <w:tc>
          <w:tcPr>
            <w:tcW w:w="0" w:type="dxa"/>
            <w:vAlign w:val="bottom"/>
          </w:tcPr>
          <w:p>
            <w:pPr>
              <w:spacing w:after="0"/>
              <w:rPr>
                <w:sz w:val="1"/>
                <w:szCs w:val="1"/>
                <w:color w:val="auto"/>
              </w:rPr>
            </w:pPr>
          </w:p>
        </w:tc>
      </w:tr>
      <w:tr>
        <w:trPr>
          <w:trHeight w:val="243"/>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w:t>
            </w: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other non-operating income and expenses</w:t>
            </w: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(474,139)</w:t>
            </w:r>
          </w:p>
        </w:tc>
        <w:tc>
          <w:tcPr>
            <w:tcW w:w="0" w:type="dxa"/>
            <w:vAlign w:val="bottom"/>
          </w:tcPr>
          <w:p>
            <w:pPr>
              <w:spacing w:after="0"/>
              <w:rPr>
                <w:sz w:val="1"/>
                <w:szCs w:val="1"/>
                <w:color w:val="auto"/>
              </w:rPr>
            </w:pPr>
          </w:p>
        </w:tc>
      </w:tr>
      <w:tr>
        <w:trPr>
          <w:trHeight w:val="23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369,539</w:t>
            </w: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(82,746)</w:t>
            </w:r>
          </w:p>
        </w:tc>
        <w:tc>
          <w:tcPr>
            <w:tcW w:w="0" w:type="dxa"/>
            <w:vAlign w:val="bottom"/>
          </w:tcPr>
          <w:p>
            <w:pPr>
              <w:spacing w:after="0"/>
              <w:rPr>
                <w:sz w:val="1"/>
                <w:szCs w:val="1"/>
                <w:color w:val="auto"/>
              </w:rPr>
            </w:pPr>
          </w:p>
        </w:tc>
      </w:tr>
      <w:tr>
        <w:trPr>
          <w:trHeight w:val="23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286,793</w:t>
            </w: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(59,487)</w:t>
            </w:r>
          </w:p>
        </w:tc>
        <w:tc>
          <w:tcPr>
            <w:tcW w:w="0" w:type="dxa"/>
            <w:vAlign w:val="bottom"/>
          </w:tcPr>
          <w:p>
            <w:pPr>
              <w:spacing w:after="0"/>
              <w:rPr>
                <w:sz w:val="1"/>
                <w:szCs w:val="1"/>
                <w:color w:val="auto"/>
              </w:rPr>
            </w:pPr>
          </w:p>
        </w:tc>
      </w:tr>
      <w:tr>
        <w:trPr>
          <w:trHeight w:val="262"/>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227,306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lease revenue accounted for under lease accounting guidance. For more information on leases, see Note 14, "Leases."</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comprised of payroll, cost of goods sold, marketing, promotional, facilities, taxes and licenses (excluding gaming taxes) and other operating expenses.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Las Vegas Operations, includes table and slot license fees.</w:t>
      </w:r>
    </w:p>
    <w:p>
      <w:pPr>
        <w:spacing w:after="0" w:line="200" w:lineRule="exact"/>
        <w:rPr>
          <w:sz w:val="20"/>
          <w:szCs w:val="20"/>
          <w:color w:val="auto"/>
        </w:rPr>
      </w:pPr>
    </w:p>
    <w:p>
      <w:pPr>
        <w:spacing w:after="0" w:line="40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8" w:right="5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6" w:lineRule="exact"/>
        <w:rPr>
          <w:sz w:val="20"/>
          <w:szCs w:val="20"/>
          <w:color w:val="auto"/>
        </w:rPr>
      </w:pPr>
    </w:p>
    <w:p>
      <w:pPr>
        <w:jc w:val="both"/>
        <w:ind w:left="340" w:hanging="332"/>
        <w:spacing w:after="0" w:line="260" w:lineRule="auto"/>
        <w:tabs>
          <w:tab w:leader="none" w:pos="34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Property EBITDAR" is net income before interest, income taxes, depreciation and amortization, pre-opening expenses,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The Company also presents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EBITDAR does not include depreciation or interest expense and therefore does not reflect current or future capital expenditures or the cost of capital. The Company has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the Company's calculation of Adjusted Property EBITDAR may be different from the calculation methods used by other companies and, therefore, comparability may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6"/>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 Operations: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Wynn Palace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27,009</w:t>
            </w: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124,749</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132,400</w:t>
            </w:r>
          </w:p>
        </w:tc>
      </w:tr>
      <w:tr>
        <w:trPr>
          <w:trHeight w:val="243"/>
        </w:trPr>
        <w:tc>
          <w:tcPr>
            <w:tcW w:w="5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Wynn Macau</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18,526</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70,121</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48,775</w:t>
            </w:r>
          </w:p>
        </w:tc>
      </w:tr>
      <w:tr>
        <w:trPr>
          <w:trHeight w:val="23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50,034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45,535</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194,870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181,175</w:t>
            </w: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82,756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314,141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188,844</w:t>
            </w:r>
          </w:p>
        </w:tc>
      </w:tr>
      <w:tr>
        <w:trPr>
          <w:trHeight w:val="24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6,416</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16,112</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17,903</w:t>
            </w:r>
          </w:p>
        </w:tc>
      </w:tr>
      <w:tr>
        <w:trPr>
          <w:trHeight w:val="24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29,281</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8,564</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101,263</w:t>
            </w:r>
          </w:p>
        </w:tc>
      </w:tr>
      <w:tr>
        <w:trPr>
          <w:trHeight w:val="25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201,600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163,988</w:t>
            </w: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533,687</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489,185</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r>
      <w:tr>
        <w:trPr>
          <w:trHeight w:val="531"/>
        </w:trPr>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54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 Operations: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Wynn Palace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2,789,968</w:t>
            </w:r>
          </w:p>
        </w:tc>
        <w:tc>
          <w:tcPr>
            <w:tcW w:w="1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2,817,363</w:t>
            </w:r>
          </w:p>
        </w:tc>
      </w:tr>
      <w:tr>
        <w:trPr>
          <w:trHeight w:val="243"/>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Wynn Macau</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1,138,868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1,329,671</w:t>
            </w:r>
          </w:p>
        </w:tc>
      </w:tr>
      <w:tr>
        <w:trPr>
          <w:trHeight w:val="243"/>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Macau</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945,638</w:t>
            </w:r>
          </w:p>
        </w:tc>
        <w:tc>
          <w:tcPr>
            <w:tcW w:w="10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1,013,979</w:t>
            </w:r>
          </w:p>
        </w:tc>
      </w:tr>
      <w:tr>
        <w:trPr>
          <w:trHeight w:val="237"/>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4,874,474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5,161,013</w:t>
            </w:r>
          </w:p>
        </w:tc>
      </w:tr>
      <w:tr>
        <w:trPr>
          <w:trHeight w:val="24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3,435,733</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3,252,007</w:t>
            </w: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1,915,358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1,946,783</w:t>
            </w:r>
          </w:p>
        </w:tc>
      </w:tr>
      <w:tr>
        <w:trPr>
          <w:trHeight w:val="24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2,894,148</w:t>
            </w:r>
          </w:p>
        </w:tc>
        <w:tc>
          <w:tcPr>
            <w:tcW w:w="10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2,748,314</w:t>
            </w:r>
          </w:p>
        </w:tc>
      </w:tr>
      <w:tr>
        <w:trPr>
          <w:trHeight w:val="23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13,119,713</w:t>
            </w:r>
          </w:p>
        </w:tc>
        <w:tc>
          <w:tcPr>
            <w:tcW w:w="10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13,108,117</w:t>
            </w:r>
          </w:p>
        </w:tc>
      </w:tr>
      <w:tr>
        <w:trPr>
          <w:trHeight w:val="21"/>
        </w:trPr>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unaudited condensed consolidated financial statements and the notes thereto included elsewhere in this Quarterly Report on Form 10-Q and the audited consolidated financial statements appearing in our Annual Report on Form 10-K for the year ended December 31, 2025.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"Forward-Looking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21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2025 and other factors we describe from time to time in our periodic filings with the Securities and Exchange Commission ("SEC"), such as:</w:t>
      </w:r>
    </w:p>
    <w:p>
      <w:pPr>
        <w:spacing w:after="0" w:line="207"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business and the cost of compliance or failure to comply with applicable laws and regulations;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future investigations, litigation and other disputes;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key managers and employees;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gaming licenses and concessions and comply with applicable gaming law;</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relations, national security policies, anticorruption campaigns and other geopolitical events, which may impact the number of visitors to our properties and the amount of money they are willing to spend;</w:t>
      </w:r>
    </w:p>
    <w:p>
      <w:pPr>
        <w:jc w:val="both"/>
        <w:ind w:left="1300" w:hanging="644"/>
        <w:spacing w:after="0" w:line="250" w:lineRule="auto"/>
        <w:tabs>
          <w:tab w:leader="none" w:pos="1295"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disruptions caused by, and the impact on regional demand for casino resorts and inbound tourism and the travel and leisure industry more generally from, events outside of our control, including an outbreak of an infectious disease, public incidents of violence, mass shootings, riots, demonstrations, extreme weather patterns or natural disasters, military conflicts, civil unrest, and any future security alerts or terrorist attacks;</w:t>
      </w: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resorts and the level of service we provide;</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resorts and locations for all of our cash flow and our subsidiaries' ability to pay us dividends and distributions;</w:t>
      </w:r>
    </w:p>
    <w:p>
      <w:pPr>
        <w:ind w:left="1300" w:right="20" w:hanging="644"/>
        <w:spacing w:after="0" w:line="25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casino/hotel and resort industries and actions taken by our competitors, including new development and construction activities of competitors;</w:t>
      </w: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customer relationships and collect and enforce gaming receivables;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 rates for our gaming operations;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regulatory and other macroeconomic or geopolitical risks associated with our current and future construction projects or co-investments in such projects;</w:t>
      </w: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violations by us of various anti-money laundering laws or the Foreign Corrupt Practices Act;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environmental requirements and potential cleanup responsibility and liability as an owner or operator of property;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incidents or adverse publicity concerning our resorts or our corporate responsibilities;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the gaming laws or regulations in the various jurisdictions in which we operate;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regulations related to taxation, including changes in the rates of taxation;</w:t>
      </w:r>
    </w:p>
    <w:p>
      <w:pPr>
        <w:spacing w:after="0" w:line="9"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collection and use of personal data and our level of compliance with applicable governmental regulations, credit card industry standards and other applicable data security standards;</w:t>
      </w:r>
    </w:p>
    <w:p>
      <w:pPr>
        <w:ind w:left="1300" w:hanging="644"/>
        <w:spacing w:after="0" w:line="25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including cyber and physical security breaches, system failure, computer viruses, and negligent or intentional misuse by customers, company employees, or employees of third-party vendors;</w:t>
      </w: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actions and other labor problems;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insurance coverage levels;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specifically associated with our Macau Operations;</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indebtedness and our ability to meet our debt service obligations (including sensitivity to fluctuations in interest rates); and</w:t>
      </w: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the covenants in our debt agreements.</w:t>
      </w:r>
    </w:p>
    <w:p>
      <w:pPr>
        <w:spacing w:after="0" w:line="2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Further information on potential factors that could affect our business, financial condition, results of operations and cash flows are included elsewhere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71% ownership of Wynn Macau, Limited ("WML"), our concessionaire Wynn Resorts (Macau) S.A. ("Wynn Macau SA") operates two integrated resorts in the Macau Special Administrative Region of the People's Republic of China ("Macau"), Wynn Palace and Wynn Macau (collectively, our "Macau Operations"). In Las Vegas, Nevada, we operate and, with the exception of certain retail space, own 100% of Wynn Las Vegas. We are a 50.1% owner and managing member of a joint venture that owns and leases certain retail space at Wynn Las Vegas (the "Retail Joint Venture"). We refer to Wynn Las Vegas, Encore, an expansion at Wynn Las Vegas, and the Retail Joint Venture as our Las Vegas Operations. In Everett, Massachusetts, we operate Encore Boston Harbor, an integrated resort.</w:t>
      </w:r>
    </w:p>
    <w:p>
      <w:pPr>
        <w:spacing w:after="0" w:line="2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has a 40% equity interest in Island 3 AMI FZ-LLC ("Island 3") and affiliated ventures (collectively, the "Al Marjan Joint Venture"), which is constructing an integrated resort property ("Wynn Al Marjan Island") in Ras Al Khaimah, United Arab Emirates.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Measures</w:t>
      </w:r>
    </w:p>
    <w:p>
      <w:pPr>
        <w:spacing w:after="0" w:line="256"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Certain key operating measures specific to the gaming industry are included in our discussion of our operational performance for the periods for which the Condensed Consolidated Statements of Operations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spacing w:after="0" w:line="204" w:lineRule="exact"/>
        <w:rPr>
          <w:sz w:val="20"/>
          <w:szCs w:val="20"/>
          <w:color w:val="auto"/>
        </w:rPr>
      </w:pPr>
    </w:p>
    <w:p>
      <w:pPr>
        <w:ind w:left="1300" w:hanging="644"/>
        <w:spacing w:after="0" w:line="261"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in mass market for our Macau Operations is the amount of cash that is deposited in a gaming table's drop box plus cash chips purchased at the casino cage.</w:t>
      </w: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our Las Vegas Operations is the amount of cash and net markers issued that are deposited in a gaming table's drop box.</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Encore Boston Harbor is the amount of cash and gross markers issued that are deposited in a gaming table's drop box.</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Rolling chips are non-negotiable identifiable chips that are used to track turnover for purposes of calculating incentives within our Macau Operations' VIP program.</w:t>
      </w: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Turnover is the sum of all losing rolling chip wagers within our Macau Operations' VIP program.</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right="20" w:hanging="644"/>
        <w:spacing w:after="0" w:line="261"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is calculated by dividing total room revenues, including complimentaries (less service charges, if any), by total rooms occupied.</w:t>
      </w:r>
    </w:p>
    <w:p>
      <w:pPr>
        <w:ind w:left="1300" w:hanging="644"/>
        <w:spacing w:after="0" w:line="250"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is calculated by dividing total room revenues, including complimentaries (less service charges, if any), by total rooms available.</w:t>
      </w: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is calculated by dividing total occupied rooms, including complimentary rooms, by the total rooms available.</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a discussion of the methodologies used to calculate win percentages at our resorts.</w:t>
      </w:r>
    </w:p>
    <w:p>
      <w:pPr>
        <w:spacing w:after="0" w:line="25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21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typically expect our win as a percentage of turnover from these operations to be within the range of 3.1% to 3.4%.</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third quarter 2026 results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financial results for the periods presented (dollars in thousands, except per share data):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tcPr>
          <w:p>
            <w:pPr>
              <w:spacing w:after="0"/>
              <w:rPr>
                <w:sz w:val="16"/>
                <w:szCs w:val="16"/>
                <w:color w:val="auto"/>
              </w:rPr>
            </w:pPr>
          </w:p>
        </w:tc>
        <w:tc>
          <w:tcPr>
            <w:tcW w:w="25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780" w:type="dxa"/>
            <w:vAlign w:val="bottom"/>
          </w:tcPr>
          <w:p>
            <w:pPr>
              <w:spacing w:after="0"/>
              <w:rPr>
                <w:sz w:val="11"/>
                <w:szCs w:val="11"/>
                <w:color w:val="auto"/>
              </w:rPr>
            </w:pPr>
          </w:p>
        </w:tc>
        <w:tc>
          <w:tcPr>
            <w:tcW w:w="116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17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1,689,053</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1,833,747</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(144,694)</w:t>
            </w:r>
          </w:p>
        </w:tc>
        <w:tc>
          <w:tcPr>
            <w:tcW w:w="8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5,402,748</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5,271,941</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130,807</w:t>
            </w:r>
          </w:p>
        </w:tc>
        <w:tc>
          <w:tcPr>
            <w:tcW w:w="8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89"/>
        </w:trPr>
        <w:tc>
          <w:tcPr>
            <w:tcW w:w="17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Net income attributable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to Wynn Resorts,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(71,020)</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277,837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227,306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50,531</w:t>
            </w: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Diluted net income per</w:t>
            </w: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decrease in operating revenues for the three months ended September 30, 2026 was primarily due to a decrease in casino revenues of $124.2 million, largely driven by lower gaming volumes across all of our properties.</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decrease in net income attributable to Wynn Resorts, Limited for the three months ended September 30, 2026 was primarily attributable to a $132.3 million decrease in operating income, largely due to lower casino revenues partially offset by lower casino expenses. This decrease was partially offset by a decrease in the provision for income taxes, which was $5.6 million in the three months ended September 30, 2026 compared to $61.1 million in the three months ended September 30, 2025.</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three months ended September 30, 2026 compared to the three months ended September 30, 2025</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revenues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operating revenues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Macau Operations: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Wynn Palace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583,771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635,472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Wynn Macau</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335,428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365,513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(30,085)</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7"/>
        </w:trPr>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919,199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1,000,985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(81,786)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3"/>
        </w:trPr>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Las Vegas Operations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Encore Boston Harbor</w:t>
            </w: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194,700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211,750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1,689,053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1,833,747</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(144,694)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casino and non-casino operating revenues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Casino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1,050,471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1,174,717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(124,246)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Non-casino revenues:</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Rooms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Food and beverage</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257,657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261,990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119,426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126,556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7"/>
        </w:trPr>
        <w:tc>
          <w:tcPr>
            <w:tcW w:w="5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 non-casino revenues</w:t>
            </w: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638,582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659,030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(20,448)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6"/>
        </w:trPr>
        <w:tc>
          <w:tcPr>
            <w:tcW w:w="57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1,689,053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1,833,747</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(144,694)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Casino revenues for the three months ended September 30, 2026 were 62.2% of operating revenues, compared to 64.1% for the same period of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Non-casino revenues for the three months ended September 30, 2026 were 37.8% of operating revenues, compared to 35.9% for the same period of 2025.</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Casino revenues decreased primarily due to lower gaming volumes across all of our properties.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our casino revenues and associated key operating measures (dollars in thousands, except for win per unit per day):</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Wynn Palace:</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495,808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542,439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(46,631)</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3"/>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VIP:</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turnover</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2,794,816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3,261,314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(466,498)</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VIP table games win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106,876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152,478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(45,602)</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24,323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32,401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43"/>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Mass market:</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1,791,654</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2,057,789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(266,135)</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462,711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465,683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17,587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20,714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00" w:type="dxa"/>
            <w:vAlign w:val="bottom"/>
          </w:tcPr>
          <w:p>
            <w:pPr>
              <w:spacing w:after="0"/>
              <w:rPr>
                <w:sz w:val="21"/>
                <w:szCs w:val="21"/>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711,487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710,156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29,897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30,482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3"/>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Wynn Macau:</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286,086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314,489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(28,403)</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3"/>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VIP:</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turnover</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470,355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1,019,346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(548,991)</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VIP table games win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22,940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29,873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23,504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18,871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43"/>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Mass market:</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1,624,967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1,633,273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277,960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305,761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(27,801)</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14,151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14,139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00" w:type="dxa"/>
            <w:vAlign w:val="bottom"/>
          </w:tcPr>
          <w:p>
            <w:pPr>
              <w:spacing w:after="0"/>
              <w:rPr>
                <w:sz w:val="21"/>
                <w:szCs w:val="21"/>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876,965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855,707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21,258</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29,085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25,588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Our casino operations in Macau were closed for a 1-day period in September 2025 due to Typhoon Ragasa.</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123,379</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161,576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(38,197)</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592,931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652,293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(59,362)</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112,132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150,073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(37,941)</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4,959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6,994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0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1,777,297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1,818,133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(40,836)</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119,090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123,500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Poker rake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Encore Boston Harbor:</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145,198</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156,213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317,038</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323,981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59,844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66,257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0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1,296,855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1,397,554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(100,699)</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102,396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110,797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Poker rake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5,045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Wynn Palace</w:t>
            </w:r>
            <w:r>
              <w:rPr>
                <w:rFonts w:ascii="Times New Roman" w:cs="Times New Roman" w:eastAsia="Times New Roman" w:hAnsi="Times New Roman"/>
                <w:sz w:val="14"/>
                <w:szCs w:val="14"/>
                <w:color w:val="auto"/>
              </w:rPr>
              <w:t>:</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36,048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37,396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118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Wynn Macau:</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20,628</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21,149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21"/>
                <w:szCs w:val="21"/>
                <w:color w:val="auto"/>
              </w:rPr>
            </w:pPr>
          </w:p>
        </w:tc>
        <w:tc>
          <w:tcPr>
            <w:tcW w:w="118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99.1 %</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18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181,827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186,712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7"/>
              </w:rPr>
              <w:t>3.4</w:t>
            </w:r>
          </w:p>
        </w:tc>
        <w:tc>
          <w:tcPr>
            <w:tcW w:w="0" w:type="dxa"/>
            <w:vAlign w:val="bottom"/>
          </w:tcPr>
          <w:p>
            <w:pPr>
              <w:spacing w:after="0"/>
              <w:rPr>
                <w:sz w:val="1"/>
                <w:szCs w:val="1"/>
                <w:color w:val="auto"/>
              </w:rPr>
            </w:pPr>
          </w:p>
        </w:tc>
      </w:tr>
      <w:tr>
        <w:trPr>
          <w:trHeight w:val="24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118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7"/>
              </w:rPr>
              <w:t>3.2</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Encore Boston Harbor:</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22,996</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25,227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80" w:type="dxa"/>
            <w:vAlign w:val="bottom"/>
          </w:tcPr>
          <w:p>
            <w:pPr>
              <w:spacing w:after="0"/>
              <w:rPr>
                <w:sz w:val="21"/>
                <w:szCs w:val="21"/>
                <w:color w:val="auto"/>
              </w:rPr>
            </w:pPr>
          </w:p>
        </w:tc>
        <w:tc>
          <w:tcPr>
            <w:tcW w:w="118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91.9 %</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18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Room revenues decreased $9.0 million for the three months ended September 30, 2026, primarily due to fewer rooms available at our Las Vegas Operations due to room remodels.</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Food and beverage revenues decreased $4.3 million for the three months ended September 30, 2026, largely as a result of the closure of certain food and beverage outlets at Encore Boston Harbor due to an ongoing labor dispute.</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Entertainment, retail and other revenues decreased $7.1 million for the three months ended September 30, 2026, due mainly to lower entertainment venue sales at our Las Vegas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operating expenses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674,247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3"/>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43"/>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166,782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152,828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13,954</w:t>
            </w: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15,877</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62"/>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1,510,831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1,523,258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(12,427)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4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decrease in total operating expenses was primarily due to the decrease in casino expenses at our Macau Operations, largely driven by a decrease in gaming tax expense commensurate with lower casino revenues, partially offset by an increase in property charges and depreciation and amortization.</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Casino expense decreased $14.1 million and $9.7 million at Wynn Palace and Wynn Macau, respectively, primarily due to lower gaming tax expense.</w:t>
      </w:r>
    </w:p>
    <w:p>
      <w:pPr>
        <w:spacing w:after="0" w:line="25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Food and beverage expense decreased $3.7 million at Encore Boston Harbor largely due to the closure of certain food and beverage outlets due to an ongoing labor dispute.</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Entertainment, retail and other expense decreased $4.6 million, primarily due to lower entertainment production costs at our Las Vegas Operations.</w:t>
      </w:r>
    </w:p>
    <w:p>
      <w:pPr>
        <w:spacing w:after="0" w:line="25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Pre-opening expense decreased $4.6 million, primarily due to lower costs associated with Wynn Al Marjan Island for the three months ended September 30, 2026.</w:t>
      </w:r>
    </w:p>
    <w:p>
      <w:pPr>
        <w:spacing w:after="0" w:line="18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$11.2 million at our Las Vegas Operations resulting from enhancements to our property and maintenance capital expenditures.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Property charges and other expenses for the three months ended September 30, 2026 consisted primarily of asset abandonments and disposals of $15.5 million at our Macau Operations and contract termination costs of $3.3 million at our Las Vegas Operations. Property charges and other expenses for the three months ended September 30, 2025 consisted primarily of asset abandonments and disposals of $4.6 million at our Macau Operations.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non-operating income and expenses</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Interest expense, net of amounts capitalized, decreased $5.8 million. We capitalized interest of $21.9 million and $11.6 million in the three months ended September 30, 2026 and 2025, respectively. Interest expense, exclusive of capitalized interest, increased $4.4 million, primarily due to an increase in the weighted average interest rate from 6.08% for the three months ended September 30, 2025 to 6.23% for the three months ended September 30, 2026.</w:t>
      </w:r>
    </w:p>
    <w:p>
      <w:pPr>
        <w:spacing w:after="0" w:line="20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recorded interest income of $12.6 million and $16.6 million in the three months ended September 30, 2026 and 2025, respectively, primarily related to interest earned on cash and cash equivalents held at financial institutions.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incurred a foreign currency remeasurement loss of $1.9 million and a gain of $33.9 million for the three months ended September 30, 2026 and 2025, respectively. The impact of the exchange rate fluctuation of the Macau pataca, in relation to the U.S. dollar, on the remeasurements of U.S. dollar denominated debt and other obligations from our Macau-related entities primarily drove the variability between periods.</w:t>
      </w:r>
    </w:p>
    <w:p>
      <w:pPr>
        <w:spacing w:after="0" w:line="20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recorded a gain of $10.5 million for the three months ended September 30, 2026, from change in derivatives fair value, which primarily includes a gain of $17.5 million related to foreign currency swaps and a loss of $7.9 million related to an interest rate equity contribution agreement with Wynn Al Marjan Island FZ-LLC, a subsidiary of Island 3. We recorded a loss of $13.2 million for the three months ended September 30, 2025, from change in derivatives fair value, which primarily includes a loss of $18.5 million related to the conversion feature on the WML Convertible Bonds and a gain of $6.1 million related to foreign currency swaps. For more information on the Company's derivative instruments, refer to Item 1—"Notes to Condensed Consolidated Financial Statements," Note 7, "Derivative Instruments" and Note 15, "Commitments and Contingencies."</w:t>
      </w:r>
    </w:p>
    <w:p>
      <w:pPr>
        <w:spacing w:after="0" w:line="21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recorded a $5.4 million loss on debt financing transactions for the three months ended September 30, 2026 related to the redemption of the WLV 5 1/4% Senior Notes due 2027 ("2027 WLV Senior Notes"). We recorded a $0.6 million loss on debt financing transactions for the three months ended September 30, 2025, primarily related to the redemption of the WML 5 1/2% Senior Notes due 2026 ("2026 WML Senior Notes").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income tax expense of $5.6 million and $61.1 million for the three months ended September 30, 2026 and 2025, respectively, primarily related to our U.S.-based operating profits.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recognized net income attributable to noncontrolling interests of $19.4 million and $40.1 million for the three months ended September 30, 2026 and 2025, respectively, primarily related to the noncontrolling interests' share of net income from WML.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nine months ended September 30, 2026 compared to the nine months ended September 30, 2025</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revenues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operating revenues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Macau Operations: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Wynn Palace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1,896,508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1,711,042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185,466</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Wynn Macau</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1,016,366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1,039,286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(22,920)</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6"/>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2,912,874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2,750,328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162,546</w:t>
            </w:r>
          </w:p>
        </w:tc>
        <w:tc>
          <w:tcPr>
            <w:tcW w:w="1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3"/>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Las Vegas Operations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1,880,231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1,884,930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Encore Boston Harbor</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609,643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636,683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5,402,748</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5,271,941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130,807</w:t>
            </w: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casino and non-casino operating revenues (dollars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Casino revenues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3,402,992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3,266,981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136,011</w:t>
            </w:r>
          </w:p>
        </w:tc>
        <w:tc>
          <w:tcPr>
            <w:tcW w:w="130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color w:val="auto"/>
                <w:w w:val="97"/>
              </w:rPr>
              <w:t>4.2</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Non-casino revenues:</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Rooms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836,058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30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color w:val="auto"/>
                <w:w w:val="97"/>
              </w:rPr>
              <w:t>0.7</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Food and beverage</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772,926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1300" w:type="dxa"/>
            <w:vAlign w:val="bottom"/>
            <w:gridSpan w:val="2"/>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376,553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395,976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(19,423)</w:t>
            </w:r>
          </w:p>
        </w:tc>
        <w:tc>
          <w:tcPr>
            <w:tcW w:w="1300" w:type="dxa"/>
            <w:vAlign w:val="bottom"/>
            <w:tcBorders>
              <w:bottom w:val="single" w:sz="8" w:color="CCEEFF"/>
            </w:tcBorders>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7"/>
        </w:trPr>
        <w:tc>
          <w:tcPr>
            <w:tcW w:w="57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Total non-casino revenues</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1,999,756</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2,004,960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(5,204)</w:t>
            </w:r>
          </w:p>
        </w:tc>
        <w:tc>
          <w:tcPr>
            <w:tcW w:w="1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6"/>
        </w:trPr>
        <w:tc>
          <w:tcPr>
            <w:tcW w:w="57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5,402,748</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5,271,941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130,807</w:t>
            </w:r>
          </w:p>
        </w:tc>
        <w:tc>
          <w:tcPr>
            <w:tcW w:w="130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color w:val="auto"/>
                <w:w w:val="97"/>
              </w:rPr>
              <w:t>2.5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Casino revenues for the nine months ended September 30, 2026 were 63.0% of operating revenues, compared to 62.0% for the same period of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Non-casino revenues for the nine months ended September 30, 2026 were 37.0% of operating revenues, compared to 38.0% for the same period of 2025.</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Casino revenues in the nine months ended September 30, 2026 increased primarily due to higher mass market table games win at Wynn Palace.</w:t>
      </w: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our casino revenues and associated key operating measures (dollars in thousands, except for win per unit per day):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Wynn Palace:</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1,625,081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1,435,245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189,836</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43"/>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VIP:</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turnover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9,878,634</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11,337,407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(1,458,773)</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VIP 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323,431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373,481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(50,050)</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24,500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25,888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Mass market:</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5,662,690</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5,606,241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56,449</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1,549,856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1,299,679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250,177</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20,094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19,282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2,532,354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2,202,840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329,514</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106,049</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92,320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13,729</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Wynn Macau:</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863,544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883,419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VIP:</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turnover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1,484,342</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3,438,127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(1,953,785)</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VIP 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36,261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79,025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(42,764)</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11,991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12,862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3"/>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Mass market:</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5,280,410</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4,793,914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486,496</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866,285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875,146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14,733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13,993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3,306,751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2,718,205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588,546</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43"/>
        </w:trPr>
        <w:tc>
          <w:tcPr>
            <w:tcW w:w="5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100,222</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75,148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25,074</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Our casino operations in Macau were closed for a 1-day period in September 2025 due to Typhoon Ragasa.</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3"/>
        </w:trPr>
        <w:tc>
          <w:tcPr>
            <w:tcW w:w="1020" w:type="dxa"/>
            <w:vAlign w:val="bottom"/>
            <w:tcBorders>
              <w:top w:val="single" w:sz="8" w:color="0000FF"/>
            </w:tcBorders>
          </w:tcPr>
          <w:p>
            <w:pPr>
              <w:spacing w:after="0"/>
              <w:rPr>
                <w:sz w:val="24"/>
                <w:szCs w:val="24"/>
                <w:color w:val="auto"/>
              </w:rPr>
            </w:pPr>
          </w:p>
        </w:tc>
        <w:tc>
          <w:tcPr>
            <w:tcW w:w="4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0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459,674</w:t>
            </w:r>
          </w:p>
        </w:tc>
        <w:tc>
          <w:tcPr>
            <w:tcW w:w="8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471,071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(11,397)</w:t>
            </w:r>
          </w:p>
        </w:tc>
        <w:tc>
          <w:tcPr>
            <w:tcW w:w="80" w:type="dxa"/>
            <w:vAlign w:val="bottom"/>
          </w:tcPr>
          <w:p>
            <w:pPr>
              <w:spacing w:after="0"/>
              <w:rPr>
                <w:sz w:val="21"/>
                <w:szCs w:val="21"/>
                <w:color w:val="auto"/>
              </w:rPr>
            </w:pPr>
          </w:p>
        </w:tc>
        <w:tc>
          <w:tcPr>
            <w:tcW w:w="118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7"/>
              </w:rPr>
              <w:t>3.8</w:t>
            </w:r>
          </w:p>
        </w:tc>
        <w:tc>
          <w:tcPr>
            <w:tcW w:w="0" w:type="dxa"/>
            <w:vAlign w:val="bottom"/>
          </w:tcPr>
          <w:p>
            <w:pPr>
              <w:spacing w:after="0"/>
              <w:rPr>
                <w:sz w:val="1"/>
                <w:szCs w:val="1"/>
                <w:color w:val="auto"/>
              </w:rPr>
            </w:pPr>
          </w:p>
        </w:tc>
      </w:tr>
      <w:tr>
        <w:trPr>
          <w:trHeight w:val="243"/>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1,916,475</w:t>
            </w:r>
          </w:p>
        </w:tc>
        <w:tc>
          <w:tcPr>
            <w:tcW w:w="8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9"/>
              </w:rPr>
              <w:t>1,854,052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62,423</w:t>
            </w:r>
          </w:p>
        </w:tc>
        <w:tc>
          <w:tcPr>
            <w:tcW w:w="80" w:type="dxa"/>
            <w:vAlign w:val="bottom"/>
          </w:tcPr>
          <w:p>
            <w:pPr>
              <w:spacing w:after="0"/>
              <w:rPr>
                <w:sz w:val="21"/>
                <w:szCs w:val="21"/>
                <w:color w:val="auto"/>
              </w:rPr>
            </w:pPr>
          </w:p>
        </w:tc>
        <w:tc>
          <w:tcPr>
            <w:tcW w:w="118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7"/>
              </w:rPr>
              <w:t>3.4</w:t>
            </w:r>
          </w:p>
        </w:tc>
        <w:tc>
          <w:tcPr>
            <w:tcW w:w="0" w:type="dxa"/>
            <w:vAlign w:val="bottom"/>
          </w:tcPr>
          <w:p>
            <w:pPr>
              <w:spacing w:after="0"/>
              <w:rPr>
                <w:sz w:val="1"/>
                <w:szCs w:val="1"/>
                <w:color w:val="auto"/>
              </w:rPr>
            </w:pPr>
          </w:p>
        </w:tc>
      </w:tr>
      <w:tr>
        <w:trPr>
          <w:trHeight w:val="243"/>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437,197</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427,109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7"/>
              </w:rPr>
              <w:t>2.4</w:t>
            </w:r>
          </w:p>
        </w:tc>
        <w:tc>
          <w:tcPr>
            <w:tcW w:w="0" w:type="dxa"/>
            <w:vAlign w:val="bottom"/>
          </w:tcPr>
          <w:p>
            <w:pPr>
              <w:spacing w:after="0"/>
              <w:rPr>
                <w:sz w:val="1"/>
                <w:szCs w:val="1"/>
                <w:color w:val="auto"/>
              </w:rPr>
            </w:pPr>
          </w:p>
        </w:tc>
      </w:tr>
      <w:tr>
        <w:trPr>
          <w:trHeight w:val="243"/>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6,586</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6,691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1,562</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118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5,405,901</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9"/>
              </w:rPr>
              <w:t>5,356,473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49,428</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7"/>
              </w:rPr>
              <w:t>0.9</w:t>
            </w:r>
          </w:p>
        </w:tc>
        <w:tc>
          <w:tcPr>
            <w:tcW w:w="0" w:type="dxa"/>
            <w:vAlign w:val="bottom"/>
          </w:tcPr>
          <w:p>
            <w:pPr>
              <w:spacing w:after="0"/>
              <w:rPr>
                <w:sz w:val="1"/>
                <w:szCs w:val="1"/>
                <w:color w:val="auto"/>
              </w:rPr>
            </w:pPr>
          </w:p>
        </w:tc>
      </w:tr>
      <w:tr>
        <w:trPr>
          <w:trHeight w:val="243"/>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356,433</w:t>
            </w:r>
          </w:p>
        </w:tc>
        <w:tc>
          <w:tcPr>
            <w:tcW w:w="8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370,350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(13,917)</w:t>
            </w:r>
          </w:p>
        </w:tc>
        <w:tc>
          <w:tcPr>
            <w:tcW w:w="80" w:type="dxa"/>
            <w:vAlign w:val="bottom"/>
          </w:tcPr>
          <w:p>
            <w:pPr>
              <w:spacing w:after="0"/>
              <w:rPr>
                <w:sz w:val="21"/>
                <w:szCs w:val="21"/>
                <w:color w:val="auto"/>
              </w:rPr>
            </w:pPr>
          </w:p>
        </w:tc>
        <w:tc>
          <w:tcPr>
            <w:tcW w:w="118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Poker rake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16,231</w:t>
            </w:r>
          </w:p>
        </w:tc>
        <w:tc>
          <w:tcPr>
            <w:tcW w:w="8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17,583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80" w:type="dxa"/>
            <w:vAlign w:val="bottom"/>
          </w:tcPr>
          <w:p>
            <w:pPr>
              <w:spacing w:after="0"/>
              <w:rPr>
                <w:sz w:val="21"/>
                <w:szCs w:val="21"/>
                <w:color w:val="auto"/>
              </w:rPr>
            </w:pPr>
          </w:p>
        </w:tc>
        <w:tc>
          <w:tcPr>
            <w:tcW w:w="118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3"/>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Encore Boston Harbor:</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casino revenues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454,693</w:t>
            </w:r>
          </w:p>
        </w:tc>
        <w:tc>
          <w:tcPr>
            <w:tcW w:w="8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477,246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(22,553)</w:t>
            </w:r>
          </w:p>
        </w:tc>
        <w:tc>
          <w:tcPr>
            <w:tcW w:w="80" w:type="dxa"/>
            <w:vAlign w:val="bottom"/>
          </w:tcPr>
          <w:p>
            <w:pPr>
              <w:spacing w:after="0"/>
              <w:rPr>
                <w:sz w:val="21"/>
                <w:szCs w:val="21"/>
                <w:color w:val="auto"/>
              </w:rPr>
            </w:pPr>
          </w:p>
        </w:tc>
        <w:tc>
          <w:tcPr>
            <w:tcW w:w="118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Table drop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989,695</w:t>
            </w:r>
          </w:p>
        </w:tc>
        <w:tc>
          <w:tcPr>
            <w:tcW w:w="8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9"/>
              </w:rPr>
              <w:t>1,002,226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(12,531)</w:t>
            </w:r>
          </w:p>
        </w:tc>
        <w:tc>
          <w:tcPr>
            <w:tcW w:w="80" w:type="dxa"/>
            <w:vAlign w:val="bottom"/>
          </w:tcPr>
          <w:p>
            <w:pPr>
              <w:spacing w:after="0"/>
              <w:rPr>
                <w:sz w:val="21"/>
                <w:szCs w:val="21"/>
                <w:color w:val="auto"/>
              </w:rPr>
            </w:pPr>
          </w:p>
        </w:tc>
        <w:tc>
          <w:tcPr>
            <w:tcW w:w="118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188,180</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208,155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(19,975)</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3"/>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Table games win %</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4,060</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3"/>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36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2,660</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1"/>
                <w:szCs w:val="21"/>
                <w:color w:val="auto"/>
              </w:rPr>
            </w:pPr>
          </w:p>
        </w:tc>
        <w:tc>
          <w:tcPr>
            <w:tcW w:w="118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handle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4,033,495</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9"/>
              </w:rPr>
              <w:t>4,120,102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(86,607)</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Slot machine win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322,420</w:t>
            </w:r>
          </w:p>
        </w:tc>
        <w:tc>
          <w:tcPr>
            <w:tcW w:w="8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327,752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80" w:type="dxa"/>
            <w:vAlign w:val="bottom"/>
          </w:tcPr>
          <w:p>
            <w:pPr>
              <w:spacing w:after="0"/>
              <w:rPr>
                <w:sz w:val="21"/>
                <w:szCs w:val="21"/>
                <w:color w:val="auto"/>
              </w:rPr>
            </w:pPr>
          </w:p>
        </w:tc>
        <w:tc>
          <w:tcPr>
            <w:tcW w:w="118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5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7"/>
              </w:rPr>
              <w:t>0.7</w:t>
            </w:r>
          </w:p>
        </w:tc>
        <w:tc>
          <w:tcPr>
            <w:tcW w:w="0" w:type="dxa"/>
            <w:vAlign w:val="bottom"/>
          </w:tcPr>
          <w:p>
            <w:pPr>
              <w:spacing w:after="0"/>
              <w:rPr>
                <w:sz w:val="1"/>
                <w:szCs w:val="1"/>
                <w:color w:val="auto"/>
              </w:rPr>
            </w:pPr>
          </w:p>
        </w:tc>
      </w:tr>
      <w:tr>
        <w:trPr>
          <w:trHeight w:val="243"/>
        </w:trPr>
        <w:tc>
          <w:tcPr>
            <w:tcW w:w="55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Poker rake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15,950</w:t>
            </w:r>
          </w:p>
        </w:tc>
        <w:tc>
          <w:tcPr>
            <w:tcW w:w="8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16,482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Pr>
          <w:p>
            <w:pPr>
              <w:spacing w:after="0"/>
              <w:rPr>
                <w:sz w:val="21"/>
                <w:szCs w:val="21"/>
                <w:color w:val="auto"/>
              </w:rPr>
            </w:pPr>
          </w:p>
        </w:tc>
        <w:tc>
          <w:tcPr>
            <w:tcW w:w="118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1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Wynn Palace:</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109,870</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112,492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99.0 %</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118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Wynn Macau:</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62,855</w:t>
            </w:r>
          </w:p>
        </w:tc>
        <w:tc>
          <w:tcPr>
            <w:tcW w:w="8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66,188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80" w:type="dxa"/>
            <w:vAlign w:val="bottom"/>
          </w:tcPr>
          <w:p>
            <w:pPr>
              <w:spacing w:after="0"/>
              <w:rPr>
                <w:sz w:val="21"/>
                <w:szCs w:val="21"/>
                <w:color w:val="auto"/>
              </w:rPr>
            </w:pPr>
          </w:p>
        </w:tc>
        <w:tc>
          <w:tcPr>
            <w:tcW w:w="118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99.4 %</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1180" w:type="dxa"/>
            <w:vAlign w:val="bottom"/>
          </w:tcPr>
          <w:p>
            <w:pPr>
              <w:jc w:val="center"/>
              <w:ind w:left="69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69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602,520</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590,561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7"/>
              </w:rPr>
              <w:t>2.0</w:t>
            </w:r>
          </w:p>
        </w:tc>
        <w:tc>
          <w:tcPr>
            <w:tcW w:w="0" w:type="dxa"/>
            <w:vAlign w:val="bottom"/>
          </w:tcPr>
          <w:p>
            <w:pPr>
              <w:spacing w:after="0"/>
              <w:rPr>
                <w:sz w:val="1"/>
                <w:szCs w:val="1"/>
                <w:color w:val="auto"/>
              </w:rPr>
            </w:pPr>
          </w:p>
        </w:tc>
      </w:tr>
      <w:tr>
        <w:trPr>
          <w:trHeight w:val="24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86.0 %</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7"/>
              </w:rPr>
              <w:t>7.0</w:t>
            </w:r>
          </w:p>
        </w:tc>
        <w:tc>
          <w:tcPr>
            <w:tcW w:w="0" w:type="dxa"/>
            <w:vAlign w:val="bottom"/>
          </w:tcPr>
          <w:p>
            <w:pPr>
              <w:spacing w:after="0"/>
              <w:rPr>
                <w:sz w:val="1"/>
                <w:szCs w:val="1"/>
                <w:color w:val="auto"/>
              </w:rPr>
            </w:pPr>
          </w:p>
        </w:tc>
      </w:tr>
      <w:tr>
        <w:trPr>
          <w:trHeight w:val="24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1"/>
                <w:szCs w:val="21"/>
                <w:color w:val="auto"/>
              </w:rPr>
            </w:pPr>
          </w:p>
        </w:tc>
        <w:tc>
          <w:tcPr>
            <w:tcW w:w="118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7"/>
              </w:rPr>
              <w:t>5.2</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Encore Boston Harbor:</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66,938</w:t>
            </w:r>
          </w:p>
        </w:tc>
        <w:tc>
          <w:tcPr>
            <w:tcW w:w="8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66,817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21"/>
                <w:szCs w:val="21"/>
                <w:color w:val="auto"/>
              </w:rPr>
            </w:pPr>
          </w:p>
        </w:tc>
        <w:tc>
          <w:tcPr>
            <w:tcW w:w="118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7"/>
              </w:rPr>
              <w:t>0.2</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90.1 %</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118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7"/>
              </w:rPr>
              <w:t>3.8</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7"/>
              </w:rPr>
              <w:t>1.4</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Room revenues increased $6.1 million primarily due to higher ADR at our Las Vegas Operations, partially offset by lower ADR at our Macau Operations.</w:t>
      </w:r>
    </w:p>
    <w:p>
      <w:pPr>
        <w:spacing w:after="0" w:line="18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Food and beverage revenues increased $11.5 million at our Las Vegas Operations, primarily due to incremental revenue from new outlets, partially offset by a decrease of $3.8 million at Encore Boston Harbor due to the closure of certain food and beverage outlets due to an ongoing labor dispute.</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Entertainment, retail and other revenues decreased $19.4 million, primarily as a result of lower entertainment venue sales at our Las Vegas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operating expenses (dollars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ind w:right="233"/>
              <w:spacing w:after="0" w:line="13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1"/>
                <w:szCs w:val="11"/>
                <w:color w:val="auto"/>
              </w:rPr>
            </w:pPr>
          </w:p>
        </w:tc>
        <w:tc>
          <w:tcPr>
            <w:tcW w:w="120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Casino</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2,128,301</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1,983,362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144,939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Rooms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261,785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256,524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Food and beverage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691,762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161,071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174,768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43"/>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821,732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Pre-opening</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492,730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461,156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43,322</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11,691</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62"/>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4,644,334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4,428,263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216,071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4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increase in total operating expenses was primarily due to an increase in casino expense at Wynn Palace, increases in food and beverage expense at our Las Vegas Operations and our Macau Operations, and an increase in depreciation and amortization expense across all of our properties.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Casino expense increased $128.8 million at Wynn Palace, primarily due to higher gaming tax expense.</w:t>
      </w:r>
    </w:p>
    <w:p>
      <w:pPr>
        <w:spacing w:after="0" w:line="25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Food and beverage expense increased $23.3 million at our Las Vegas Operations, primarily due to costs associated with new food and beverage offerings, and $15.5 million at our Macau Operations largely due to higher cost of sales and higher payroll and related costs.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Entertainment, retail and other expense decreased $10.1 million at our Las Vegas Operations due to a reduction in entertainment venue offerings.</w:t>
      </w: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Provision for credit losses increased $8.8 million and $2.9 million at our Macau Operations and Las Vegas Operations, respectively.</w:t>
      </w:r>
    </w:p>
    <w:p>
      <w:pPr>
        <w:spacing w:after="0" w:line="25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$31.6 million, which includes increases across all of our properties, resulting from enhancements to our properties and maintenance capital expenditures.</w:t>
      </w:r>
    </w:p>
    <w:p>
      <w:pPr>
        <w:spacing w:after="0" w:line="18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Property charges and other expenses for the nine months ended September 30, 2026 consisted primarily of $20.7 million and $9.9 million of asset abandonments and disposals at our Macau Operations and our Las Vegas Operations, respectively, and $4.8 million and $3.6 million of contract terminations and other expenses at our Las Vegas Operations and our Macau Operations, respectively. Property charges and other expenses for the nine months ended September 30, 2025 consisted primarily of $6.6 million and $5.8 million of contract terminations and other expenses at our Las Vegas Operations and Encore Boston Harbor, respectively; and $11.7 million, $3.7 million and $2.8 million of asset abandonments and disposals at our Macau Operations, our Las Vegas Operations and Corporate and other,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non-operating income and expenses</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Interest expense, net of amounts capitalized, decreased $13.5 million. We capitalized interest of $56.7 million and $32.8 million in the nine months ended September 30, 2026 and 2025, respectively. Interest expense, exclusive of capitalized interest, increased $10.5 million, primarily due to an increase in the weighted average interest rate from 6.08% for the nine months ended September 30, 2025 to 6.20% for the nine months ended September 30, 2026.</w:t>
      </w:r>
    </w:p>
    <w:p>
      <w:pPr>
        <w:spacing w:after="0" w:line="20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interest income of $38.5 million and $51.8 million in the nine months ended September 30, 2026 and 2025, respectively, primarily related to interest earned on cash and cash equivalents held at financial institutions.</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incurred a foreign currency remeasurement loss of $34.1 million and $10.7 million for the nine months ended September 30, 2026 and 2025, respectively. The impact of the exchange rate fluctuation of the Macau pataca, in relation to the U.S. dollar, on the remeasurements of U.S. dollar denominated debt and other obligations from our Macau-related entities primarily drove the variability between periods.</w:t>
      </w:r>
    </w:p>
    <w:p>
      <w:pPr>
        <w:spacing w:after="0" w:line="20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recorded a gain of $100.6 million for the nine months ended September 30, 2026, from change in derivatives fair value, which primarily includes a gain of $75.1 million related to foreign currency swaps, a gain of $31.7 million related to the conversion feature on the WML Convertible Bonds, and a loss of $7.9 million related to an interest rate equity contribution agreement with Wynn Al Marjan Island FZ-LLC, a subsidiary of Island 3. We recorded a loss of $43.8 million from changes in derivatives fair value for the nine months ended September 30, 2025, which primarily includes a loss of $28.5 million related to the conversion feature on the WML Convertible Bonds and a loss of $8.4 million related to foreign currency swaps. For more information on the Company's derivative instruments, refer to Item 1—"Notes to Condensed Consolidated Financial Statements," Note 7, "Derivative Instruments" and Note 15, "Commitments and Contingencies."</w:t>
      </w:r>
    </w:p>
    <w:p>
      <w:pPr>
        <w:spacing w:after="0" w:line="21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recorded a $5.4 million loss on debt financing transactions for the nine months ended September 30, 2026 related to the redemption of the 2027 WLV Senior Notes. We recorded a $1.7 million loss on debt financing transactions for the nine months ended September 30, 2025 related to the amendment of the WRF credit facility and the redemption of the 2026 WML Senior Notes.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 recorded income tax expense of $31.9 million and $82.7 million for the nine months ended September 30, 2026 and 2025, respectively, primarily related to our U.S.-based operating profits.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25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recognized net income attributable to noncontrolling interests of $92.0 million and $59.5 million for the nine months ended September 30, 2026 and 2025, respectively, primarily related to the noncontrolling interests' share of net income from WML.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56"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As further described in Item 1—"Notes to Condensed Consolidated Financial Statements," Note 17, "Segment Information," we use Adjusted Property EBITDAR to manage the operating results of our segments. Adjusted Property EBITDAR is net income before interest, income taxes, depreciation and amortization, pre-opening expenses,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spacing w:after="0" w:line="21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summarizes Adjusted Property EBITDAR (dollars in thousands) for Wynn Palace, Wynn Macau, Las Vegas Operations and Encore Boston Harbor, as reviewed by management and summarized in Item 1—"Notes to Condensed Consolidated Financial Statements," Note 17, "Segment Information." That footnote also presents a reconciliation of Adjusted Property EBITDAR to net income attributable to Wynn Resorts, Limited.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60" w:type="dxa"/>
            <w:vAlign w:val="bottom"/>
          </w:tcPr>
          <w:p>
            <w:pPr>
              <w:spacing w:after="0"/>
              <w:rPr>
                <w:sz w:val="16"/>
                <w:szCs w:val="16"/>
                <w:color w:val="auto"/>
              </w:rPr>
            </w:pPr>
          </w:p>
        </w:tc>
        <w:tc>
          <w:tcPr>
            <w:tcW w:w="24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6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2"/>
        </w:trPr>
        <w:tc>
          <w:tcPr>
            <w:tcW w:w="2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Palace</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165,762</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200,282</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(34,520)</w:t>
            </w:r>
          </w:p>
        </w:tc>
        <w:tc>
          <w:tcPr>
            <w:tcW w:w="1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571,072</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519,373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center"/>
              <w:ind w:left="216"/>
              <w:spacing w:after="0"/>
              <w:rPr>
                <w:sz w:val="20"/>
                <w:szCs w:val="20"/>
                <w:color w:val="auto"/>
              </w:rPr>
            </w:pPr>
            <w:r>
              <w:rPr>
                <w:rFonts w:ascii="Times New Roman" w:cs="Times New Roman" w:eastAsia="Times New Roman" w:hAnsi="Times New Roman"/>
                <w:sz w:val="18"/>
                <w:szCs w:val="18"/>
                <w:color w:val="auto"/>
              </w:rPr>
              <w:t>51,699</w:t>
            </w:r>
          </w:p>
        </w:tc>
        <w:tc>
          <w:tcPr>
            <w:tcW w:w="1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Wynn Macau</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107,998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(18,484)</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center"/>
              <w:ind w:left="176"/>
              <w:spacing w:after="0"/>
              <w:rPr>
                <w:sz w:val="20"/>
                <w:szCs w:val="20"/>
                <w:color w:val="auto"/>
              </w:rPr>
            </w:pPr>
            <w:r>
              <w:rPr>
                <w:rFonts w:ascii="Times New Roman" w:cs="Times New Roman" w:eastAsia="Times New Roman" w:hAnsi="Times New Roman"/>
                <w:sz w:val="18"/>
                <w:szCs w:val="18"/>
                <w:color w:val="auto"/>
              </w:rPr>
              <w:t>(34,066)</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43"/>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158,818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203,413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(44,595)</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661,586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center"/>
              <w:ind w:left="176"/>
              <w:spacing w:after="0"/>
              <w:rPr>
                <w:sz w:val="20"/>
                <w:szCs w:val="20"/>
                <w:color w:val="auto"/>
              </w:rPr>
            </w:pPr>
            <w:r>
              <w:rPr>
                <w:rFonts w:ascii="Times New Roman" w:cs="Times New Roman" w:eastAsia="Times New Roman" w:hAnsi="Times New Roman"/>
                <w:sz w:val="18"/>
                <w:szCs w:val="18"/>
                <w:color w:val="auto"/>
              </w:rPr>
              <w:t>(55,082)</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43"/>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center"/>
              <w:ind w:left="176"/>
              <w:spacing w:after="0"/>
              <w:rPr>
                <w:sz w:val="20"/>
                <w:szCs w:val="20"/>
                <w:color w:val="auto"/>
              </w:rPr>
            </w:pPr>
            <w:r>
              <w:rPr>
                <w:rFonts w:ascii="Times New Roman" w:cs="Times New Roman" w:eastAsia="Times New Roman" w:hAnsi="Times New Roman"/>
                <w:sz w:val="18"/>
                <w:szCs w:val="18"/>
                <w:color w:val="auto"/>
              </w:rPr>
              <w:t>(22,968)</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Adjusted Property EBITDAR at Wynn Palace and Wynn Macau decreased $34.5 million and $18.5 million, respectively for the three months ended September 30, 2026. Adjusted Property EBITDAR at Wynn Palace increased $51.7 million and decreased $34.1 million at Wynn Macau for the nine months ended September 30, 2026. The fluctuations in Adjusted Property EBITDAR at our Macau Operations for each of the comparative periods presented are driven largely by changes in casino revenues, partially offset by casino expenses.</w:t>
      </w:r>
    </w:p>
    <w:p>
      <w:pPr>
        <w:spacing w:after="0" w:line="20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Adjusted Property EBITDAR at our Las Vegas Operations decreased $44.6 million for the three months ended September 30, 2026, primarily due to a decrease in casino revenues and room revenues of $38.2 million and $4.9 million, respectively. Adjusted Property EBITDAR at our Las Vegas Operations decreased $55.1 million for the nine months ended September 30, 2026, largely due to an increase in operating expenses.</w:t>
      </w:r>
    </w:p>
    <w:p>
      <w:pPr>
        <w:spacing w:after="0" w:line="2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Adjusted Property EBITDAR at Encore Boston Harbor decreased $8.3 million and $23.0 million for the three and nine months ended September 30, 2026, respectively, primarily due to decreases in casino revenues of $11.0 million and $22.6 million, respectively, partially offset by decreases in casino expenses. Adjusted Property EBITDAR at Encore Boston Harbor for the three and nine months ended September 30, 2026 was negatively impacted by an ongoing labor dispute.</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 to the discussions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cash flows were as follows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 Summary</w:t>
            </w: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60" w:type="dxa"/>
            <w:vAlign w:val="bottom"/>
            <w:tcBorders>
              <w:bottom w:val="single" w:sz="8" w:color="CCEEFF"/>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742,202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874,637</w:t>
            </w:r>
          </w:p>
        </w:tc>
        <w:tc>
          <w:tcPr>
            <w:tcW w:w="0" w:type="dxa"/>
            <w:vAlign w:val="bottom"/>
          </w:tcPr>
          <w:p>
            <w:pPr>
              <w:spacing w:after="0"/>
              <w:rPr>
                <w:sz w:val="1"/>
                <w:szCs w:val="1"/>
                <w:color w:val="auto"/>
              </w:rPr>
            </w:pPr>
          </w:p>
        </w:tc>
      </w:tr>
      <w:tr>
        <w:trPr>
          <w:trHeight w:val="270"/>
        </w:trPr>
        <w:tc>
          <w:tcPr>
            <w:tcW w:w="7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net of construction payables and retention</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(533,687)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(489,185)</w:t>
            </w: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(257,793)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(236,117)</w:t>
            </w:r>
          </w:p>
        </w:tc>
        <w:tc>
          <w:tcPr>
            <w:tcW w:w="0" w:type="dxa"/>
            <w:vAlign w:val="bottom"/>
          </w:tcPr>
          <w:p>
            <w:pPr>
              <w:spacing w:after="0"/>
              <w:rPr>
                <w:sz w:val="1"/>
                <w:szCs w:val="1"/>
                <w:color w:val="auto"/>
              </w:rPr>
            </w:pPr>
          </w:p>
        </w:tc>
      </w:tr>
      <w:tr>
        <w:trPr>
          <w:trHeight w:val="24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investments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(93,522)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maturity of investments</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574,227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intangible and other assets</w:t>
            </w:r>
          </w:p>
        </w:tc>
        <w:tc>
          <w:tcPr>
            <w:tcW w:w="3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assets and other</w:t>
            </w: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36"/>
        </w:trPr>
        <w:tc>
          <w:tcPr>
            <w:tcW w:w="796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(301,463)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(1,199,731)</w:t>
            </w:r>
          </w:p>
        </w:tc>
        <w:tc>
          <w:tcPr>
            <w:tcW w:w="0" w:type="dxa"/>
            <w:vAlign w:val="bottom"/>
          </w:tcPr>
          <w:p>
            <w:pPr>
              <w:spacing w:after="0"/>
              <w:rPr>
                <w:sz w:val="1"/>
                <w:szCs w:val="1"/>
                <w:color w:val="auto"/>
              </w:rPr>
            </w:pPr>
          </w:p>
        </w:tc>
      </w:tr>
      <w:tr>
        <w:trPr>
          <w:trHeight w:val="270"/>
        </w:trPr>
        <w:tc>
          <w:tcPr>
            <w:tcW w:w="79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1,095,500</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1,752,812</w:t>
            </w:r>
          </w:p>
        </w:tc>
        <w:tc>
          <w:tcPr>
            <w:tcW w:w="0" w:type="dxa"/>
            <w:vAlign w:val="bottom"/>
          </w:tcPr>
          <w:p>
            <w:pPr>
              <w:spacing w:after="0"/>
              <w:rPr>
                <w:sz w:val="1"/>
                <w:szCs w:val="1"/>
                <w:color w:val="auto"/>
              </w:rPr>
            </w:pPr>
          </w:p>
        </w:tc>
      </w:tr>
      <w:tr>
        <w:trPr>
          <w:trHeight w:val="24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(884,705)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(1,763,125)</w:t>
            </w: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(223,644)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(379,661)</w:t>
            </w:r>
          </w:p>
        </w:tc>
        <w:tc>
          <w:tcPr>
            <w:tcW w:w="0" w:type="dxa"/>
            <w:vAlign w:val="bottom"/>
          </w:tcPr>
          <w:p>
            <w:pPr>
              <w:spacing w:after="0"/>
              <w:rPr>
                <w:sz w:val="1"/>
                <w:szCs w:val="1"/>
                <w:color w:val="auto"/>
              </w:rPr>
            </w:pPr>
          </w:p>
        </w:tc>
      </w:tr>
      <w:tr>
        <w:trPr>
          <w:trHeight w:val="24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to noncontrolling interests</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(23,752)</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(18,138)</w:t>
            </w:r>
          </w:p>
        </w:tc>
        <w:tc>
          <w:tcPr>
            <w:tcW w:w="0" w:type="dxa"/>
            <w:vAlign w:val="bottom"/>
          </w:tcPr>
          <w:p>
            <w:pPr>
              <w:spacing w:after="0"/>
              <w:rPr>
                <w:sz w:val="1"/>
                <w:szCs w:val="1"/>
                <w:color w:val="auto"/>
              </w:rPr>
            </w:pPr>
          </w:p>
        </w:tc>
      </w:tr>
      <w:tr>
        <w:trPr>
          <w:trHeight w:val="24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(163,360)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(148,861)</w:t>
            </w: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payments</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(19,210)</w:t>
            </w:r>
          </w:p>
        </w:tc>
        <w:tc>
          <w:tcPr>
            <w:tcW w:w="0" w:type="dxa"/>
            <w:vAlign w:val="bottom"/>
          </w:tcPr>
          <w:p>
            <w:pPr>
              <w:spacing w:after="0"/>
              <w:rPr>
                <w:sz w:val="1"/>
                <w:szCs w:val="1"/>
                <w:color w:val="auto"/>
              </w:rPr>
            </w:pPr>
          </w:p>
        </w:tc>
      </w:tr>
      <w:tr>
        <w:trPr>
          <w:trHeight w:val="24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for financing costs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(26,446)</w:t>
            </w: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(25,809)</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0" w:type="dxa"/>
            <w:vAlign w:val="bottom"/>
          </w:tcPr>
          <w:p>
            <w:pPr>
              <w:spacing w:after="0"/>
              <w:rPr>
                <w:sz w:val="1"/>
                <w:szCs w:val="1"/>
                <w:color w:val="auto"/>
              </w:rPr>
            </w:pPr>
          </w:p>
        </w:tc>
      </w:tr>
      <w:tr>
        <w:trPr>
          <w:trHeight w:val="237"/>
        </w:trPr>
        <w:tc>
          <w:tcPr>
            <w:tcW w:w="796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(258,489)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(611,314)</w:t>
            </w:r>
          </w:p>
        </w:tc>
        <w:tc>
          <w:tcPr>
            <w:tcW w:w="0" w:type="dxa"/>
            <w:vAlign w:val="bottom"/>
          </w:tcPr>
          <w:p>
            <w:pPr>
              <w:spacing w:after="0"/>
              <w:rPr>
                <w:sz w:val="1"/>
                <w:szCs w:val="1"/>
                <w:color w:val="auto"/>
              </w:rPr>
            </w:pPr>
          </w:p>
        </w:tc>
      </w:tr>
      <w:tr>
        <w:trPr>
          <w:trHeight w:val="270"/>
        </w:trPr>
        <w:tc>
          <w:tcPr>
            <w:tcW w:w="79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on cash, cash equivalents and restricted cash</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(4,788)</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(2,487)</w:t>
            </w:r>
          </w:p>
        </w:tc>
        <w:tc>
          <w:tcPr>
            <w:tcW w:w="0" w:type="dxa"/>
            <w:vAlign w:val="bottom"/>
          </w:tcPr>
          <w:p>
            <w:pPr>
              <w:spacing w:after="0"/>
              <w:rPr>
                <w:sz w:val="1"/>
                <w:szCs w:val="1"/>
                <w:color w:val="auto"/>
              </w:rPr>
            </w:pPr>
          </w:p>
        </w:tc>
      </w:tr>
      <w:tr>
        <w:trPr>
          <w:trHeight w:val="26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 in cash, cash equivalents and restricted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177,462</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(938,895)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spacing w:after="0" w:line="21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the decrease in cash flows from operating activities was primarily driven by changes in working capital.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investing activities primarily consist of project capital expenditures and maintenance capital expenditures associated with maintaining and continually refining our world-class integrated resort properties.</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2026, we incurred capital expenditures of $314.1 million at our Las Vegas Operations, $124.7 million at Wynn Palace, $70.1 million at Wynn Macau, and $16.1 million at Encore Boston Harbor, primarily related to enhancements at our properties and maintenance capital expenditures, and $8.6 million at Corporate and other. In addition, during the nine months ended September 30, 2026, we invested $257.8 million, including $210.4 million of cash contributions, in the Al Marjan Joint Venture, purchased $93.5 million of U.S. treasuries and received proceeds of $574.2 million upon the maturity of investments.</w:t>
      </w:r>
    </w:p>
    <w:p>
      <w:pPr>
        <w:spacing w:after="0" w:line="21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2025, we incurred capital expenditures of $188.8 million at our Las Vegas Operations, $132.4 million at Wynn Palace, $48.8 million at Wynn Macau, and $17.9 million at Encore Boston Harbor, primarily related to enhancements at our properties and maintenance capital expenditures, and $101.3 million at Corporate and other primarily related to future development projects. In addition, during the nine months ended September 30, 2025, we invested $236.1 million, including $203.3 million of cash contributions, in the Al Marjan Joint Venture and purchased $475.0 million in investments, comprised of fixed deposits maturing in less than one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below table presents proceeds from the issuance, repayments, and repurchases of the specified debt instruments during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Proceeds from issuance</w:t>
            </w:r>
          </w:p>
        </w:tc>
        <w:tc>
          <w:tcPr>
            <w:tcW w:w="8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Repayments and</w:t>
            </w:r>
          </w:p>
        </w:tc>
        <w:tc>
          <w:tcPr>
            <w:tcW w:w="0" w:type="dxa"/>
            <w:vAlign w:val="bottom"/>
          </w:tcPr>
          <w:p>
            <w:pPr>
              <w:spacing w:after="0"/>
              <w:rPr>
                <w:sz w:val="1"/>
                <w:szCs w:val="1"/>
                <w:color w:val="auto"/>
              </w:rPr>
            </w:pPr>
          </w:p>
        </w:tc>
      </w:tr>
      <w:tr>
        <w:trPr>
          <w:trHeight w:val="195"/>
        </w:trPr>
        <w:tc>
          <w:tcPr>
            <w:tcW w:w="796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repurchases</w:t>
            </w:r>
          </w:p>
        </w:tc>
        <w:tc>
          <w:tcPr>
            <w:tcW w:w="0" w:type="dxa"/>
            <w:vAlign w:val="bottom"/>
          </w:tcPr>
          <w:p>
            <w:pPr>
              <w:spacing w:after="0"/>
              <w:rPr>
                <w:sz w:val="1"/>
                <w:szCs w:val="1"/>
                <w:color w:val="auto"/>
              </w:rPr>
            </w:pPr>
          </w:p>
        </w:tc>
      </w:tr>
      <w:tr>
        <w:trPr>
          <w:trHeight w:val="24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WLV 5 1/4% Senior Notes, due 2027</w:t>
            </w:r>
          </w:p>
        </w:tc>
        <w:tc>
          <w:tcPr>
            <w:tcW w:w="46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880,000</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WRF Credit Facilities:</w:t>
            </w: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WRF Revolver, due 2030</w:t>
            </w:r>
          </w:p>
        </w:tc>
        <w:tc>
          <w:tcPr>
            <w:tcW w:w="4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WRF Term Loan, due 2030</w:t>
            </w:r>
          </w:p>
        </w:tc>
        <w:tc>
          <w:tcPr>
            <w:tcW w:w="4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6 7/8% Senior Notes, due 2035</w:t>
            </w:r>
          </w:p>
        </w:tc>
        <w:tc>
          <w:tcPr>
            <w:tcW w:w="4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895,500</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1,095,500</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884,705</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during the nine months ended September 30, 2026, we repurchased 2,216,407 shares of our common stock for an aggregate cost of $223.6 million, including 1,897,240 shares of our common stock repurchased pursuant to our publicly announced equity repurchase program for an aggregate cost of $186.9 million. We also made dividend payments of $163.4 million, finance lease payments of $21.1 million, paid $12.5 million for financing costs related to the financing activities discussed above, and used cash of $23.8 million for distributions to noncontrolling interest holders of the Retail Joint Venture.</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below table presents proceeds from the issuance, repayments, and repurchases of the specified debt instruments during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Proceeds from issuance</w:t>
            </w:r>
          </w:p>
        </w:tc>
        <w:tc>
          <w:tcPr>
            <w:tcW w:w="200" w:type="dxa"/>
            <w:vAlign w:val="bottom"/>
          </w:tcPr>
          <w:p>
            <w:pPr>
              <w:spacing w:after="0"/>
              <w:rPr>
                <w:sz w:val="13"/>
                <w:szCs w:val="13"/>
                <w:color w:val="auto"/>
              </w:rPr>
            </w:pPr>
          </w:p>
        </w:tc>
        <w:tc>
          <w:tcPr>
            <w:tcW w:w="14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Repayments and</w:t>
            </w:r>
          </w:p>
        </w:tc>
        <w:tc>
          <w:tcPr>
            <w:tcW w:w="0" w:type="dxa"/>
            <w:vAlign w:val="bottom"/>
          </w:tcPr>
          <w:p>
            <w:pPr>
              <w:spacing w:after="0"/>
              <w:rPr>
                <w:sz w:val="1"/>
                <w:szCs w:val="1"/>
                <w:color w:val="auto"/>
              </w:rPr>
            </w:pPr>
          </w:p>
        </w:tc>
      </w:tr>
      <w:tr>
        <w:trPr>
          <w:trHeight w:val="196"/>
        </w:trPr>
        <w:tc>
          <w:tcPr>
            <w:tcW w:w="7960" w:type="dxa"/>
            <w:vAlign w:val="bottom"/>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repurchases</w:t>
            </w:r>
          </w:p>
        </w:tc>
        <w:tc>
          <w:tcPr>
            <w:tcW w:w="0" w:type="dxa"/>
            <w:vAlign w:val="bottom"/>
          </w:tcPr>
          <w:p>
            <w:pPr>
              <w:spacing w:after="0"/>
              <w:rPr>
                <w:sz w:val="1"/>
                <w:szCs w:val="1"/>
                <w:color w:val="auto"/>
              </w:rPr>
            </w:pPr>
          </w:p>
        </w:tc>
      </w:tr>
      <w:tr>
        <w:trPr>
          <w:trHeight w:val="243"/>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6 3/4% Senior Notes, due 2034</w:t>
            </w: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5 1/2% Senior Notes, due 2026</w:t>
            </w:r>
          </w:p>
        </w:tc>
        <w:tc>
          <w:tcPr>
            <w:tcW w:w="4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Credit Facilities:</w:t>
            </w:r>
          </w:p>
        </w:tc>
        <w:tc>
          <w:tcPr>
            <w:tcW w:w="4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WRF Term Loan, due 2027</w:t>
            </w:r>
          </w:p>
        </w:tc>
        <w:tc>
          <w:tcPr>
            <w:tcW w:w="4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763,125</w:t>
            </w: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WRF Term Loan, due 2030</w:t>
            </w:r>
          </w:p>
        </w:tc>
        <w:tc>
          <w:tcPr>
            <w:tcW w:w="4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752,812</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1,752,812</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1,763,125</w:t>
            </w: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during the nine months ended September 30, 2025, we repurchased 4,570,526 shares of our common stock for an aggregate cost of $379.7 million, including 4,365,212 shares of our common stock repurchased pursuant to our publicly announced equity repurchase program for an aggregate cost of $358.2 million. We also made dividend payments of $148.9 million, finance lease payments of $19.2 million, paid $26.4 million for financing costs related to the financing activities above, and used cash of $18.1 million for distributions to noncontrolling interest holders of the Retail Joint Venture.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56" w:lineRule="exact"/>
        <w:rPr>
          <w:sz w:val="20"/>
          <w:szCs w:val="20"/>
          <w:color w:val="auto"/>
        </w:rPr>
      </w:pPr>
    </w:p>
    <w:p>
      <w:pPr>
        <w:jc w:val="both"/>
        <w:ind w:firstLine="405"/>
        <w:spacing w:after="0" w:line="278" w:lineRule="auto"/>
        <w:rPr>
          <w:sz w:val="20"/>
          <w:szCs w:val="20"/>
          <w:color w:val="auto"/>
        </w:rPr>
      </w:pPr>
      <w:r>
        <w:rPr>
          <w:rFonts w:ascii="Times New Roman" w:cs="Times New Roman" w:eastAsia="Times New Roman" w:hAnsi="Times New Roman"/>
          <w:sz w:val="18"/>
          <w:szCs w:val="18"/>
          <w:color w:val="auto"/>
        </w:rPr>
        <w:t>The following table summarizes our unrestricted cash and cash equivalents, investments and available revolver borrowing capacity, presented by significant financing entity as of September 30, 2026 (in thousands):</w:t>
      </w:r>
    </w:p>
    <w:tbl>
      <w:tblPr>
        <w:tblLayout w:type="fixed"/>
        <w:tblInd w:w="0" w:type="dxa"/>
        <w:tblCellMar>
          <w:top w:w="0" w:type="dxa"/>
          <w:left w:w="0" w:type="dxa"/>
          <w:bottom w:w="0" w:type="dxa"/>
          <w:right w:w="0" w:type="dxa"/>
        </w:tblCellMar>
      </w:tblP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Total Cash and Cash</w:t>
            </w:r>
          </w:p>
        </w:tc>
        <w:tc>
          <w:tcPr>
            <w:tcW w:w="240" w:type="dxa"/>
            <w:vAlign w:val="bottom"/>
          </w:tcPr>
          <w:p>
            <w:pPr>
              <w:spacing w:after="0"/>
              <w:rPr>
                <w:sz w:val="12"/>
                <w:szCs w:val="12"/>
                <w:color w:val="auto"/>
              </w:rPr>
            </w:pPr>
          </w:p>
        </w:tc>
        <w:tc>
          <w:tcPr>
            <w:tcW w:w="1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Investments</w:t>
            </w:r>
            <w:r>
              <w:rPr>
                <w:rFonts w:ascii="Times New Roman" w:cs="Times New Roman" w:eastAsia="Times New Roman" w:hAnsi="Times New Roman"/>
                <w:sz w:val="23"/>
                <w:szCs w:val="23"/>
                <w:b w:val="1"/>
                <w:bCs w:val="1"/>
                <w:color w:val="auto"/>
                <w:vertAlign w:val="superscript"/>
              </w:rPr>
              <w:t>(1)</w:t>
            </w:r>
          </w:p>
        </w:tc>
        <w:tc>
          <w:tcPr>
            <w:tcW w:w="140" w:type="dxa"/>
            <w:vAlign w:val="bottom"/>
          </w:tcPr>
          <w:p>
            <w:pPr>
              <w:spacing w:after="0"/>
              <w:rPr>
                <w:sz w:val="12"/>
                <w:szCs w:val="12"/>
                <w:color w:val="auto"/>
              </w:rPr>
            </w:pPr>
          </w:p>
        </w:tc>
        <w:tc>
          <w:tcPr>
            <w:tcW w:w="1460" w:type="dxa"/>
            <w:vAlign w:val="bottom"/>
          </w:tcPr>
          <w:p>
            <w:pPr>
              <w:jc w:val="right"/>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Revolver Borrowing</w:t>
            </w:r>
          </w:p>
        </w:tc>
        <w:tc>
          <w:tcPr>
            <w:tcW w:w="0" w:type="dxa"/>
            <w:vAlign w:val="bottom"/>
          </w:tcPr>
          <w:p>
            <w:pPr>
              <w:spacing w:after="0"/>
              <w:rPr>
                <w:sz w:val="1"/>
                <w:szCs w:val="1"/>
                <w:color w:val="auto"/>
              </w:rPr>
            </w:pPr>
          </w:p>
        </w:tc>
      </w:tr>
      <w:tr>
        <w:trPr>
          <w:trHeight w:val="200"/>
        </w:trPr>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4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237"/>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Macau, Limited and subsidiaries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1,150,396</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150,202</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1,345,897</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Wynn Resorts Finance, LLC</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1,034,659</w:t>
            </w: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Resorts, Limited and other</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1,642,156</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150,202</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2,380,556</w:t>
            </w: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consist of U.S. treasuries maturing in less than one year and exclude long-term investments of $55.8 million.</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Wynn Macau, Limited and subsidiaries.</w:t>
      </w:r>
    </w:p>
    <w:p>
      <w:pPr>
        <w:spacing w:after="0" w:line="24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Wynn Macau, Limited and subsidiaries</w:t>
      </w:r>
      <w:r>
        <w:rPr>
          <w:rFonts w:ascii="Times New Roman" w:cs="Times New Roman" w:eastAsia="Times New Roman" w:hAnsi="Times New Roman"/>
          <w:sz w:val="18"/>
          <w:szCs w:val="18"/>
          <w:color w:val="auto"/>
        </w:rPr>
        <w:t>. WML generates cash from our Macau Operations and may utilize proceeds from the WM Cayman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Revolver as needed. We expect to use this cash to service our WML Senior Notes, WM Cayman II Revolver, and WML Convertible Bonds, to pay dividends to shareholders of WML (of which we own approximately 71%), and to fund working capital and capital expenditure requirements at WML and our Macau Operations.</w:t>
      </w:r>
    </w:p>
    <w:p>
      <w:pPr>
        <w:spacing w:after="0" w:line="20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are constructing the Enclave at Wynn Palace, a 432-key, all-suite hotel tower to be developed adjacent to Wynn Palace’s east entrance. The estimated project budget for the Enclave at Wynn Palace is between $900 million and $950 million, inclusive of capitalized interest. Construction began in the second half of 2026 and is expected to span 2.5 years. Total project capital expenditures for the Enclave at Wynn Palace and other enhancements at our Macau Operations are expected to be between $350 million and $400 million during 2026 and between $750 million and $800 million during 2027. Maintenance capital expenditures at our Macau Operations are expected to be between $70 million and $80 million during 2026.</w:t>
      </w:r>
    </w:p>
    <w:p>
      <w:pPr>
        <w:spacing w:after="0" w:line="21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WML is a holding company and, as a result, its ability to pay dividends to WRF is dependent on WML receiving distributions from its subsidiaries. WML, as guarantor under the WM Cayman II Revolver facility agreement, may be subject to certain restrictions on payments of dividends or distributions to its shareholders, unless certain financial criteria have been satisfied. The WM Cayman II Revolver facility agreement contains representations, warranties, covenants and events of default customary for similar financings, including, but not limited to, restrictions on indebtedness to be incurred by WM Cayman II or its subsidiaries.</w:t>
      </w:r>
    </w:p>
    <w:p>
      <w:pPr>
        <w:spacing w:after="0" w:line="21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June 16, 2026, WML paid a cash dividend of HK$0.223 per share on its common stock for a total U.S. dollar equivalent of approximately $149.8 million with respect to the year ended December 31, 2025. Our share of this dividend was $106.7 million.</w:t>
      </w:r>
    </w:p>
    <w:p>
      <w:pPr>
        <w:spacing w:after="0" w:line="18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On September 24, 2026, WML paid a cash dividend of HK$0.223 per share on its common stock for a total U.S. dollar equivalent of approximately $150.7 million with respect to the six months ended June 30, 2026. Our share of this dividend was $106.6 million.</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our portion of cash available for repatriation was repatriated on September 30, 2026, it would be subject to minimal U.S. taxes.</w:t>
      </w:r>
    </w:p>
    <w:p>
      <w:pPr>
        <w:spacing w:after="0" w:line="25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Wynn Resorts Finance, LLC and subsidiaries. </w:t>
      </w:r>
      <w:r>
        <w:rPr>
          <w:rFonts w:ascii="Times New Roman" w:cs="Times New Roman" w:eastAsia="Times New Roman" w:hAnsi="Times New Roman"/>
          <w:sz w:val="18"/>
          <w:szCs w:val="18"/>
          <w:color w:val="auto"/>
        </w:rPr>
        <w:t>Wynn Resorts Finance, LLC ("WRF" or "Wynn Resorts Finance") generates cash from distributions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its subsidiaries, which include our Macau Operations, Wynn Las Vegas, and Encore Boston Harbor, and capital contributions from Wynn Resorts, as required. In addition, WRF may utilize its available revolving borrowing capacity as needed. We expect to use this cash to service our WRF Credit Facilities and the WRF Senior Notes, to pay dividends or distributions to Wynn Resorts, and to fund working capital and capital expenditure requirements as needed.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expect to make estimated project capital expenditures between $350 million and $375 million during 2026 and between $175 million and $200 million during 2027 related to enhancements at our Las Vegas Operations. We expect to make total maintenance capital expenditures at our Las Vegas Operations and Encore Boston Harbor between $90 million and $115 million, on a combined basis, during 2026.</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WRF is a holding company and, as a result, its ability to pay dividends or distributions to Wynn Resorts is dependent on WRF receiving distributions from its subsidiaries. The WRF Credit Agreement contains customary negative and financial covenants, including, but not limited to, covenants that restrict WRF's ability to pay dividends or distributions and incur additional indebtedness.</w:t>
      </w:r>
    </w:p>
    <w:p>
      <w:pPr>
        <w:spacing w:after="0" w:line="20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September 2026, WRF issued $900.0 million aggregate principal amount of 6 7/8% Senior Notes due 2035 (the "2035 WRF Senior Notes") in a private offering. WRF used the net proceeds from the issuance of the 2035 WRF Senior Notes, along with cash on hand, to: i) redeem in full the outstanding principal amount of the Wynn Las Vegas 5 1/4% Senior Notes due 2027 (the "2027 WLV Senior Notes") in accordance with the terms and conditions of the 2027 WLV Senior Notes' indenture; and ii) pay fees and expenses related to the issuance of the 2035 WRF Senior Notes and the redemption of the 2027 WLV Senior Notes. Included in the $900.0 million redemption was $20.0 million aggregate principal amount of 2027 WLV Senior Notes held by Wynn Resorts.</w:t>
      </w:r>
    </w:p>
    <w:p>
      <w:pPr>
        <w:spacing w:after="0" w:line="21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a result of the financing transactions described in our discussion of capital resources above, our long-term debt obligations decreased by $880.0 million in 2027 and increased by $900.0 million in 2035. Our annual fixed payments are expected to decrease $12.2 million in 2026, and increase $39.3 million in 2027, $61.9 million in each of 2028, 2029, and 2030, and $278.4 million thereafter.</w:t>
      </w:r>
    </w:p>
    <w:p>
      <w:pPr>
        <w:spacing w:after="0" w:line="20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Wynn Resorts, Limited and other subsidiaries. </w:t>
      </w:r>
      <w:r>
        <w:rPr>
          <w:rFonts w:ascii="Times New Roman" w:cs="Times New Roman" w:eastAsia="Times New Roman" w:hAnsi="Times New Roman"/>
          <w:sz w:val="18"/>
          <w:szCs w:val="18"/>
          <w:color w:val="auto"/>
        </w:rPr>
        <w:t>Wynn Resorts, Limited is a holding company and, as a result, our ability to pay dividends is 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ability to obtain funds and our subsidiaries' ability to provide funds to us. Wynn Resorts, Limited primarily generates cash from royalty (including intellectual property license) and management agreements with our resorts, dividends and distributions from our subsidiaries, and the operations of the Retail Joint Venture of which we own 50.1%. Fees payable by Wynn Macau SA to Wynn Resorts, Limited under its intellectual property license agreement are capped at $150.0 million for the year ending December 31, 2026. We expect to use cash held by Wynn Resorts, Limited and other to service our Retail Term Loan, to fund working capital needs of our subsidiaries, pay dividends, make required capital contributions to the Al Marjan Joint Venture, and for general corporate purposes.</w:t>
      </w:r>
    </w:p>
    <w:p>
      <w:pPr>
        <w:spacing w:after="0" w:line="21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third quarter of 2026, the Company contributed $62.2 million of cash into Wynn Al Marjan Island and Janu Al Marjan Island, a hotel and residential development to be operated by Aman Group, bringing our life-to-date cash contributions to $1.12 billion. We estimate our remaining 40% pro-rata share of the required equity for the development projects is between $465 million and $590 million, inclusive of capitalized interest and fees. Wynn Al Marjan Island is currently expected to open in September 2027 and Janu Al Marjan Island is expected to open in 2029.</w:t>
      </w:r>
    </w:p>
    <w:p>
      <w:pPr>
        <w:spacing w:after="0" w:line="207"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paid a cash dividend of $0.25 per share on its common stock during each of the three month periods ended March 31, 2026, June 30, 2026 and September 30, 2026 and recorded $26.1 million, $25.8 million and $25.7 million, respectively, against accumulated deficit.</w:t>
      </w:r>
    </w:p>
    <w:p>
      <w:pPr>
        <w:spacing w:after="0" w:line="18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November 5, 2026, the Company announced that its Board of Directors declared a cash dividend of $0.25 per share, payable on November 30, 2026 to stockholders of record as of November 16, 2026.</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Factors Affecting Liquidity</w:t>
      </w:r>
    </w:p>
    <w:p>
      <w:pPr>
        <w:spacing w:after="0" w:line="2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may refinance all or a portion of our indebtedness on or before maturity. We cannot assure you that we will be able to refinance any of the indebtedness on acceptable terms or at all.</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Note 15,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November 2024, the Company's Board of Directors authorized the Company to repurchase a total of up to $1.0 billion of the Company's outstanding shares of common stock, increasing the previously available repurchase authorization by approximately $766 million.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 As of September 30, 2026, we had $268.0 million in repurchase authority remaining under the program.</w:t>
      </w:r>
    </w:p>
    <w:p>
      <w:pPr>
        <w:spacing w:after="0" w:line="21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in the past repurchased, and in the future, we may periodically consider repurchasing our outstanding notes for cash. The amount of any shares and/or notes to be repurchased, as well as the timing of any repurchases, will be based on business, market and other conditions and factors, including price, contractual requirements or consents, and capital availability.</w:t>
      </w:r>
    </w:p>
    <w:p>
      <w:pPr>
        <w:spacing w:after="0" w:line="2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Contractual Commitments</w:t>
      </w:r>
    </w:p>
    <w:p>
      <w:pPr>
        <w:spacing w:after="0" w:line="2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July 2026, Palo Real Estate Company Limited ("Palo") and Wynn Macau SA, each an indirect subsidiary of the Company, accepted the terms and conditions of an amended and restated land concession contract from the Macau government (the "Amended Land Concession Contract"). The Amended Land Concession Contract permits Palo and Wynn Macau SA to expand Wynn Palace to develop a new five-star hotel, a theater and an event and entertainment center on the Cotai Land (the "Expanded Resort"). The Macau government has allocated Palo a maximum of 60 months from the date of publication of the Amended Land Concession Contract to complete development of the Expanded Resort on the Cotai Land. Upon acceptance of the conditions of the Amended Land Concession Contract, Palo paid an additional land premium of MOP652.3 million (approximately $80.8 million) as a one-time lump sum payment. Palo is also required to pay an additional annual rent to the Macau government.</w:t>
      </w:r>
    </w:p>
    <w:p>
      <w:pPr>
        <w:spacing w:after="0" w:line="21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October 2026, Wynn Macau SA and Macau Project Management (No. 2) Limited, a limited liability company established by the Macau government, entered into a subscription agreement (the "Subscription Agreement"), pursuant to which Wynn Macau SA agreed to commit capital investments of up to MOP1.37 billion (approximately $168.9 million) to the Macau SAR Government Guidance Fund No. 2, Limited Partnership Fund (the "Fund"), which was established by the Macau government to support Macau's economic diversification. The amounts to be contributed to the Fund, pursuant to the Subscription Agreement and the limited partnership agreement, will constitute non-gaming investment and be applied towards Wynn Macau SA's committed investment obligations under Wynn Macau SA's gaming concession contract.</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additional information, refer to Note 15, "Commitments and Contingencies" of Part I in this Quarterly Report on Form 10-Q.</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2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 subsidiary of Island 3 is party to a facility agreement which provides a $2.4 billion (or equivalent in local currency) delayed draw secured term loan facility to finance the development of Wynn Al Marjan Island (the "Al Marjan Facility"). The Company is not a party to the Al Marjan Facility agreement, but as a condition precedent to the Al Marjan Facility being made available to the Borrower, the Company and the government of Ras Al Khaimah entered into a completion guarantee agreement in favor of certain secured parties under the Al Marjan Facility agreement. For additional information, refer to Note 15, "Commitments and Contingencies" of Part I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description of our critical accounting policies is included in Item 7 of our Annual Report on Form 10-K for the year ended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to these policies for the nine months ended September 30,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 and Accounting Standards Issued But Not Yet Adopted</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related disclosure in Note 2, "Basis of Presentation and Significant Accounting Policies" of Part I in this Quarterly Report on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Additional information about market risks to which we are exposed is included within our Annual Report on Form 10-K for the year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Risks</w:t>
      </w:r>
    </w:p>
    <w:p>
      <w:pPr>
        <w:spacing w:after="0" w:line="256"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 and cash flows.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order to mitigate exposure to interest rate fluctuations on the Retail Term Loan, in October 2024, the Company entered into an interest rate swap with a notional value of $600.0 million, maturing in February 2027. The interest rate swap effectively fixes the variable component of the interest rate on the Retail Term Loan at 3.385% through February 2027.</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September 30, 2026, approximately 81% of our long-term debt was based on fixed rates. Based on our outstanding borrowings as of September 30, 2026 and after giving effect to the interest rate swap on the Retail Term Loan, an assumed 100 basis point change in the variable rates would cause our annual interest expense to change by $20.9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Risks</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expect most of the revenues and expenses for any casino that we operate in Macau will be denominated in Hong Kong dollars or Macau patacas; however, a significant portion of the debt issued by WML is denominated in U.S. dollars. Fluctuations in the exchange rates resulting in weakening of the Macau pataca or the Hong Kong dollar in relation to the U.S. dollar could have materially adverse effects on our results, financial condition and ability to service debt.</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is a party to foreign currency swap agreements with the objective of managing foreign currency exchange rate risk associated with the outstanding U.S. dollar denominated WML Senior Notes. The foreign currency swaps exchange predetermined amounts of Hong Kong dollars for U.S. dollars at a contractual spot rate, and as of September 30, 2026, have an aggregate notional amount of $4.10 billion, and have maturities between October 2027 and August 2030. For additional information, refer to Note 7, "Derivative Instruments" of Part I in this Quarterly Report on Form 10-Q.</w:t>
      </w:r>
    </w:p>
    <w:p>
      <w:pPr>
        <w:spacing w:after="0" w:line="20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Based on our balances as of September 30, 2026 and after giving effect to our foreign currency swaps, an assumed 1% change in the U.S. dollar/Hong Kong dollar exchange rate would cause a foreign currency gain/loss of $0.9 million.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("CEO") and Chief Financial Officer ("CFO"), has evaluated the effectiveness of the Company's disclosure controls and procedures (as such term is defined in Rules 13a-15(e) and 15d-15(e) under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report,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CEO and CFO, as appropriate to allow timely decisions regarding required disclosure.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party to lawsuits in the ordinary course of business.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15, "Commitments and Contingencies" of Part I in this Quarterly Report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 description of our risk factors can be found in Item 1A, Part I of our Annual Report on Form 10-K for the year ended December 31, 2025. There were no material changes to those risk factors during the nine months ended September 30,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share repurchases made by the Company during the three months ended September 30, 2026:</w:t>
      </w:r>
    </w:p>
    <w:p>
      <w:pPr>
        <w:spacing w:after="0" w:line="4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2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6"/>
        </w:trPr>
        <w:tc>
          <w:tcPr>
            <w:tcW w:w="1100" w:type="dxa"/>
            <w:vAlign w:val="bottom"/>
          </w:tcPr>
          <w:p>
            <w:pPr>
              <w:spacing w:after="0"/>
              <w:rPr>
                <w:sz w:val="12"/>
                <w:szCs w:val="12"/>
                <w:color w:val="auto"/>
              </w:rPr>
            </w:pPr>
          </w:p>
        </w:tc>
        <w:tc>
          <w:tcPr>
            <w:tcW w:w="242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22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220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 Purchased</w:t>
            </w:r>
          </w:p>
        </w:tc>
        <w:tc>
          <w:tcPr>
            <w:tcW w:w="0" w:type="dxa"/>
            <w:vAlign w:val="bottom"/>
          </w:tcPr>
          <w:p>
            <w:pPr>
              <w:spacing w:after="0"/>
              <w:rPr>
                <w:sz w:val="1"/>
                <w:szCs w:val="1"/>
                <w:color w:val="auto"/>
              </w:rPr>
            </w:pPr>
          </w:p>
        </w:tc>
      </w:tr>
      <w:tr>
        <w:trPr>
          <w:trHeight w:val="148"/>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20" w:type="dxa"/>
            <w:vAlign w:val="bottom"/>
            <w:vMerge w:val="continue"/>
          </w:tcPr>
          <w:p>
            <w:pPr>
              <w:spacing w:after="0"/>
              <w:rPr>
                <w:sz w:val="12"/>
                <w:szCs w:val="12"/>
                <w:color w:val="auto"/>
              </w:rPr>
            </w:pPr>
          </w:p>
        </w:tc>
        <w:tc>
          <w:tcPr>
            <w:tcW w:w="22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20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 Programs (in</w:t>
            </w:r>
          </w:p>
        </w:tc>
        <w:tc>
          <w:tcPr>
            <w:tcW w:w="0" w:type="dxa"/>
            <w:vAlign w:val="bottom"/>
          </w:tcPr>
          <w:p>
            <w:pPr>
              <w:spacing w:after="0"/>
              <w:rPr>
                <w:sz w:val="1"/>
                <w:szCs w:val="1"/>
                <w:color w:val="auto"/>
              </w:rPr>
            </w:pPr>
          </w:p>
        </w:tc>
      </w:tr>
      <w:tr>
        <w:trPr>
          <w:trHeight w:val="245"/>
        </w:trPr>
        <w:tc>
          <w:tcPr>
            <w:tcW w:w="1100" w:type="dxa"/>
            <w:vAlign w:val="bottom"/>
            <w:vMerge w:val="continue"/>
          </w:tcPr>
          <w:p>
            <w:pPr>
              <w:spacing w:after="0"/>
              <w:rPr>
                <w:sz w:val="21"/>
                <w:szCs w:val="21"/>
                <w:color w:val="auto"/>
              </w:rPr>
            </w:pPr>
          </w:p>
        </w:tc>
        <w:tc>
          <w:tcPr>
            <w:tcW w:w="2420" w:type="dxa"/>
            <w:vAlign w:val="bottom"/>
          </w:tcPr>
          <w:p>
            <w:pPr>
              <w:jc w:val="center"/>
              <w:ind w:left="348"/>
              <w:spacing w:after="0" w:line="245" w:lineRule="exact"/>
              <w:rPr>
                <w:sz w:val="20"/>
                <w:szCs w:val="20"/>
                <w:color w:val="auto"/>
              </w:rPr>
            </w:pPr>
            <w:r>
              <w:rPr>
                <w:rFonts w:ascii="Times New Roman" w:cs="Times New Roman" w:eastAsia="Times New Roman" w:hAnsi="Times New Roman"/>
                <w:sz w:val="14"/>
                <w:szCs w:val="14"/>
                <w:b w:val="1"/>
                <w:bCs w:val="1"/>
                <w:color w:val="auto"/>
                <w:w w:val="93"/>
              </w:rPr>
              <w:t>Purchased</w:t>
            </w:r>
            <w:r>
              <w:rPr>
                <w:rFonts w:ascii="Times New Roman" w:cs="Times New Roman" w:eastAsia="Times New Roman" w:hAnsi="Times New Roman"/>
                <w:sz w:val="23"/>
                <w:szCs w:val="23"/>
                <w:b w:val="1"/>
                <w:bCs w:val="1"/>
                <w:color w:val="auto"/>
                <w:w w:val="93"/>
                <w:vertAlign w:val="superscript"/>
              </w:rPr>
              <w:t>(1)(2)</w:t>
            </w:r>
          </w:p>
        </w:tc>
        <w:tc>
          <w:tcPr>
            <w:tcW w:w="2220" w:type="dxa"/>
            <w:vAlign w:val="bottom"/>
            <w:vMerge w:val="continue"/>
          </w:tcPr>
          <w:p>
            <w:pPr>
              <w:spacing w:after="0"/>
              <w:rPr>
                <w:sz w:val="21"/>
                <w:szCs w:val="21"/>
                <w:color w:val="auto"/>
              </w:rPr>
            </w:pPr>
          </w:p>
        </w:tc>
        <w:tc>
          <w:tcPr>
            <w:tcW w:w="2260" w:type="dxa"/>
            <w:vAlign w:val="bottom"/>
          </w:tcPr>
          <w:p>
            <w:pPr>
              <w:jc w:val="center"/>
              <w:spacing w:after="0" w:line="245" w:lineRule="exact"/>
              <w:rPr>
                <w:sz w:val="20"/>
                <w:szCs w:val="20"/>
                <w:color w:val="auto"/>
              </w:rPr>
            </w:pPr>
            <w:r>
              <w:rPr>
                <w:rFonts w:ascii="Times New Roman" w:cs="Times New Roman" w:eastAsia="Times New Roman" w:hAnsi="Times New Roman"/>
                <w:sz w:val="14"/>
                <w:szCs w:val="14"/>
                <w:b w:val="1"/>
                <w:bCs w:val="1"/>
                <w:color w:val="auto"/>
              </w:rPr>
              <w:t>Announced Plans or Programs</w:t>
            </w:r>
            <w:r>
              <w:rPr>
                <w:rFonts w:ascii="Times New Roman" w:cs="Times New Roman" w:eastAsia="Times New Roman" w:hAnsi="Times New Roman"/>
                <w:sz w:val="23"/>
                <w:szCs w:val="23"/>
                <w:b w:val="1"/>
                <w:bCs w:val="1"/>
                <w:color w:val="auto"/>
                <w:vertAlign w:val="superscript"/>
              </w:rPr>
              <w:t>(2)</w:t>
            </w:r>
          </w:p>
        </w:tc>
        <w:tc>
          <w:tcPr>
            <w:tcW w:w="22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ind w:left="140"/>
        <w:spacing w:after="0"/>
        <w:rPr>
          <w:sz w:val="20"/>
          <w:szCs w:val="20"/>
          <w:color w:val="auto"/>
        </w:rPr>
      </w:pPr>
      <w:r>
        <w:rPr>
          <w:rFonts w:ascii="Times New Roman" w:cs="Times New Roman" w:eastAsia="Times New Roman" w:hAnsi="Times New Roman"/>
          <w:sz w:val="18"/>
          <w:szCs w:val="18"/>
          <w:color w:val="auto"/>
        </w:rPr>
        <w:t>July 1, 2026 to July 31, 2026</w:t>
      </w:r>
    </w:p>
    <w:p>
      <w:pPr>
        <w:spacing w:after="0" w:line="16" w:lineRule="exact"/>
        <w:rPr>
          <w:sz w:val="20"/>
          <w:szCs w:val="20"/>
          <w:color w:val="auto"/>
        </w:rPr>
      </w:pPr>
    </w:p>
    <w:p>
      <w:pPr>
        <w:ind w:left="140" w:right="880"/>
        <w:spacing w:after="0" w:line="237" w:lineRule="auto"/>
        <w:rPr>
          <w:sz w:val="20"/>
          <w:szCs w:val="20"/>
          <w:color w:val="auto"/>
        </w:rPr>
      </w:pPr>
      <w:r>
        <w:rPr>
          <w:rFonts w:ascii="Times New Roman" w:cs="Times New Roman" w:eastAsia="Times New Roman" w:hAnsi="Times New Roman"/>
          <w:sz w:val="18"/>
          <w:szCs w:val="18"/>
          <w:color w:val="auto"/>
        </w:rPr>
        <w:t>August 1, 2026 to August 31, 2026</w:t>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September 1, 2026 to</w:t>
      </w:r>
    </w:p>
    <w:p>
      <w:pPr>
        <w:ind w:left="140"/>
        <w:spacing w:after="0"/>
        <w:rPr>
          <w:sz w:val="20"/>
          <w:szCs w:val="20"/>
          <w:color w:val="auto"/>
        </w:rPr>
      </w:pPr>
      <w:r>
        <w:rPr>
          <w:rFonts w:ascii="Times New Roman" w:cs="Times New Roman" w:eastAsia="Times New Roman" w:hAnsi="Times New Roman"/>
          <w:sz w:val="18"/>
          <w:szCs w:val="18"/>
          <w:color w:val="auto"/>
        </w:rPr>
        <w:t>September 30, 2026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434,694</w:t>
            </w:r>
          </w:p>
        </w:tc>
        <w:tc>
          <w:tcPr>
            <w:tcW w:w="9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97.19</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433,240</w:t>
            </w:r>
          </w:p>
        </w:tc>
        <w:tc>
          <w:tcPr>
            <w:tcW w:w="9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284,009</w:t>
            </w:r>
          </w:p>
        </w:tc>
      </w:tr>
      <w:tr>
        <w:trPr>
          <w:trHeight w:val="318"/>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9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99.92</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284,009</w:t>
            </w:r>
          </w:p>
        </w:tc>
      </w:tr>
      <w:tr>
        <w:trPr>
          <w:trHeight w:val="432"/>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202,329</w:t>
            </w:r>
          </w:p>
        </w:tc>
        <w:tc>
          <w:tcPr>
            <w:tcW w:w="9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82.55</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194,235</w:t>
            </w:r>
          </w:p>
        </w:tc>
        <w:tc>
          <w:tcPr>
            <w:tcW w:w="9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-213360</wp:posOffset>
            </wp:positionV>
            <wp:extent cx="7132320" cy="274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3160" w:space="720"/>
            <w:col w:w="7360"/>
          </w:cols>
          <w:pgMar w:left="320" w:top="118" w:right="339" w:bottom="1440" w:gutter="0" w:footer="0" w:header="0"/>
          <w:type w:val="continuous"/>
        </w:sectPr>
      </w:pPr>
    </w:p>
    <w:p>
      <w:pPr>
        <w:jc w:val="both"/>
        <w:ind w:left="340" w:hanging="332"/>
        <w:spacing w:after="0" w:line="261" w:lineRule="auto"/>
        <w:tabs>
          <w:tab w:leader="none" w:pos="339"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purchased in July 2026, August 2026, and September 2026 include 1,454, 5,095 and 8,094 shares, respectively, purchased in satisfaction of employee tax withholding obligations on vested restricted stock granted under our stock incentive plans. Refer to Note 13, "Stock-Based Compensation" in our Consolidated Financial Statements included in our Annual Report on Form 10-K for the year ended December 31, 2025 for additional details on our stock incentive plans.</w:t>
      </w:r>
    </w:p>
    <w:p>
      <w:pPr>
        <w:jc w:val="both"/>
        <w:ind w:left="340" w:hanging="332"/>
        <w:spacing w:after="0" w:line="262" w:lineRule="auto"/>
        <w:tabs>
          <w:tab w:leader="none" w:pos="39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20, 2016, the Company announced that the Board of Directors authorized an equity repurchase program of up to $1.0 billion of our common stock, with no expiration. On November 1, 2024, the Company's Board of Directors authorized the Company to repurchase a total of up to $1.0 billion of the Company's outstanding shares of common stock, increasing the previously available repurchase authorization by approximately $766 million.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 Any shares acquired are expected to be held as treasury shares and available for general corporate purposes.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 Upon Senior Securities.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None of the Company's directors or officers (as defined in Section 16 of the Exchange Act) adopted, modified or terminated a “Rule 10b5-1 trading arrangement” or a “non-Rule 10b5-1 trading arrangement” (each as defined in Item 408(a) and (c) of Regulation S-K) during the three months ended September 30, 2026.</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820" w:hanging="650"/>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p>
      <w:pPr>
        <w:ind w:left="4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0"/>
          <w:szCs w:val="20"/>
          <w:color w:val="auto"/>
        </w:rPr>
      </w:pPr>
    </w:p>
    <w:p>
      <w:pPr>
        <w:ind w:left="860"/>
        <w:spacing w:after="0"/>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70">
        <w:r>
          <w:rPr>
            <w:rFonts w:ascii="Times New Roman" w:cs="Times New Roman" w:eastAsia="Times New Roman" w:hAnsi="Times New Roman"/>
            <w:sz w:val="18"/>
            <w:szCs w:val="18"/>
            <w:u w:val="single" w:color="auto"/>
            <w:color w:val="0000FF"/>
          </w:rPr>
          <w:t>Third Amended and Restated Articles of Incorporation of the Registrant. (Incorporated by reference from the Quarterly Report on Form</w:t>
        </w:r>
      </w:hyperlink>
    </w:p>
    <w:p>
      <w:pPr>
        <w:spacing w:after="0" w:line="2" w:lineRule="exact"/>
        <w:rPr>
          <w:sz w:val="20"/>
          <w:szCs w:val="20"/>
          <w:color w:val="auto"/>
        </w:rPr>
      </w:pPr>
    </w:p>
    <w:p>
      <w:pPr>
        <w:ind w:left="1220"/>
        <w:spacing w:after="0"/>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10-Q filed by the Registrant on May 8, 2015.)</w:t>
        </w:r>
      </w:hyperlink>
    </w:p>
    <w:p>
      <w:pPr>
        <w:spacing w:after="0" w:line="16" w:lineRule="exact"/>
        <w:rPr>
          <w:sz w:val="20"/>
          <w:szCs w:val="20"/>
          <w:color w:val="auto"/>
        </w:rPr>
      </w:pPr>
    </w:p>
    <w:p>
      <w:pPr>
        <w:ind w:left="1220" w:hanging="368"/>
        <w:spacing w:after="0" w:line="250"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71">
        <w:r>
          <w:rPr>
            <w:rFonts w:ascii="Times New Roman" w:cs="Times New Roman" w:eastAsia="Times New Roman" w:hAnsi="Times New Roman"/>
            <w:sz w:val="18"/>
            <w:szCs w:val="18"/>
            <w:u w:val="single" w:color="auto"/>
            <w:color w:val="0000FF"/>
          </w:rPr>
          <w:t>Ninth Amended and Restated Bylaws of the Registrant. (Incorporated by reference from the Annual Report on Form 10-K filed by the</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Registrant on February 28, 2020.)</w:t>
        </w:r>
      </w:hyperlink>
    </w:p>
    <w:p>
      <w:pPr>
        <w:spacing w:after="0" w:line="1" w:lineRule="exact"/>
        <w:rPr>
          <w:sz w:val="20"/>
          <w:szCs w:val="20"/>
          <w:color w:val="auto"/>
        </w:rPr>
      </w:pPr>
    </w:p>
    <w:p>
      <w:pPr>
        <w:ind w:left="860"/>
        <w:spacing w:after="0"/>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72">
        <w:r>
          <w:rPr>
            <w:rFonts w:ascii="Times New Roman" w:cs="Times New Roman" w:eastAsia="Times New Roman" w:hAnsi="Times New Roman"/>
            <w:sz w:val="18"/>
            <w:szCs w:val="18"/>
            <w:u w:val="single" w:color="auto"/>
            <w:color w:val="0000FF"/>
          </w:rPr>
          <w:t>Indenture, dated September 22, 2026, by and among Wynn Resorts Finance, LLC, and Wynn Resorts Capital Corp., as joint and several</w:t>
        </w:r>
      </w:hyperlink>
    </w:p>
    <w:p>
      <w:pPr>
        <w:spacing w:after="0" w:line="2" w:lineRule="exact"/>
        <w:rPr>
          <w:sz w:val="20"/>
          <w:szCs w:val="20"/>
          <w:color w:val="auto"/>
        </w:rPr>
      </w:pPr>
    </w:p>
    <w:p>
      <w:pPr>
        <w:ind w:left="1220"/>
        <w:spacing w:after="0" w:line="226" w:lineRule="auto"/>
        <w:rPr>
          <w:rFonts w:ascii="Times New Roman" w:cs="Times New Roman" w:eastAsia="Times New Roman" w:hAnsi="Times New Roman"/>
          <w:sz w:val="18"/>
          <w:szCs w:val="18"/>
          <w:u w:val="single" w:color="auto"/>
          <w:color w:val="0000FF"/>
        </w:rPr>
      </w:pPr>
      <w:hyperlink r:id="rId72">
        <w:r>
          <w:rPr>
            <w:rFonts w:ascii="Times New Roman" w:cs="Times New Roman" w:eastAsia="Times New Roman" w:hAnsi="Times New Roman"/>
            <w:sz w:val="18"/>
            <w:szCs w:val="18"/>
            <w:u w:val="single" w:color="auto"/>
            <w:color w:val="0000FF"/>
          </w:rPr>
          <w:t>obligors and the Guarantors named therein and U.S. Bank Trust Company, National Association, as trustee (Incorporated by reference</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from the Current Report on Form 8-K filed by the Registrant on September 22, 2026.)</w:t>
        </w:r>
      </w:hyperlink>
    </w:p>
    <w:p>
      <w:pPr>
        <w:spacing w:after="0" w:line="9" w:lineRule="exact"/>
        <w:rPr>
          <w:sz w:val="20"/>
          <w:szCs w:val="20"/>
          <w:color w:val="auto"/>
        </w:rPr>
      </w:pPr>
    </w:p>
    <w:p>
      <w:pPr>
        <w:ind w:left="680"/>
        <w:spacing w:after="0"/>
        <w:tabs>
          <w:tab w:leader="none" w:pos="12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of Periodic Report Pursuant to Rule 13a–14(a) and Rule 15d–14(a).</w:t>
      </w:r>
    </w:p>
    <w:p>
      <w:pPr>
        <w:spacing w:after="0" w:line="36" w:lineRule="exact"/>
        <w:rPr>
          <w:sz w:val="20"/>
          <w:szCs w:val="20"/>
          <w:color w:val="auto"/>
        </w:rPr>
      </w:pPr>
    </w:p>
    <w:p>
      <w:pPr>
        <w:ind w:left="680"/>
        <w:spacing w:after="0"/>
        <w:tabs>
          <w:tab w:leader="none" w:pos="12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of Periodic Report Pursuant to Rule 13a–14(a) and Rule 15d–14(a).</w:t>
      </w:r>
    </w:p>
    <w:p>
      <w:pPr>
        <w:spacing w:after="0" w:line="36" w:lineRule="exact"/>
        <w:rPr>
          <w:sz w:val="20"/>
          <w:szCs w:val="20"/>
          <w:color w:val="auto"/>
        </w:rPr>
      </w:pPr>
    </w:p>
    <w:p>
      <w:pPr>
        <w:ind w:left="1220" w:hanging="316"/>
        <w:spacing w:after="0"/>
        <w:tabs>
          <w:tab w:leader="none" w:pos="1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CEO and CFO Pursuant to 18 U.S.C. Section 1350 (furnished herewith).</w:t>
      </w:r>
    </w:p>
    <w:p>
      <w:pPr>
        <w:spacing w:after="0" w:line="36" w:lineRule="exact"/>
        <w:rPr>
          <w:sz w:val="20"/>
          <w:szCs w:val="20"/>
          <w:color w:val="auto"/>
        </w:rPr>
      </w:pPr>
    </w:p>
    <w:p>
      <w:pPr>
        <w:jc w:val="both"/>
        <w:ind w:left="1220" w:hanging="406"/>
        <w:spacing w:after="0" w:line="217" w:lineRule="auto"/>
        <w:tabs>
          <w:tab w:leader="none" w:pos="12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 from Wynn Resorts, Limited's Quarterly Report on Form 10-Q, formatted in Inline XBRL (Inline Extensible Business Reporting Language): (i) the Condensed Consolidated Balance Sheets as of September 30, 2026 and December 31, 2025; (ii) the Condensed Consolidated Statements of Operations for the three and nine months ended September 30, 2026 and 2025; (iii) the Condensed Consolidated Statements of Comprehensive Income for the three and nine months ended September 30, 2026 and 2025; (iv) the Condensed Consolidated Statements of Stockholders' Deficit for the three and nine months ended September 30, 2026 and 2025; (v) the Condensed Consolidated Statements of Cash Flows for the nine months ended September 30, 2026 and 2025; and (vi) Notes to Condensed Consolidated Financial Statements. The instance document does not appear in the Interactive Data File because its XBRL tags are embedded within the Inline XBRL document.</w:t>
      </w:r>
    </w:p>
    <w:p>
      <w:pPr>
        <w:spacing w:after="0" w:line="15" w:lineRule="exact"/>
        <w:rPr>
          <w:sz w:val="20"/>
          <w:szCs w:val="20"/>
          <w:color w:val="auto"/>
        </w:rPr>
      </w:pPr>
    </w:p>
    <w:p>
      <w:pPr>
        <w:ind w:right="1900" w:firstLine="814"/>
        <w:spacing w:after="0" w:line="877" w:lineRule="auto"/>
        <w:tabs>
          <w:tab w:leader="none" w:pos="121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 Filed herewith.</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94" w:lineRule="exact"/>
        <w:rPr>
          <w:sz w:val="20"/>
          <w:szCs w:val="20"/>
          <w:color w:val="auto"/>
        </w:rPr>
      </w:pPr>
    </w:p>
    <w:p>
      <w:pPr>
        <w:ind w:left="20"/>
        <w:spacing w:after="0"/>
        <w:tabs>
          <w:tab w:leader="none" w:pos="780" w:val="left"/>
          <w:tab w:leader="none" w:pos="6480" w:val="left"/>
          <w:tab w:leader="none" w:pos="71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J. Fullalove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17145</wp:posOffset>
            </wp:positionV>
            <wp:extent cx="26231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Craig J. Fullalove</w:t>
      </w:r>
    </w:p>
    <w:p>
      <w:pPr>
        <w:spacing w:after="0" w:line="3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740"/>
          </w:cols>
          <w:pgMar w:left="320" w:top="118" w:right="8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S. Billings, certify that:</w:t>
      </w:r>
    </w:p>
    <w:p>
      <w:pPr>
        <w:spacing w:after="0" w:line="63" w:lineRule="exact"/>
        <w:rPr>
          <w:sz w:val="20"/>
          <w:szCs w:val="20"/>
          <w:color w:val="auto"/>
        </w:rPr>
      </w:pPr>
    </w:p>
    <w:p>
      <w:pPr>
        <w:ind w:left="980" w:hanging="972"/>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63" w:lineRule="exact"/>
        <w:rPr>
          <w:rFonts w:ascii="Times New Roman" w:cs="Times New Roman" w:eastAsia="Times New Roman" w:hAnsi="Times New Roman"/>
          <w:sz w:val="18"/>
          <w:szCs w:val="18"/>
          <w:color w:val="auto"/>
        </w:rPr>
      </w:pPr>
    </w:p>
    <w:p>
      <w:pPr>
        <w:jc w:val="both"/>
        <w:ind w:left="980" w:right="60" w:hanging="972"/>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980" w:right="20" w:hanging="972"/>
        <w:spacing w:after="0" w:line="281"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980" w:hanging="972"/>
        <w:spacing w:after="0" w:line="276" w:lineRule="auto"/>
        <w:tabs>
          <w:tab w:leader="none" w:pos="9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44" w:lineRule="exact"/>
        <w:rPr>
          <w:rFonts w:ascii="Times New Roman" w:cs="Times New Roman" w:eastAsia="Times New Roman" w:hAnsi="Times New Roman"/>
          <w:sz w:val="17"/>
          <w:szCs w:val="17"/>
          <w:color w:val="auto"/>
        </w:rPr>
      </w:pPr>
    </w:p>
    <w:p>
      <w:pPr>
        <w:ind w:left="1960" w:right="80" w:hanging="980"/>
        <w:spacing w:after="0" w:line="266" w:lineRule="auto"/>
        <w:tabs>
          <w:tab w:leader="none" w:pos="195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960" w:right="220" w:hanging="980"/>
        <w:spacing w:after="0" w:line="266" w:lineRule="auto"/>
        <w:tabs>
          <w:tab w:leader="none" w:pos="194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960" w:hanging="980"/>
        <w:spacing w:after="0" w:line="266" w:lineRule="auto"/>
        <w:tabs>
          <w:tab w:leader="none" w:pos="195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auto"/>
        </w:rPr>
      </w:pPr>
    </w:p>
    <w:p>
      <w:pPr>
        <w:ind w:left="1960" w:right="320" w:hanging="980"/>
        <w:spacing w:after="0" w:line="266" w:lineRule="auto"/>
        <w:tabs>
          <w:tab w:leader="none" w:pos="194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980" w:right="140" w:hanging="972"/>
        <w:spacing w:after="0" w:line="298" w:lineRule="auto"/>
        <w:tabs>
          <w:tab w:leader="none" w:pos="9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960" w:right="80" w:hanging="980"/>
        <w:spacing w:after="0" w:line="266" w:lineRule="auto"/>
        <w:tabs>
          <w:tab w:leader="none" w:pos="195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960" w:right="100" w:hanging="980"/>
        <w:spacing w:after="0" w:line="282" w:lineRule="auto"/>
        <w:tabs>
          <w:tab w:leader="none" w:pos="194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40"/>
        <w:spacing w:after="0"/>
        <w:tabs>
          <w:tab w:leader="none" w:pos="588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7"/>
          <w:szCs w:val="17"/>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-7620</wp:posOffset>
            </wp:positionV>
            <wp:extent cx="12725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Craig S. Billings</w:t>
      </w:r>
    </w:p>
    <w:p>
      <w:pPr>
        <w:ind w:left="5900"/>
        <w:spacing w:after="0" w:line="203" w:lineRule="auto"/>
        <w:rPr>
          <w:sz w:val="20"/>
          <w:szCs w:val="20"/>
          <w:color w:val="auto"/>
        </w:rPr>
      </w:pPr>
      <w:r>
        <w:rPr>
          <w:rFonts w:ascii="Times New Roman" w:cs="Times New Roman" w:eastAsia="Times New Roman" w:hAnsi="Times New Roman"/>
          <w:sz w:val="18"/>
          <w:szCs w:val="18"/>
          <w:color w:val="auto"/>
        </w:rPr>
        <w:t>Chief Executive Officer</w:t>
      </w:r>
    </w:p>
    <w:p>
      <w:pPr>
        <w:ind w:left="59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44"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J. Fullalove, certify that:</w:t>
      </w:r>
    </w:p>
    <w:p>
      <w:pPr>
        <w:spacing w:after="0" w:line="63" w:lineRule="exact"/>
        <w:rPr>
          <w:sz w:val="20"/>
          <w:szCs w:val="20"/>
          <w:color w:val="auto"/>
        </w:rPr>
      </w:pPr>
    </w:p>
    <w:p>
      <w:pPr>
        <w:ind w:left="980" w:hanging="972"/>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63" w:lineRule="exact"/>
        <w:rPr>
          <w:rFonts w:ascii="Times New Roman" w:cs="Times New Roman" w:eastAsia="Times New Roman" w:hAnsi="Times New Roman"/>
          <w:sz w:val="18"/>
          <w:szCs w:val="18"/>
          <w:color w:val="auto"/>
        </w:rPr>
      </w:pPr>
    </w:p>
    <w:p>
      <w:pPr>
        <w:jc w:val="both"/>
        <w:ind w:left="980" w:right="60" w:hanging="972"/>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980" w:right="20" w:hanging="972"/>
        <w:spacing w:after="0" w:line="281"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980" w:hanging="972"/>
        <w:spacing w:after="0" w:line="276" w:lineRule="auto"/>
        <w:tabs>
          <w:tab w:leader="none" w:pos="9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44" w:lineRule="exact"/>
        <w:rPr>
          <w:rFonts w:ascii="Times New Roman" w:cs="Times New Roman" w:eastAsia="Times New Roman" w:hAnsi="Times New Roman"/>
          <w:sz w:val="17"/>
          <w:szCs w:val="17"/>
          <w:color w:val="auto"/>
        </w:rPr>
      </w:pPr>
    </w:p>
    <w:p>
      <w:pPr>
        <w:ind w:left="1960" w:right="80" w:hanging="980"/>
        <w:spacing w:after="0" w:line="266" w:lineRule="auto"/>
        <w:tabs>
          <w:tab w:leader="none" w:pos="195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960" w:right="220" w:hanging="980"/>
        <w:spacing w:after="0" w:line="266" w:lineRule="auto"/>
        <w:tabs>
          <w:tab w:leader="none" w:pos="194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960" w:hanging="980"/>
        <w:spacing w:after="0" w:line="266" w:lineRule="auto"/>
        <w:tabs>
          <w:tab w:leader="none" w:pos="195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auto"/>
        </w:rPr>
      </w:pPr>
    </w:p>
    <w:p>
      <w:pPr>
        <w:ind w:left="1960" w:right="320" w:hanging="980"/>
        <w:spacing w:after="0" w:line="266" w:lineRule="auto"/>
        <w:tabs>
          <w:tab w:leader="none" w:pos="194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980" w:right="140" w:hanging="972"/>
        <w:spacing w:after="0" w:line="298" w:lineRule="auto"/>
        <w:tabs>
          <w:tab w:leader="none" w:pos="9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960" w:right="80" w:hanging="980"/>
        <w:spacing w:after="0" w:line="266" w:lineRule="auto"/>
        <w:tabs>
          <w:tab w:leader="none" w:pos="195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960" w:right="100" w:hanging="980"/>
        <w:spacing w:after="0" w:line="282" w:lineRule="auto"/>
        <w:tabs>
          <w:tab w:leader="none" w:pos="194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40"/>
        <w:spacing w:after="0"/>
        <w:tabs>
          <w:tab w:leader="none" w:pos="588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7"/>
          <w:szCs w:val="17"/>
          <w:color w:val="auto"/>
        </w:rPr>
        <w:t>/s/ Craig J. Fullalove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-7620</wp:posOffset>
            </wp:positionV>
            <wp:extent cx="13233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1323340" cy="8890"/>
                    </a:xfrm>
                    <a:prstGeom prst="rect">
                      <a:avLst/>
                    </a:prstGeom>
                    <a:noFill/>
                  </pic:spPr>
                </pic:pic>
              </a:graphicData>
            </a:graphic>
          </wp:anchor>
        </w:drawing>
      </w:r>
    </w:p>
    <w:p>
      <w:pPr>
        <w:spacing w:after="0" w:line="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Craig J. Fullalove</w:t>
      </w:r>
    </w:p>
    <w:p>
      <w:pPr>
        <w:ind w:left="5900"/>
        <w:spacing w:after="0" w:line="203" w:lineRule="auto"/>
        <w:rPr>
          <w:sz w:val="20"/>
          <w:szCs w:val="20"/>
          <w:color w:val="auto"/>
        </w:rPr>
      </w:pPr>
      <w:r>
        <w:rPr>
          <w:rFonts w:ascii="Times New Roman" w:cs="Times New Roman" w:eastAsia="Times New Roman" w:hAnsi="Times New Roman"/>
          <w:sz w:val="18"/>
          <w:szCs w:val="18"/>
          <w:color w:val="auto"/>
        </w:rPr>
        <w:t>Chief Financial Officer</w:t>
      </w:r>
    </w:p>
    <w:p>
      <w:pPr>
        <w:ind w:left="59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044"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and the Chief Financial Officer Pursuant to 18 U.S.C. Section 1350, as Adopted Pursuant to Section 906 of the Sarbanes-Oxley Act of 2002</w:t>
      </w:r>
    </w:p>
    <w:p>
      <w:pPr>
        <w:spacing w:after="0" w:line="132" w:lineRule="exact"/>
        <w:rPr>
          <w:sz w:val="20"/>
          <w:szCs w:val="20"/>
          <w:color w:val="auto"/>
        </w:rPr>
      </w:pPr>
    </w:p>
    <w:p>
      <w:pPr>
        <w:jc w:val="both"/>
        <w:ind w:right="40" w:firstLine="97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Wynn Resorts, Limited (the “Company”) for the quarter ended September 30, 2026 as filed with the Securities and Exchange Commission on the date hereof (the “Report”), Craig S. Billings, as Chief Executive Officer of the Company, and Craig J. Fullalove, as Chief Financial Officer of the Company, each hereby certifies, pursuant to 18 U.S.C. Section 1350, as adopted pursuant to Section 906 of the Sarbanes-Oxley Act of 2002, that, to the best of their knowledge:</w:t>
      </w:r>
    </w:p>
    <w:p>
      <w:pPr>
        <w:spacing w:after="0" w:line="126" w:lineRule="exact"/>
        <w:rPr>
          <w:sz w:val="20"/>
          <w:szCs w:val="20"/>
          <w:color w:val="auto"/>
        </w:rPr>
      </w:pPr>
    </w:p>
    <w:p>
      <w:pPr>
        <w:ind w:left="980" w:hanging="972"/>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980" w:right="600" w:hanging="972"/>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17145</wp:posOffset>
            </wp:positionV>
            <wp:extent cx="28460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Craig S. Billings</w:t>
      </w:r>
    </w:p>
    <w:p>
      <w:pPr>
        <w:spacing w:after="0" w:line="50"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 Craig J. Fullalove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17145</wp:posOffset>
            </wp:positionV>
            <wp:extent cx="28460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Craig J. Fullalove</w:t>
      </w:r>
    </w:p>
    <w:p>
      <w:pPr>
        <w:spacing w:after="0" w:line="50"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6"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3"/>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4"/>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32"/>
    </w:lvl>
  </w:abstractNum>
  <w:abstractNum w:abstractNumId="18">
    <w:nsid w:val="628C895D"/>
    <w:multiLevelType w:val="hybridMultilevel"/>
    <w:lvl w:ilvl="0">
      <w:lvlJc w:val="left"/>
      <w:lvlText w:val="%1"/>
      <w:numFmt w:val="decimal"/>
      <w:start w:val="101"/>
    </w:lvl>
  </w:abstractNum>
  <w:abstractNum w:abstractNumId="19">
    <w:nsid w:val="333AB105"/>
    <w:multiLevelType w:val="hybridMultilevel"/>
    <w:lvl w:ilvl="0">
      <w:lvlJc w:val="left"/>
      <w:lvlText w:val="*"/>
      <w:numFmt w:val="bullet"/>
      <w:start w:val="1"/>
    </w:lvl>
    <w:lvl w:ilvl="1">
      <w:lvlJc w:val="left"/>
      <w:lvlText w:val="%2"/>
      <w:numFmt w:val="decimal"/>
      <w:start w:val="104"/>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0" Type="http://schemas.openxmlformats.org/officeDocument/2006/relationships/hyperlink" Target="https://www.sec.gov/Archives/edgar/data/1174922/000117492215000044/ex-31.htm" TargetMode="External"/><Relationship Id="rId71" Type="http://schemas.openxmlformats.org/officeDocument/2006/relationships/hyperlink" Target="https://www.sec.gov/Archives/edgar/data/1174922/000117492220000024/ex32-bylaws.htm" TargetMode="External"/><Relationship Id="rId72" Type="http://schemas.openxmlformats.org/officeDocument/2006/relationships/hyperlink" Target="https://www.sec.gov/Archives/edgar/data/1174922/000117492226000069/ex41-wrf2035seniornotesi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2026-11-05T15:49:38Z</dcterms:created>
  <dcterms:modified xsi:type="dcterms:W3CDTF">2026-11-05T15:49:38Z</dcterms:modified>
</cp:coreProperties>
</file>