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983134107</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31, 2010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33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20" w:right="4900" w:hanging="16"/>
        <w:spacing w:after="0" w:line="301" w:lineRule="auto"/>
        <w:tabs>
          <w:tab w:leader="none" w:pos="525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180" w:hanging="492"/>
        <w:spacing w:after="0" w:line="403" w:lineRule="auto"/>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500" w:hanging="492"/>
        <w:spacing w:after="0"/>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466"/>
        <w:spacing w:after="0"/>
        <w:tabs>
          <w:tab w:leader="none" w:pos="96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60" w:hanging="466"/>
        <w:spacing w:after="0"/>
        <w:tabs>
          <w:tab w:leader="none" w:pos="96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28" w:lineRule="exact"/>
        <w:rPr>
          <w:rFonts w:ascii="Arial" w:cs="Arial" w:eastAsia="Arial" w:hAnsi="Arial"/>
          <w:sz w:val="22"/>
          <w:szCs w:val="22"/>
          <w:color w:val="auto"/>
        </w:rPr>
      </w:pPr>
    </w:p>
    <w:p>
      <w:pPr>
        <w:ind w:left="500" w:hanging="492"/>
        <w:spacing w:after="0"/>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34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5.</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13,330,730 (See Item 4)</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6.</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7.</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13,330,730 (See Item 4)</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8.</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340" w:type="dxa"/>
            <w:vAlign w:val="bottom"/>
          </w:tcPr>
          <w:p>
            <w:pPr>
              <w:ind w:left="240"/>
              <w:spacing w:after="0"/>
              <w:rPr>
                <w:sz w:val="20"/>
                <w:szCs w:val="20"/>
                <w:color w:val="auto"/>
              </w:rPr>
            </w:pPr>
            <w:r>
              <w:rPr>
                <w:rFonts w:ascii="Arial" w:cs="Arial" w:eastAsia="Arial" w:hAnsi="Arial"/>
                <w:sz w:val="22"/>
                <w:szCs w:val="22"/>
                <w:color w:val="auto"/>
                <w:w w:val="87"/>
              </w:rPr>
              <w:t>13,330,730 (See Item 4)</w:t>
            </w: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34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2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10.7</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400"/>
          </w:cols>
          <w:pgMar w:left="240" w:top="26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080" w:hanging="492"/>
        <w:spacing w:after="0" w:line="467" w:lineRule="auto"/>
        <w:tabs>
          <w:tab w:leader="none" w:pos="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500" w:hanging="492"/>
        <w:spacing w:after="0"/>
        <w:tabs>
          <w:tab w:leader="none" w:pos="5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466"/>
        <w:spacing w:after="0"/>
        <w:tabs>
          <w:tab w:leader="none" w:pos="96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60" w:hanging="466"/>
        <w:spacing w:after="0"/>
        <w:tabs>
          <w:tab w:leader="none" w:pos="96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8" w:lineRule="exact"/>
        <w:rPr>
          <w:rFonts w:ascii="Arial" w:cs="Arial" w:eastAsia="Arial" w:hAnsi="Arial"/>
          <w:sz w:val="22"/>
          <w:szCs w:val="22"/>
          <w:color w:val="auto"/>
        </w:rPr>
      </w:pPr>
    </w:p>
    <w:p>
      <w:pPr>
        <w:ind w:left="500" w:hanging="492"/>
        <w:spacing w:after="0"/>
        <w:tabs>
          <w:tab w:leader="none" w:pos="5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4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5.</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6.</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7.</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8.</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40" w:type="dxa"/>
            <w:vAlign w:val="bottom"/>
          </w:tcPr>
          <w:p>
            <w:pPr>
              <w:ind w:left="240"/>
              <w:spacing w:after="0"/>
              <w:rPr>
                <w:sz w:val="20"/>
                <w:szCs w:val="20"/>
                <w:color w:val="auto"/>
              </w:rPr>
            </w:pPr>
            <w:r>
              <w:rPr>
                <w:rFonts w:ascii="Arial" w:cs="Arial" w:eastAsia="Arial" w:hAnsi="Arial"/>
                <w:sz w:val="22"/>
                <w:szCs w:val="22"/>
                <w:color w:val="auto"/>
                <w:w w:val="87"/>
              </w:rPr>
              <w:t>4,934,723 (See Item 4)</w:t>
            </w: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4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4.0</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300"/>
          </w:cols>
          <w:pgMar w:left="240" w:top="26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080" w:hanging="492"/>
        <w:spacing w:after="0" w:line="403" w:lineRule="auto"/>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466"/>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60" w:hanging="466"/>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28" w:lineRule="exact"/>
        <w:rPr>
          <w:rFonts w:ascii="Arial" w:cs="Arial" w:eastAsia="Arial" w:hAnsi="Arial"/>
          <w:sz w:val="22"/>
          <w:szCs w:val="22"/>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4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5.</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6.</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7.</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8.</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40" w:type="dxa"/>
            <w:vAlign w:val="bottom"/>
          </w:tcPr>
          <w:p>
            <w:pPr>
              <w:ind w:left="240"/>
              <w:spacing w:after="0"/>
              <w:rPr>
                <w:sz w:val="20"/>
                <w:szCs w:val="20"/>
                <w:color w:val="auto"/>
              </w:rPr>
            </w:pPr>
            <w:r>
              <w:rPr>
                <w:rFonts w:ascii="Arial" w:cs="Arial" w:eastAsia="Arial" w:hAnsi="Arial"/>
                <w:sz w:val="22"/>
                <w:szCs w:val="22"/>
                <w:color w:val="auto"/>
                <w:w w:val="87"/>
              </w:rPr>
              <w:t>4,934,723 (See Item 4)</w:t>
            </w: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4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4.0</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1300"/>
          </w:cols>
          <w:pgMar w:left="240" w:top="267"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080" w:hanging="492"/>
        <w:spacing w:after="0" w:line="403" w:lineRule="auto"/>
        <w:tabs>
          <w:tab w:leader="none" w:pos="5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500" w:hanging="492"/>
        <w:spacing w:after="0"/>
        <w:tabs>
          <w:tab w:leader="none" w:pos="5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466"/>
        <w:spacing w:after="0"/>
        <w:tabs>
          <w:tab w:leader="none" w:pos="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60" w:hanging="466"/>
        <w:spacing w:after="0"/>
        <w:tabs>
          <w:tab w:leader="none" w:pos="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28" w:lineRule="exact"/>
        <w:rPr>
          <w:rFonts w:ascii="Arial" w:cs="Arial" w:eastAsia="Arial" w:hAnsi="Arial"/>
          <w:sz w:val="22"/>
          <w:szCs w:val="22"/>
          <w:color w:val="auto"/>
        </w:rPr>
      </w:pPr>
    </w:p>
    <w:p>
      <w:pPr>
        <w:ind w:left="500" w:hanging="492"/>
        <w:spacing w:after="0"/>
        <w:tabs>
          <w:tab w:leader="none" w:pos="5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5.</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6.</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7.</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4,934,723 (See Item 4)</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8.</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2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240" w:type="dxa"/>
            <w:vAlign w:val="bottom"/>
          </w:tcPr>
          <w:p>
            <w:pPr>
              <w:ind w:left="240"/>
              <w:spacing w:after="0"/>
              <w:rPr>
                <w:sz w:val="20"/>
                <w:szCs w:val="20"/>
                <w:color w:val="auto"/>
              </w:rPr>
            </w:pPr>
            <w:r>
              <w:rPr>
                <w:rFonts w:ascii="Arial" w:cs="Arial" w:eastAsia="Arial" w:hAnsi="Arial"/>
                <w:sz w:val="22"/>
                <w:szCs w:val="22"/>
                <w:color w:val="auto"/>
                <w:w w:val="87"/>
              </w:rPr>
              <w:t>4,934,723 (See Item 4)</w:t>
            </w:r>
          </w:p>
        </w:tc>
      </w:tr>
      <w:tr>
        <w:trPr>
          <w:trHeight w:val="459"/>
        </w:trPr>
        <w:tc>
          <w:tcPr>
            <w:tcW w:w="3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24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7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4.0</w:t>
      </w:r>
    </w:p>
    <w:p>
      <w:pPr>
        <w:spacing w:after="0" w:line="206" w:lineRule="exact"/>
        <w:rPr>
          <w:rFonts w:ascii="Arial" w:cs="Arial" w:eastAsia="Arial" w:hAnsi="Arial"/>
          <w:sz w:val="22"/>
          <w:szCs w:val="22"/>
          <w:b w:val="1"/>
          <w:bCs w:val="1"/>
          <w:color w:val="auto"/>
        </w:rPr>
      </w:pPr>
    </w:p>
    <w:p>
      <w:pPr>
        <w:ind w:left="500" w:hanging="492"/>
        <w:spacing w:after="0"/>
        <w:tabs>
          <w:tab w:leader="none" w:pos="5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300"/>
          </w:cols>
          <w:pgMar w:left="240" w:top="26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CUSIP No. 983134107</w:t>
            </w:r>
          </w:p>
        </w:tc>
        <w:tc>
          <w:tcPr>
            <w:tcW w:w="1020" w:type="dxa"/>
            <w:vAlign w:val="bottom"/>
          </w:tcPr>
          <w:p>
            <w:pPr>
              <w:ind w:left="6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180" w:hanging="492"/>
        <w:spacing w:after="0" w:line="403" w:lineRule="auto"/>
        <w:tabs>
          <w:tab w:leader="none" w:pos="5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500" w:hanging="492"/>
        <w:spacing w:after="0"/>
        <w:tabs>
          <w:tab w:leader="none" w:pos="5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466"/>
        <w:spacing w:after="0"/>
        <w:tabs>
          <w:tab w:leader="none" w:pos="9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60" w:hanging="466"/>
        <w:spacing w:after="0"/>
        <w:tabs>
          <w:tab w:leader="none" w:pos="9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28" w:lineRule="exact"/>
        <w:rPr>
          <w:rFonts w:ascii="Arial" w:cs="Arial" w:eastAsia="Arial" w:hAnsi="Arial"/>
          <w:sz w:val="22"/>
          <w:szCs w:val="22"/>
          <w:color w:val="auto"/>
        </w:rPr>
      </w:pPr>
    </w:p>
    <w:p>
      <w:pPr>
        <w:ind w:left="500" w:hanging="492"/>
        <w:spacing w:after="0"/>
        <w:tabs>
          <w:tab w:leader="none" w:pos="5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tc>
        <w:tc>
          <w:tcPr>
            <w:tcW w:w="234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5.</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18,265,453 (See Item 4)</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6.</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VOTING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7.</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SOLE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18,265,453 (See Item 4)</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22"/>
                <w:szCs w:val="22"/>
                <w:b w:val="1"/>
                <w:bCs w:val="1"/>
                <w:color w:val="auto"/>
              </w:rPr>
              <w:t>8.</w:t>
            </w:r>
          </w:p>
        </w:tc>
        <w:tc>
          <w:tcPr>
            <w:tcW w:w="4020" w:type="dxa"/>
            <w:vAlign w:val="bottom"/>
          </w:tcPr>
          <w:p>
            <w:pPr>
              <w:ind w:left="140"/>
              <w:spacing w:after="0"/>
              <w:rPr>
                <w:sz w:val="20"/>
                <w:szCs w:val="20"/>
                <w:color w:val="auto"/>
              </w:rPr>
            </w:pPr>
            <w:r>
              <w:rPr>
                <w:rFonts w:ascii="Arial" w:cs="Arial" w:eastAsia="Arial" w:hAnsi="Arial"/>
                <w:sz w:val="22"/>
                <w:szCs w:val="22"/>
                <w:b w:val="1"/>
                <w:bCs w:val="1"/>
                <w:color w:val="auto"/>
              </w:rPr>
              <w:t>SHARED DISPOSITIVE POWER</w:t>
            </w:r>
          </w:p>
        </w:tc>
        <w:tc>
          <w:tcPr>
            <w:tcW w:w="4240" w:type="dxa"/>
            <w:vAlign w:val="bottom"/>
          </w:tcPr>
          <w:p>
            <w:pPr>
              <w:ind w:left="680"/>
              <w:spacing w:after="0"/>
              <w:rPr>
                <w:sz w:val="20"/>
                <w:szCs w:val="20"/>
                <w:color w:val="auto"/>
              </w:rPr>
            </w:pPr>
            <w:r>
              <w:rPr>
                <w:rFonts w:ascii="Arial" w:cs="Arial" w:eastAsia="Arial" w:hAnsi="Arial"/>
                <w:sz w:val="22"/>
                <w:szCs w:val="22"/>
                <w:color w:val="auto"/>
              </w:rPr>
              <w:t>0</w:t>
            </w:r>
          </w:p>
        </w:tc>
        <w:tc>
          <w:tcPr>
            <w:tcW w:w="23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p>
        </w:tc>
        <w:tc>
          <w:tcPr>
            <w:tcW w:w="2340" w:type="dxa"/>
            <w:vAlign w:val="bottom"/>
          </w:tcPr>
          <w:p>
            <w:pPr>
              <w:ind w:left="240"/>
              <w:spacing w:after="0"/>
              <w:rPr>
                <w:sz w:val="20"/>
                <w:szCs w:val="20"/>
                <w:color w:val="auto"/>
              </w:rPr>
            </w:pPr>
            <w:r>
              <w:rPr>
                <w:rFonts w:ascii="Arial" w:cs="Arial" w:eastAsia="Arial" w:hAnsi="Arial"/>
                <w:sz w:val="22"/>
                <w:szCs w:val="22"/>
                <w:color w:val="auto"/>
                <w:w w:val="87"/>
              </w:rPr>
              <w:t>18,265,453 (See Item 4)</w:t>
            </w:r>
          </w:p>
        </w:tc>
      </w:tr>
      <w:tr>
        <w:trPr>
          <w:trHeight w:val="405"/>
        </w:trPr>
        <w:tc>
          <w:tcPr>
            <w:tcW w:w="3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680" w:type="dxa"/>
            <w:vAlign w:val="bottom"/>
            <w:gridSpan w:val="3"/>
          </w:tcPr>
          <w:p>
            <w:pPr>
              <w:ind w:left="120"/>
              <w:spacing w:after="0"/>
              <w:rPr>
                <w:sz w:val="20"/>
                <w:szCs w:val="20"/>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p>
        </w:tc>
        <w:tc>
          <w:tcPr>
            <w:tcW w:w="2340" w:type="dxa"/>
            <w:vAlign w:val="bottom"/>
          </w:tcPr>
          <w:p>
            <w:pPr>
              <w:ind w:left="200"/>
              <w:spacing w:after="0"/>
              <w:rPr>
                <w:sz w:val="20"/>
                <w:szCs w:val="20"/>
                <w:color w:val="auto"/>
              </w:rPr>
            </w:pPr>
            <w:r>
              <w:rPr>
                <w:rFonts w:ascii="Arial" w:cs="Arial" w:eastAsia="Arial" w:hAnsi="Arial"/>
                <w:sz w:val="22"/>
                <w:szCs w:val="22"/>
                <w:color w:val="auto"/>
              </w:rPr>
              <w:t>[ ]</w:t>
            </w:r>
          </w:p>
        </w:tc>
      </w:tr>
    </w:tbl>
    <w:p>
      <w:pPr>
        <w:spacing w:after="0" w:line="1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14.7</w:t>
      </w:r>
    </w:p>
    <w:p>
      <w:pPr>
        <w:spacing w:after="0" w:line="152" w:lineRule="exact"/>
        <w:rPr>
          <w:rFonts w:ascii="Arial" w:cs="Arial" w:eastAsia="Arial" w:hAnsi="Arial"/>
          <w:sz w:val="22"/>
          <w:szCs w:val="22"/>
          <w:b w:val="1"/>
          <w:bCs w:val="1"/>
          <w:color w:val="auto"/>
        </w:rPr>
      </w:pPr>
    </w:p>
    <w:p>
      <w:pPr>
        <w:ind w:left="500" w:hanging="492"/>
        <w:spacing w:after="0"/>
        <w:tabs>
          <w:tab w:leader="none" w:pos="5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400"/>
          </w:cols>
          <w:pgMar w:left="240" w:top="267" w:right="259" w:bottom="1440" w:gutter="0" w:footer="0" w:header="0"/>
        </w:sectPr>
      </w:pPr>
    </w:p>
    <w:bookmarkStart w:id="6" w:name="page7"/>
    <w:bookmarkEnd w:id="6"/>
    <w:p>
      <w:pPr>
        <w:spacing w:after="0"/>
        <w:tabs>
          <w:tab w:leader="none" w:pos="168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Wynn Resorts, Limited</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3131 Las Vegas Boulevard South</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Las Vegas, NV 89109</w:t>
      </w:r>
    </w:p>
    <w:p>
      <w:pPr>
        <w:spacing w:after="0" w:line="175"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193" w:lineRule="exact"/>
        <w:rPr>
          <w:sz w:val="20"/>
          <w:szCs w:val="20"/>
          <w:color w:val="auto"/>
        </w:rPr>
      </w:pPr>
    </w:p>
    <w:p>
      <w:pPr>
        <w:ind w:left="2380" w:hanging="670"/>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380" w:hanging="670"/>
        <w:spacing w:after="0" w:line="230"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380" w:hanging="670"/>
        <w:spacing w:after="0" w:line="230"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380" w:hanging="670"/>
        <w:spacing w:after="0" w:line="230" w:lineRule="auto"/>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380" w:hanging="670"/>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75"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2(b)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Principal Business Office</w:t>
      </w:r>
      <w:r>
        <w:rPr>
          <w:rFonts w:ascii="Arial" w:cs="Arial" w:eastAsia="Arial" w:hAnsi="Arial"/>
          <w:sz w:val="19"/>
          <w:szCs w:val="19"/>
          <w:color w:val="auto"/>
        </w:rPr>
        <w: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(i)-(v): 6300 Lamar Avenue</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Overland Park, KS 66202</w:t>
      </w:r>
    </w:p>
    <w:p>
      <w:pPr>
        <w:spacing w:after="0" w:line="175"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2(c)</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Citizenship</w:t>
      </w:r>
      <w:r>
        <w:rPr>
          <w:rFonts w:ascii="Arial" w:cs="Arial" w:eastAsia="Arial" w:hAnsi="Arial"/>
          <w:sz w:val="19"/>
          <w:szCs w:val="19"/>
          <w:color w:val="auto"/>
        </w:rPr>
        <w: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(i), (iii) and (v): Delaware</w:t>
      </w:r>
    </w:p>
    <w:p>
      <w:pPr>
        <w:ind w:left="1720"/>
        <w:spacing w:after="0" w:line="238" w:lineRule="auto"/>
        <w:rPr>
          <w:sz w:val="20"/>
          <w:szCs w:val="20"/>
          <w:color w:val="auto"/>
        </w:rPr>
      </w:pPr>
      <w:r>
        <w:rPr>
          <w:rFonts w:ascii="Arial" w:cs="Arial" w:eastAsia="Arial" w:hAnsi="Arial"/>
          <w:sz w:val="22"/>
          <w:szCs w:val="22"/>
          <w:color w:val="auto"/>
        </w:rPr>
        <w:t>(ii):  Missouri</w:t>
      </w:r>
    </w:p>
    <w:p>
      <w:pPr>
        <w:ind w:left="1720"/>
        <w:spacing w:after="0"/>
        <w:rPr>
          <w:sz w:val="20"/>
          <w:szCs w:val="20"/>
          <w:color w:val="auto"/>
        </w:rPr>
      </w:pPr>
      <w:r>
        <w:rPr>
          <w:rFonts w:ascii="Arial" w:cs="Arial" w:eastAsia="Arial" w:hAnsi="Arial"/>
          <w:sz w:val="22"/>
          <w:szCs w:val="22"/>
          <w:color w:val="auto"/>
        </w:rPr>
        <w:t>(iv): Kansas</w:t>
      </w:r>
    </w:p>
    <w:p>
      <w:pPr>
        <w:spacing w:after="0" w:line="175"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 Common Stock</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 983134107</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The reporting person is</w:t>
      </w:r>
      <w:r>
        <w:rPr>
          <w:rFonts w:ascii="Arial" w:cs="Arial" w:eastAsia="Arial" w:hAnsi="Arial"/>
          <w:sz w:val="19"/>
          <w:szCs w:val="19"/>
          <w:color w:val="auto"/>
        </w:rPr>
        <w:t>:</w:t>
      </w:r>
    </w:p>
    <w:p>
      <w:pPr>
        <w:spacing w:after="0" w:line="193" w:lineRule="exact"/>
        <w:rPr>
          <w:sz w:val="20"/>
          <w:szCs w:val="20"/>
          <w:color w:val="auto"/>
        </w:rPr>
      </w:pPr>
    </w:p>
    <w:p>
      <w:pPr>
        <w:ind w:left="2380" w:hanging="670"/>
        <w:spacing w:after="0" w:line="239" w:lineRule="auto"/>
        <w:tabs>
          <w:tab w:leader="none" w:pos="23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Inc., a parent holding company in accordance with Reg. 240.13d-1(b)(1)(ii) (G);</w:t>
      </w:r>
    </w:p>
    <w:p>
      <w:pPr>
        <w:ind w:left="2380" w:hanging="670"/>
        <w:spacing w:after="0" w:line="230" w:lineRule="auto"/>
        <w:tabs>
          <w:tab w:leader="none" w:pos="23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240.13d-1(b)(1)(ii)(G);</w:t>
      </w:r>
    </w:p>
    <w:p>
      <w:pPr>
        <w:spacing w:after="0" w:line="1" w:lineRule="exact"/>
        <w:rPr>
          <w:rFonts w:ascii="Arial" w:cs="Arial" w:eastAsia="Arial" w:hAnsi="Arial"/>
          <w:sz w:val="22"/>
          <w:szCs w:val="22"/>
          <w:color w:val="auto"/>
        </w:rPr>
      </w:pPr>
    </w:p>
    <w:p>
      <w:pPr>
        <w:ind w:left="2380" w:hanging="670"/>
        <w:spacing w:after="0"/>
        <w:tabs>
          <w:tab w:leader="none" w:pos="23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Waddell &amp; Reed, Inc., a broker-dealer registered under section 15 of the Act (15 U.S.C. 78o); and</w:t>
      </w:r>
    </w:p>
    <w:p>
      <w:pPr>
        <w:spacing w:after="0" w:line="24" w:lineRule="exact"/>
        <w:rPr>
          <w:rFonts w:ascii="Arial" w:cs="Arial" w:eastAsia="Arial" w:hAnsi="Arial"/>
          <w:sz w:val="19"/>
          <w:szCs w:val="19"/>
          <w:color w:val="auto"/>
        </w:rPr>
      </w:pPr>
    </w:p>
    <w:p>
      <w:pPr>
        <w:ind w:left="2380" w:right="20" w:hanging="670"/>
        <w:spacing w:after="0" w:line="230" w:lineRule="auto"/>
        <w:tabs>
          <w:tab w:leader="none" w:pos="23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2380" w:hanging="670"/>
        <w:spacing w:after="0" w:line="237" w:lineRule="auto"/>
        <w:tabs>
          <w:tab w:leader="none" w:pos="23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Ivy Investment Management Company, an investment advisor in accordance with Reg. 240.13d-1(b)(1) (ii)(E).</w:t>
      </w:r>
    </w:p>
    <w:p>
      <w:pPr>
        <w:sectPr>
          <w:pgSz w:w="11900" w:h="16838" w:orient="portrait"/>
          <w:cols w:equalWidth="0" w:num="1">
            <w:col w:w="11420"/>
          </w:cols>
          <w:pgMar w:left="240" w:top="267" w:right="239" w:bottom="1440" w:gutter="0" w:footer="0" w:header="0"/>
        </w:sectPr>
      </w:pPr>
    </w:p>
    <w:bookmarkStart w:id="7" w:name="page8"/>
    <w:bookmarkEnd w:id="7"/>
    <w:p>
      <w:pPr>
        <w:spacing w:after="0"/>
        <w:tabs>
          <w:tab w:leader="none" w:pos="168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jc w:val="both"/>
        <w:ind w:firstLine="1712"/>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jc w:val="both"/>
        <w:ind w:firstLine="685"/>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380" w:hanging="670"/>
        <w:spacing w:after="0"/>
        <w:tabs>
          <w:tab w:leader="none" w:pos="2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18,265,453</w:t>
      </w:r>
    </w:p>
    <w:p>
      <w:pPr>
        <w:spacing w:after="0" w:line="192" w:lineRule="exact"/>
        <w:rPr>
          <w:rFonts w:ascii="Arial" w:cs="Arial" w:eastAsia="Arial" w:hAnsi="Arial"/>
          <w:sz w:val="22"/>
          <w:szCs w:val="22"/>
          <w:color w:val="auto"/>
        </w:rPr>
      </w:pPr>
    </w:p>
    <w:p>
      <w:pPr>
        <w:ind w:left="2380" w:hanging="670"/>
        <w:spacing w:after="0"/>
        <w:tabs>
          <w:tab w:leader="none" w:pos="2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14.7</w:t>
      </w:r>
    </w:p>
    <w:p>
      <w:pPr>
        <w:spacing w:after="0" w:line="192" w:lineRule="exact"/>
        <w:rPr>
          <w:rFonts w:ascii="Arial" w:cs="Arial" w:eastAsia="Arial" w:hAnsi="Arial"/>
          <w:sz w:val="22"/>
          <w:szCs w:val="22"/>
          <w:color w:val="auto"/>
        </w:rPr>
      </w:pPr>
    </w:p>
    <w:p>
      <w:pPr>
        <w:ind w:left="2380" w:hanging="670"/>
        <w:spacing w:after="0"/>
        <w:tabs>
          <w:tab w:leader="none" w:pos="2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960" w:hanging="562"/>
        <w:spacing w:after="0"/>
        <w:tabs>
          <w:tab w:leader="none" w:pos="29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52" w:lineRule="exact"/>
        <w:rPr>
          <w:rFonts w:ascii="Arial" w:cs="Arial" w:eastAsia="Arial" w:hAnsi="Arial"/>
          <w:sz w:val="22"/>
          <w:szCs w:val="22"/>
          <w:color w:val="auto"/>
        </w:rPr>
      </w:pPr>
    </w:p>
    <w:p>
      <w:pPr>
        <w:ind w:left="2980"/>
        <w:spacing w:after="0"/>
        <w:rPr>
          <w:rFonts w:ascii="Arial" w:cs="Arial" w:eastAsia="Arial" w:hAnsi="Arial"/>
          <w:sz w:val="22"/>
          <w:szCs w:val="22"/>
          <w:color w:val="auto"/>
        </w:rPr>
      </w:pPr>
      <w:r>
        <w:rPr>
          <w:rFonts w:ascii="Arial" w:cs="Arial" w:eastAsia="Arial" w:hAnsi="Arial"/>
          <w:sz w:val="22"/>
          <w:szCs w:val="22"/>
          <w:color w:val="auto"/>
        </w:rPr>
        <w:t>WDR: 18,265,453 (indirect)</w:t>
      </w:r>
    </w:p>
    <w:p>
      <w:pPr>
        <w:spacing w:after="0" w:line="8" w:lineRule="exact"/>
        <w:rPr>
          <w:rFonts w:ascii="Arial" w:cs="Arial" w:eastAsia="Arial" w:hAnsi="Arial"/>
          <w:sz w:val="22"/>
          <w:szCs w:val="22"/>
          <w:color w:val="auto"/>
        </w:rPr>
      </w:pP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WRFSI: 4,934,723 (indirect)</w:t>
      </w: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WRI: 4,934,723 (indirect)</w:t>
      </w: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WRIMCO: 4,934,723 (direct)</w:t>
      </w:r>
    </w:p>
    <w:p>
      <w:pPr>
        <w:ind w:left="2980"/>
        <w:spacing w:after="0"/>
        <w:rPr>
          <w:rFonts w:ascii="Arial" w:cs="Arial" w:eastAsia="Arial" w:hAnsi="Arial"/>
          <w:sz w:val="22"/>
          <w:szCs w:val="22"/>
          <w:color w:val="auto"/>
        </w:rPr>
      </w:pPr>
      <w:r>
        <w:rPr>
          <w:rFonts w:ascii="Arial" w:cs="Arial" w:eastAsia="Arial" w:hAnsi="Arial"/>
          <w:sz w:val="22"/>
          <w:szCs w:val="22"/>
          <w:color w:val="auto"/>
        </w:rPr>
        <w:t>IICO: 13,330,730 (direct)</w:t>
      </w:r>
    </w:p>
    <w:p>
      <w:pPr>
        <w:spacing w:after="0" w:line="174" w:lineRule="exact"/>
        <w:rPr>
          <w:rFonts w:ascii="Arial" w:cs="Arial" w:eastAsia="Arial" w:hAnsi="Arial"/>
          <w:sz w:val="22"/>
          <w:szCs w:val="22"/>
          <w:color w:val="auto"/>
        </w:rPr>
      </w:pPr>
    </w:p>
    <w:p>
      <w:pPr>
        <w:ind w:left="2960" w:hanging="562"/>
        <w:spacing w:after="0"/>
        <w:tabs>
          <w:tab w:leader="none" w:pos="29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960" w:hanging="562"/>
        <w:spacing w:after="0"/>
        <w:tabs>
          <w:tab w:leader="none" w:pos="29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52" w:lineRule="exact"/>
        <w:rPr>
          <w:rFonts w:ascii="Arial" w:cs="Arial" w:eastAsia="Arial" w:hAnsi="Arial"/>
          <w:sz w:val="22"/>
          <w:szCs w:val="22"/>
          <w:color w:val="auto"/>
        </w:rPr>
      </w:pPr>
    </w:p>
    <w:p>
      <w:pPr>
        <w:ind w:left="2980"/>
        <w:spacing w:after="0"/>
        <w:rPr>
          <w:rFonts w:ascii="Arial" w:cs="Arial" w:eastAsia="Arial" w:hAnsi="Arial"/>
          <w:sz w:val="22"/>
          <w:szCs w:val="22"/>
          <w:color w:val="auto"/>
        </w:rPr>
      </w:pPr>
      <w:r>
        <w:rPr>
          <w:rFonts w:ascii="Arial" w:cs="Arial" w:eastAsia="Arial" w:hAnsi="Arial"/>
          <w:sz w:val="22"/>
          <w:szCs w:val="22"/>
          <w:color w:val="auto"/>
        </w:rPr>
        <w:t>WDR: 18,265,453 (indirect)</w:t>
      </w:r>
    </w:p>
    <w:p>
      <w:pPr>
        <w:spacing w:after="0" w:line="8" w:lineRule="exact"/>
        <w:rPr>
          <w:rFonts w:ascii="Arial" w:cs="Arial" w:eastAsia="Arial" w:hAnsi="Arial"/>
          <w:sz w:val="22"/>
          <w:szCs w:val="22"/>
          <w:color w:val="auto"/>
        </w:rPr>
      </w:pP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WRFSI: 4,934,723 (indirect)</w:t>
      </w: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WRI: 4,934,723 (indirect)</w:t>
      </w:r>
    </w:p>
    <w:p>
      <w:pPr>
        <w:ind w:left="2980"/>
        <w:spacing w:after="0" w:line="230" w:lineRule="auto"/>
        <w:rPr>
          <w:rFonts w:ascii="Arial" w:cs="Arial" w:eastAsia="Arial" w:hAnsi="Arial"/>
          <w:sz w:val="22"/>
          <w:szCs w:val="22"/>
          <w:color w:val="auto"/>
        </w:rPr>
      </w:pPr>
      <w:r>
        <w:rPr>
          <w:rFonts w:ascii="Arial" w:cs="Arial" w:eastAsia="Arial" w:hAnsi="Arial"/>
          <w:sz w:val="22"/>
          <w:szCs w:val="22"/>
          <w:color w:val="auto"/>
        </w:rPr>
        <w:t>WRIMCO: 4,934,723 (direct)</w:t>
      </w:r>
    </w:p>
    <w:p>
      <w:pPr>
        <w:ind w:left="2980"/>
        <w:spacing w:after="0"/>
        <w:rPr>
          <w:rFonts w:ascii="Arial" w:cs="Arial" w:eastAsia="Arial" w:hAnsi="Arial"/>
          <w:sz w:val="22"/>
          <w:szCs w:val="22"/>
          <w:color w:val="auto"/>
        </w:rPr>
      </w:pPr>
      <w:r>
        <w:rPr>
          <w:rFonts w:ascii="Arial" w:cs="Arial" w:eastAsia="Arial" w:hAnsi="Arial"/>
          <w:sz w:val="22"/>
          <w:szCs w:val="22"/>
          <w:color w:val="auto"/>
        </w:rPr>
        <w:t>IICO: 13,330,730 (direct)</w:t>
      </w:r>
    </w:p>
    <w:p>
      <w:pPr>
        <w:sectPr>
          <w:pgSz w:w="11900" w:h="16838" w:orient="portrait"/>
          <w:cols w:equalWidth="0" w:num="1">
            <w:col w:w="11420"/>
          </w:cols>
          <w:pgMar w:left="240" w:top="26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340" w:type="dxa"/>
            <w:vAlign w:val="bottom"/>
            <w:gridSpan w:val="3"/>
          </w:tcPr>
          <w:p>
            <w:pPr>
              <w:ind w:left="700"/>
              <w:spacing w:after="0"/>
              <w:rPr>
                <w:sz w:val="20"/>
                <w:szCs w:val="20"/>
                <w:color w:val="auto"/>
              </w:rPr>
            </w:pPr>
            <w:r>
              <w:rPr>
                <w:rFonts w:ascii="Arial" w:cs="Arial" w:eastAsia="Arial" w:hAnsi="Arial"/>
                <w:sz w:val="22"/>
                <w:szCs w:val="22"/>
                <w:color w:val="auto"/>
                <w:w w:val="93"/>
              </w:rPr>
              <w:t>(iv)   Shared power to dispose or to direct the disposition of: 0</w:t>
            </w:r>
          </w:p>
        </w:tc>
        <w:tc>
          <w:tcPr>
            <w:tcW w:w="3380" w:type="dxa"/>
            <w:vAlign w:val="bottom"/>
          </w:tcPr>
          <w:p>
            <w:pPr>
              <w:spacing w:after="0"/>
              <w:rPr>
                <w:sz w:val="23"/>
                <w:szCs w:val="23"/>
                <w:color w:val="auto"/>
              </w:rPr>
            </w:pPr>
          </w:p>
        </w:tc>
      </w:tr>
      <w:tr>
        <w:trPr>
          <w:trHeight w:val="395"/>
        </w:trPr>
        <w:tc>
          <w:tcPr>
            <w:tcW w:w="1700" w:type="dxa"/>
            <w:vAlign w:val="bottom"/>
            <w:gridSpan w:val="2"/>
          </w:tcPr>
          <w:p>
            <w:pPr>
              <w:spacing w:after="0"/>
              <w:rPr>
                <w:sz w:val="20"/>
                <w:szCs w:val="20"/>
                <w:color w:val="auto"/>
              </w:rPr>
            </w:pPr>
            <w:r>
              <w:rPr>
                <w:rFonts w:ascii="Arial" w:cs="Arial" w:eastAsia="Arial" w:hAnsi="Arial"/>
                <w:sz w:val="22"/>
                <w:szCs w:val="22"/>
                <w:color w:val="auto"/>
              </w:rPr>
              <w:t>Item 5:</w:t>
            </w:r>
          </w:p>
        </w:tc>
        <w:tc>
          <w:tcPr>
            <w:tcW w:w="6340" w:type="dxa"/>
            <w:vAlign w:val="bottom"/>
            <w:gridSpan w:val="3"/>
          </w:tcPr>
          <w:p>
            <w:pPr>
              <w:spacing w:after="0"/>
              <w:rPr>
                <w:sz w:val="20"/>
                <w:szCs w:val="20"/>
                <w:color w:val="auto"/>
              </w:rPr>
            </w:pPr>
            <w:r>
              <w:rPr>
                <w:rFonts w:ascii="Arial" w:cs="Arial" w:eastAsia="Arial" w:hAnsi="Arial"/>
                <w:sz w:val="22"/>
                <w:szCs w:val="22"/>
                <w:color w:val="auto"/>
              </w:rPr>
              <w:t>Ownership of Five Percent or Less of a Class:</w:t>
            </w:r>
          </w:p>
        </w:tc>
        <w:tc>
          <w:tcPr>
            <w:tcW w:w="338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r>
      <w:tr>
        <w:trPr>
          <w:trHeight w:val="404"/>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720" w:type="dxa"/>
            <w:vAlign w:val="bottom"/>
            <w:gridSpan w:val="4"/>
          </w:tcPr>
          <w:p>
            <w:pPr>
              <w:ind w:left="2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w:t>
            </w:r>
          </w:p>
        </w:tc>
      </w:tr>
      <w:tr>
        <w:trPr>
          <w:trHeight w:val="275"/>
        </w:trPr>
        <w:tc>
          <w:tcPr>
            <w:tcW w:w="8040" w:type="dxa"/>
            <w:vAlign w:val="bottom"/>
            <w:gridSpan w:val="5"/>
          </w:tcPr>
          <w:p>
            <w:pPr>
              <w:spacing w:after="0"/>
              <w:rPr>
                <w:sz w:val="20"/>
                <w:szCs w:val="20"/>
                <w:color w:val="auto"/>
              </w:rPr>
            </w:pPr>
            <w:r>
              <w:rPr>
                <w:rFonts w:ascii="Arial" w:cs="Arial" w:eastAsia="Arial" w:hAnsi="Arial"/>
                <w:sz w:val="22"/>
                <w:szCs w:val="22"/>
                <w:color w:val="auto"/>
                <w:w w:val="92"/>
              </w:rPr>
              <w:t>the beneficial owner of more than 5 percent of the class of securities, check the following:</w:t>
            </w:r>
          </w:p>
        </w:tc>
        <w:tc>
          <w:tcPr>
            <w:tcW w:w="3380" w:type="dxa"/>
            <w:vAlign w:val="bottom"/>
          </w:tcPr>
          <w:p>
            <w:pPr>
              <w:jc w:val="right"/>
              <w:ind w:right="2832"/>
              <w:spacing w:after="0"/>
              <w:rPr>
                <w:sz w:val="20"/>
                <w:szCs w:val="20"/>
                <w:color w:val="auto"/>
              </w:rPr>
            </w:pPr>
            <w:r>
              <w:rPr>
                <w:rFonts w:ascii="Arial" w:cs="Arial" w:eastAsia="Arial" w:hAnsi="Arial"/>
                <w:sz w:val="22"/>
                <w:szCs w:val="22"/>
                <w:color w:val="auto"/>
              </w:rPr>
              <w:t>[ ]</w:t>
            </w:r>
          </w:p>
        </w:tc>
      </w:tr>
      <w:tr>
        <w:trPr>
          <w:trHeight w:val="395"/>
        </w:trPr>
        <w:tc>
          <w:tcPr>
            <w:tcW w:w="1700" w:type="dxa"/>
            <w:vAlign w:val="bottom"/>
            <w:gridSpan w:val="2"/>
          </w:tcPr>
          <w:p>
            <w:pPr>
              <w:spacing w:after="0"/>
              <w:rPr>
                <w:sz w:val="20"/>
                <w:szCs w:val="20"/>
                <w:color w:val="auto"/>
              </w:rPr>
            </w:pPr>
            <w:r>
              <w:rPr>
                <w:rFonts w:ascii="Arial" w:cs="Arial" w:eastAsia="Arial" w:hAnsi="Arial"/>
                <w:sz w:val="22"/>
                <w:szCs w:val="22"/>
                <w:color w:val="auto"/>
              </w:rPr>
              <w:t>Item 6:</w:t>
            </w:r>
          </w:p>
        </w:tc>
        <w:tc>
          <w:tcPr>
            <w:tcW w:w="6340" w:type="dxa"/>
            <w:vAlign w:val="bottom"/>
            <w:gridSpan w:val="3"/>
          </w:tcPr>
          <w:p>
            <w:pPr>
              <w:spacing w:after="0"/>
              <w:rPr>
                <w:sz w:val="20"/>
                <w:szCs w:val="20"/>
                <w:color w:val="auto"/>
              </w:rPr>
            </w:pPr>
            <w:r>
              <w:rPr>
                <w:rFonts w:ascii="Arial" w:cs="Arial" w:eastAsia="Arial" w:hAnsi="Arial"/>
                <w:sz w:val="22"/>
                <w:szCs w:val="22"/>
                <w:color w:val="auto"/>
                <w:w w:val="96"/>
              </w:rPr>
              <w:t>Ownership of More than Five Percent on Behalf of Another Person:</w:t>
            </w:r>
          </w:p>
        </w:tc>
        <w:tc>
          <w:tcPr>
            <w:tcW w:w="338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1712"/>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Funds Asset Strategy Fund, a company registered under the Investment Company Act of 1940, has an interest in more than 5% of the class of securities reported herein.</w:t>
      </w:r>
    </w:p>
    <w:p>
      <w:pPr>
        <w:spacing w:after="0" w:line="172"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1"/>
          <w:szCs w:val="21"/>
          <w:u w:val="single" w:color="auto"/>
          <w:color w:val="auto"/>
        </w:rPr>
        <w:t>Identification and Classification of the Subsidiary Which Acquired the Security Being Reported on By the</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22"/>
          <w:szCs w:val="22"/>
          <w:u w:val="single" w:color="auto"/>
          <w:color w:val="auto"/>
        </w:rPr>
        <w:t>Parent Holding Company</w:t>
      </w:r>
      <w:r>
        <w:rPr>
          <w:rFonts w:ascii="Arial" w:cs="Arial" w:eastAsia="Arial" w:hAnsi="Arial"/>
          <w:sz w:val="22"/>
          <w:szCs w:val="22"/>
          <w:color w:val="auto"/>
        </w:rPr>
        <w:t>:</w:t>
      </w:r>
    </w:p>
    <w:p>
      <w:pPr>
        <w:spacing w:after="0" w:line="134"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67" w:right="239" w:bottom="1440" w:gutter="0" w:footer="0" w:header="0"/>
        </w:sectPr>
      </w:pPr>
    </w:p>
    <w:bookmarkStart w:id="9" w:name="page10"/>
    <w:bookmarkEnd w:id="9"/>
    <w:p>
      <w:pPr>
        <w:spacing w:after="0"/>
        <w:tabs>
          <w:tab w:leader="none" w:pos="168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jc w:val="both"/>
        <w:ind w:firstLine="171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2011</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35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468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5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rPr>
              <w:t>Title: Attorney-In-Fact</w:t>
            </w:r>
          </w:p>
        </w:tc>
      </w:tr>
      <w:tr>
        <w:trPr>
          <w:trHeight w:val="675"/>
        </w:trPr>
        <w:tc>
          <w:tcPr>
            <w:tcW w:w="35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35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468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5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680" w:type="dxa"/>
            <w:vAlign w:val="bottom"/>
            <w:gridSpan w:val="3"/>
          </w:tcPr>
          <w:p>
            <w:pPr>
              <w:ind w:left="140"/>
              <w:spacing w:after="0"/>
              <w:rPr>
                <w:sz w:val="20"/>
                <w:szCs w:val="20"/>
                <w:color w:val="auto"/>
              </w:rPr>
            </w:pPr>
            <w:r>
              <w:rPr>
                <w:rFonts w:ascii="Arial" w:cs="Arial" w:eastAsia="Arial" w:hAnsi="Arial"/>
                <w:sz w:val="22"/>
                <w:szCs w:val="22"/>
                <w:color w:val="auto"/>
              </w:rPr>
              <w:t>Title: Attorney-In-Fact</w:t>
            </w:r>
          </w:p>
        </w:tc>
      </w:tr>
      <w:tr>
        <w:trPr>
          <w:trHeight w:val="675"/>
        </w:trPr>
        <w:tc>
          <w:tcPr>
            <w:tcW w:w="3520" w:type="dxa"/>
            <w:vAlign w:val="bottom"/>
            <w:gridSpan w:val="3"/>
          </w:tcPr>
          <w:p>
            <w:pPr>
              <w:spacing w:after="0"/>
              <w:rPr>
                <w:sz w:val="20"/>
                <w:szCs w:val="20"/>
                <w:color w:val="auto"/>
              </w:rPr>
            </w:pPr>
            <w:r>
              <w:rPr>
                <w:rFonts w:ascii="Arial" w:cs="Arial" w:eastAsia="Arial" w:hAnsi="Arial"/>
                <w:sz w:val="22"/>
                <w:szCs w:val="22"/>
                <w:color w:val="auto"/>
                <w:w w:val="92"/>
              </w:rPr>
              <w:t>Ivy Investment Management Company</w:t>
            </w: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352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52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35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80" w:lineRule="exact"/>
        <w:rPr>
          <w:sz w:val="20"/>
          <w:szCs w:val="20"/>
          <w:color w:val="auto"/>
        </w:rPr>
      </w:pPr>
    </w:p>
    <w:p>
      <w:pPr>
        <w:ind w:left="1480" w:hanging="1212"/>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22"/>
          <w:szCs w:val="22"/>
          <w:color w:val="auto"/>
        </w:rPr>
        <w:t>Joint Filing Agreement</w:t>
      </w:r>
    </w:p>
    <w:p>
      <w:pPr>
        <w:spacing w:after="0" w:line="98" w:lineRule="exact"/>
        <w:rPr>
          <w:sz w:val="20"/>
          <w:szCs w:val="20"/>
          <w:color w:val="auto"/>
        </w:rPr>
      </w:pPr>
    </w:p>
    <w:p>
      <w:pPr>
        <w:ind w:left="1480" w:hanging="1212"/>
        <w:spacing w:after="0" w:line="251"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65" w:lineRule="exact"/>
        <w:rPr>
          <w:sz w:val="20"/>
          <w:szCs w:val="20"/>
          <w:color w:val="auto"/>
        </w:rPr>
      </w:pPr>
    </w:p>
    <w:p>
      <w:pPr>
        <w:ind w:left="1480" w:hanging="1212"/>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22"/>
          <w:szCs w:val="22"/>
          <w:color w:val="auto"/>
        </w:rPr>
        <w:t>Power of Attorney</w:t>
      </w:r>
    </w:p>
    <w:p>
      <w:pPr>
        <w:sectPr>
          <w:pgSz w:w="11900" w:h="16838" w:orient="portrait"/>
          <w:cols w:equalWidth="0" w:num="1">
            <w:col w:w="11400"/>
          </w:cols>
          <w:pgMar w:left="260" w:top="26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jc w:val="both"/>
        <w:ind w:firstLine="1008"/>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446"/>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446"/>
        </w:trPr>
        <w:tc>
          <w:tcPr>
            <w:tcW w:w="47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839" w:firstLine="648"/>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72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320"/>
        <w:spacing w:after="0" w:line="238" w:lineRule="auto"/>
        <w:rPr>
          <w:sz w:val="20"/>
          <w:szCs w:val="20"/>
          <w:color w:val="auto"/>
        </w:rPr>
      </w:pPr>
      <w:r>
        <w:rPr>
          <w:rFonts w:ascii="Arial" w:cs="Arial" w:eastAsia="Arial" w:hAnsi="Arial"/>
          <w:sz w:val="22"/>
          <w:szCs w:val="22"/>
          <w:color w:val="auto"/>
        </w:rPr>
        <w:t>Henry J. Herrmann</w:t>
      </w:r>
    </w:p>
    <w:p>
      <w:pPr>
        <w:ind w:left="73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760"/>
        <w:spacing w:after="0" w:line="238" w:lineRule="auto"/>
        <w:rPr>
          <w:sz w:val="20"/>
          <w:szCs w:val="20"/>
          <w:color w:val="auto"/>
        </w:rPr>
      </w:pPr>
      <w:r>
        <w:rPr>
          <w:rFonts w:ascii="Arial" w:cs="Arial" w:eastAsia="Arial" w:hAnsi="Arial"/>
          <w:sz w:val="22"/>
          <w:szCs w:val="22"/>
          <w:color w:val="auto"/>
        </w:rPr>
        <w:t>Wendy J. Hills</w:t>
      </w:r>
    </w:p>
    <w:p>
      <w:pPr>
        <w:ind w:left="76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677"/>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72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39"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760"/>
        <w:spacing w:after="0" w:line="238" w:lineRule="auto"/>
        <w:rPr>
          <w:sz w:val="20"/>
          <w:szCs w:val="20"/>
          <w:color w:val="auto"/>
        </w:rPr>
      </w:pPr>
      <w:r>
        <w:rPr>
          <w:rFonts w:ascii="Arial" w:cs="Arial" w:eastAsia="Arial" w:hAnsi="Arial"/>
          <w:sz w:val="22"/>
          <w:szCs w:val="22"/>
          <w:color w:val="auto"/>
        </w:rPr>
        <w:t>Wendy J. Hills</w:t>
      </w:r>
    </w:p>
    <w:p>
      <w:pPr>
        <w:ind w:left="76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72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7280"/>
        <w:spacing w:after="0" w:line="238" w:lineRule="auto"/>
        <w:rPr>
          <w:sz w:val="20"/>
          <w:szCs w:val="20"/>
          <w:color w:val="auto"/>
        </w:rPr>
      </w:pPr>
      <w:r>
        <w:rPr>
          <w:rFonts w:ascii="Arial" w:cs="Arial" w:eastAsia="Arial" w:hAnsi="Arial"/>
          <w:sz w:val="22"/>
          <w:szCs w:val="22"/>
          <w:color w:val="auto"/>
        </w:rPr>
        <w:t>Thomas W. Butch</w:t>
      </w:r>
    </w:p>
    <w:p>
      <w:pPr>
        <w:ind w:left="728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760"/>
        <w:spacing w:after="0" w:line="238" w:lineRule="auto"/>
        <w:rPr>
          <w:sz w:val="20"/>
          <w:szCs w:val="20"/>
          <w:color w:val="auto"/>
        </w:rPr>
      </w:pPr>
      <w:r>
        <w:rPr>
          <w:rFonts w:ascii="Arial" w:cs="Arial" w:eastAsia="Arial" w:hAnsi="Arial"/>
          <w:sz w:val="22"/>
          <w:szCs w:val="22"/>
          <w:color w:val="auto"/>
        </w:rPr>
        <w:t>Wendy J. Hills</w:t>
      </w:r>
    </w:p>
    <w:p>
      <w:pPr>
        <w:ind w:left="76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jc w:val="both"/>
        <w:ind w:firstLine="698"/>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jc w:val="both"/>
        <w:ind w:firstLine="72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239"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760"/>
        <w:spacing w:after="0" w:line="238" w:lineRule="auto"/>
        <w:rPr>
          <w:sz w:val="20"/>
          <w:szCs w:val="20"/>
          <w:color w:val="auto"/>
        </w:rPr>
      </w:pPr>
      <w:r>
        <w:rPr>
          <w:rFonts w:ascii="Arial" w:cs="Arial" w:eastAsia="Arial" w:hAnsi="Arial"/>
          <w:sz w:val="22"/>
          <w:szCs w:val="22"/>
          <w:color w:val="auto"/>
        </w:rPr>
        <w:t>Wendy J. Hills</w:t>
      </w:r>
    </w:p>
    <w:p>
      <w:pPr>
        <w:ind w:left="76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jc w:val="both"/>
        <w:ind w:firstLine="729"/>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11</w:t>
      </w:r>
      <w:r>
        <w:rPr>
          <w:rFonts w:ascii="Arial" w:cs="Arial" w:eastAsia="Arial" w:hAnsi="Arial"/>
          <w:sz w:val="10"/>
          <w:szCs w:val="10"/>
          <w:color w:val="auto"/>
        </w:rPr>
        <w:t>th</w:t>
      </w:r>
      <w:r>
        <w:rPr>
          <w:rFonts w:ascii="Arial" w:cs="Arial" w:eastAsia="Arial" w:hAnsi="Arial"/>
          <w:sz w:val="19"/>
          <w:szCs w:val="19"/>
          <w:color w:val="auto"/>
        </w:rPr>
        <w:t xml:space="preserve"> day of November, 2010.</w:t>
      </w:r>
    </w:p>
    <w:p>
      <w:pPr>
        <w:spacing w:after="0" w:line="200" w:lineRule="exact"/>
        <w:rPr>
          <w:sz w:val="20"/>
          <w:szCs w:val="20"/>
          <w:color w:val="auto"/>
        </w:rPr>
      </w:pPr>
    </w:p>
    <w:p>
      <w:pPr>
        <w:spacing w:after="0" w:line="249"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7280"/>
        <w:spacing w:after="0" w:line="238" w:lineRule="auto"/>
        <w:rPr>
          <w:sz w:val="20"/>
          <w:szCs w:val="20"/>
          <w:color w:val="auto"/>
        </w:rPr>
      </w:pPr>
      <w:r>
        <w:rPr>
          <w:rFonts w:ascii="Arial" w:cs="Arial" w:eastAsia="Arial" w:hAnsi="Arial"/>
          <w:sz w:val="22"/>
          <w:szCs w:val="22"/>
          <w:color w:val="auto"/>
        </w:rPr>
        <w:t>Henry J. Herrmann</w:t>
      </w:r>
    </w:p>
    <w:p>
      <w:pPr>
        <w:ind w:left="7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19"/>
          <w:szCs w:val="19"/>
          <w:u w:val="single" w:color="auto"/>
          <w:color w:val="auto"/>
        </w:rPr>
        <w:t>/s/ Wendy J. Hills</w:t>
      </w:r>
    </w:p>
    <w:p>
      <w:pPr>
        <w:ind w:left="760"/>
        <w:spacing w:after="0" w:line="238" w:lineRule="auto"/>
        <w:rPr>
          <w:sz w:val="20"/>
          <w:szCs w:val="20"/>
          <w:color w:val="auto"/>
        </w:rPr>
      </w:pPr>
      <w:r>
        <w:rPr>
          <w:rFonts w:ascii="Arial" w:cs="Arial" w:eastAsia="Arial" w:hAnsi="Arial"/>
          <w:sz w:val="22"/>
          <w:szCs w:val="22"/>
          <w:color w:val="auto"/>
        </w:rPr>
        <w:t>Wendy J. Hills</w:t>
      </w:r>
    </w:p>
    <w:p>
      <w:pPr>
        <w:ind w:left="76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2019-12-10T22:37:48Z</dcterms:created>
  <dcterms:modified xsi:type="dcterms:W3CDTF">2019-12-10T22:37:48Z</dcterms:modified>
</cp:coreProperties>
</file>