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8572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98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Billings Craig Scott</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8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LAS VEGAS</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89109</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01/09/2024</w:t>
            </w:r>
          </w:p>
        </w:tc>
        <w:tc>
          <w:tcPr>
            <w:tcW w:w="1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9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01/09/2024</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28,868</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276,281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01/09/2024</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11,451</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95.26</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264,830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01/09/2024</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38,737</w:t>
            </w:r>
            <w:r>
              <w:rPr>
                <w:rFonts w:ascii="Times New Roman" w:cs="Times New Roman" w:eastAsia="Times New Roman" w:hAnsi="Times New Roman"/>
                <w:sz w:val="21"/>
                <w:szCs w:val="21"/>
                <w:color w:val="008000"/>
                <w:vertAlign w:val="superscript"/>
              </w:rPr>
              <w:t>(3)</w:t>
            </w:r>
          </w:p>
        </w:tc>
        <w:tc>
          <w:tcPr>
            <w:tcW w:w="62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303,567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01/09/2024</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25,825</w:t>
            </w:r>
            <w:r>
              <w:rPr>
                <w:rFonts w:ascii="Times New Roman" w:cs="Times New Roman" w:eastAsia="Times New Roman" w:hAnsi="Times New Roman"/>
                <w:sz w:val="21"/>
                <w:szCs w:val="21"/>
                <w:color w:val="008000"/>
                <w:vertAlign w:val="superscript"/>
              </w:rPr>
              <w:t>(4)</w:t>
            </w:r>
          </w:p>
        </w:tc>
        <w:tc>
          <w:tcPr>
            <w:tcW w:w="62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329,392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jc w:val="center"/>
              <w:ind w:left="69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10"/>
          </w:tcPr>
          <w:p>
            <w:pPr>
              <w:jc w:val="center"/>
              <w:ind w:right="1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01/09/2024</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21,521</w:t>
            </w:r>
          </w:p>
        </w:tc>
        <w:tc>
          <w:tcPr>
            <w:tcW w:w="3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01/01/2027</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01/01/2027</w:t>
            </w:r>
          </w:p>
        </w:tc>
        <w:tc>
          <w:tcPr>
            <w:tcW w:w="620" w:type="dxa"/>
            <w:vAlign w:val="bottom"/>
          </w:tcPr>
          <w:p>
            <w:pPr>
              <w:jc w:val="right"/>
              <w:ind w:right="135"/>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89"/>
              </w:rPr>
              <w:t>21,521</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-2083435</wp:posOffset>
            </wp:positionV>
            <wp:extent cx="29210" cy="2088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88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(the "Plan"), which shares vested immediately upon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immediately vested stock granted on January 9, 2024.</w:t>
      </w:r>
    </w:p>
    <w:p>
      <w:pPr>
        <w:spacing w:after="0" w:line="42" w:lineRule="exact"/>
        <w:rPr>
          <w:rFonts w:ascii="Times New Roman" w:cs="Times New Roman" w:eastAsia="Times New Roman" w:hAnsi="Times New Roman"/>
          <w:sz w:val="13"/>
          <w:szCs w:val="13"/>
          <w:color w:val="008000"/>
        </w:rPr>
      </w:pPr>
    </w:p>
    <w:p>
      <w:pPr>
        <w:ind w:left="40" w:right="2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conditioned on continued service through January 9, 2027, with 1/3 of the shares vesting on each of the three consecutive anniversary dates from the date of grant;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jc w:val="both"/>
        <w:ind w:left="40" w:right="2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based on achievement of pre-established financial performance goals in each of the years ended December 31, 2024, 2025 and 2026, and if met, 1/3 of the shares will vest on each of the dates of February 28, 2025, 2026 and 2027;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ind w:left="40" w:right="16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share units ("PSUs") pursuant to the Plan. Each PSU represents the right to receive between 0 and 1.6 shares of Company common stock depending on the performance of the common stock from January 1, 2024 to January 1, 2027 (the "Vesting Date"), with such performance determined as the multiple of the volume-weighted average closing price of Company common stock over the 60 trading days preceding the Vesting Date, as adjusted to include dividends paid during the term of the PSU, to the volume-weighted average closing price of Company common stock over the 60 trading days preceding January 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01/11/2024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Craig 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290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032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917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2024-01-11T18:09:15Z</dcterms:created>
  <dcterms:modified xsi:type="dcterms:W3CDTF">2024-01-11T18:09:15Z</dcterms:modified>
</cp:coreProperties>
</file>