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October 7, 2009</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its Charter)</w:t>
      </w:r>
    </w:p>
    <w:p>
      <w:pPr>
        <w:spacing w:after="0" w:line="224" w:lineRule="exact"/>
        <w:rPr>
          <w:sz w:val="24"/>
          <w:szCs w:val="24"/>
          <w:color w:val="auto"/>
        </w:rPr>
      </w:pPr>
    </w:p>
    <w:tbl>
      <w:tblPr>
        <w:tblLayout w:type="fixed"/>
        <w:tblInd w:w="700" w:type="dxa"/>
        <w:tblCellMar>
          <w:top w:w="0" w:type="dxa"/>
          <w:left w:w="0" w:type="dxa"/>
          <w:bottom w:w="0" w:type="dxa"/>
          <w:right w:w="0" w:type="dxa"/>
        </w:tblCellMar>
      </w:tblPr>
      <w:tr>
        <w:trPr>
          <w:trHeight w:val="231"/>
        </w:trPr>
        <w:tc>
          <w:tcPr>
            <w:tcW w:w="2340" w:type="dxa"/>
            <w:vAlign w:val="bottom"/>
          </w:tcPr>
          <w:p>
            <w:pPr>
              <w:jc w:val="center"/>
              <w:ind w:right="183"/>
              <w:spacing w:after="0"/>
              <w:rPr>
                <w:sz w:val="20"/>
                <w:szCs w:val="20"/>
                <w:color w:val="auto"/>
              </w:rPr>
            </w:pPr>
            <w:r>
              <w:rPr>
                <w:rFonts w:ascii="Arial" w:cs="Arial" w:eastAsia="Arial" w:hAnsi="Arial"/>
                <w:sz w:val="19"/>
                <w:szCs w:val="19"/>
                <w:b w:val="1"/>
                <w:bCs w:val="1"/>
                <w:color w:val="auto"/>
                <w:w w:val="91"/>
              </w:rPr>
              <w:t>Nevada</w:t>
            </w:r>
          </w:p>
        </w:tc>
        <w:tc>
          <w:tcPr>
            <w:tcW w:w="5500" w:type="dxa"/>
            <w:vAlign w:val="bottom"/>
          </w:tcPr>
          <w:p>
            <w:pPr>
              <w:jc w:val="center"/>
              <w:ind w:right="43"/>
              <w:spacing w:after="0"/>
              <w:rPr>
                <w:sz w:val="20"/>
                <w:szCs w:val="20"/>
                <w:color w:val="auto"/>
              </w:rPr>
            </w:pPr>
            <w:r>
              <w:rPr>
                <w:rFonts w:ascii="Arial" w:cs="Arial" w:eastAsia="Arial" w:hAnsi="Arial"/>
                <w:sz w:val="19"/>
                <w:szCs w:val="19"/>
                <w:b w:val="1"/>
                <w:bCs w:val="1"/>
                <w:color w:val="auto"/>
                <w:w w:val="92"/>
              </w:rPr>
              <w:t>000-50028</w:t>
            </w:r>
          </w:p>
        </w:tc>
        <w:tc>
          <w:tcPr>
            <w:tcW w:w="1900" w:type="dxa"/>
            <w:vAlign w:val="bottom"/>
          </w:tcPr>
          <w:p>
            <w:pPr>
              <w:jc w:val="center"/>
              <w:ind w:left="34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340" w:type="dxa"/>
            <w:vAlign w:val="bottom"/>
          </w:tcPr>
          <w:p>
            <w:pPr>
              <w:jc w:val="center"/>
              <w:ind w:right="203"/>
              <w:spacing w:after="0"/>
              <w:rPr>
                <w:sz w:val="20"/>
                <w:szCs w:val="20"/>
                <w:color w:val="auto"/>
              </w:rPr>
            </w:pPr>
            <w:r>
              <w:rPr>
                <w:rFonts w:ascii="Arial" w:cs="Arial" w:eastAsia="Arial" w:hAnsi="Arial"/>
                <w:sz w:val="19"/>
                <w:szCs w:val="19"/>
                <w:color w:val="auto"/>
                <w:w w:val="94"/>
              </w:rPr>
              <w:t>(State or other jurisdiction</w:t>
            </w:r>
          </w:p>
        </w:tc>
        <w:tc>
          <w:tcPr>
            <w:tcW w:w="5500" w:type="dxa"/>
            <w:vAlign w:val="bottom"/>
          </w:tcPr>
          <w:p>
            <w:pPr>
              <w:jc w:val="center"/>
              <w:ind w:right="43"/>
              <w:spacing w:after="0"/>
              <w:rPr>
                <w:sz w:val="20"/>
                <w:szCs w:val="20"/>
                <w:color w:val="auto"/>
              </w:rPr>
            </w:pPr>
            <w:r>
              <w:rPr>
                <w:rFonts w:ascii="Arial" w:cs="Arial" w:eastAsia="Arial" w:hAnsi="Arial"/>
                <w:sz w:val="19"/>
                <w:szCs w:val="19"/>
                <w:color w:val="auto"/>
                <w:w w:val="95"/>
              </w:rPr>
              <w:t>(Commission File</w:t>
            </w:r>
          </w:p>
        </w:tc>
        <w:tc>
          <w:tcPr>
            <w:tcW w:w="1900" w:type="dxa"/>
            <w:vAlign w:val="bottom"/>
          </w:tcPr>
          <w:p>
            <w:pPr>
              <w:jc w:val="center"/>
              <w:ind w:left="343"/>
              <w:spacing w:after="0"/>
              <w:rPr>
                <w:sz w:val="20"/>
                <w:szCs w:val="20"/>
                <w:color w:val="auto"/>
              </w:rPr>
            </w:pPr>
            <w:r>
              <w:rPr>
                <w:rFonts w:ascii="Arial" w:cs="Arial" w:eastAsia="Arial" w:hAnsi="Arial"/>
                <w:sz w:val="19"/>
                <w:szCs w:val="19"/>
                <w:color w:val="auto"/>
                <w:w w:val="96"/>
              </w:rPr>
              <w:t>(I.R.S. Employer</w:t>
            </w:r>
          </w:p>
        </w:tc>
      </w:tr>
      <w:tr>
        <w:trPr>
          <w:trHeight w:val="247"/>
        </w:trPr>
        <w:tc>
          <w:tcPr>
            <w:tcW w:w="2340" w:type="dxa"/>
            <w:vAlign w:val="bottom"/>
          </w:tcPr>
          <w:p>
            <w:pPr>
              <w:jc w:val="center"/>
              <w:ind w:right="203"/>
              <w:spacing w:after="0"/>
              <w:rPr>
                <w:sz w:val="20"/>
                <w:szCs w:val="20"/>
                <w:color w:val="auto"/>
              </w:rPr>
            </w:pPr>
            <w:r>
              <w:rPr>
                <w:rFonts w:ascii="Arial" w:cs="Arial" w:eastAsia="Arial" w:hAnsi="Arial"/>
                <w:sz w:val="19"/>
                <w:szCs w:val="19"/>
                <w:color w:val="auto"/>
                <w:w w:val="96"/>
              </w:rPr>
              <w:t>of incorporation)</w:t>
            </w:r>
          </w:p>
        </w:tc>
        <w:tc>
          <w:tcPr>
            <w:tcW w:w="5500" w:type="dxa"/>
            <w:vAlign w:val="bottom"/>
          </w:tcPr>
          <w:p>
            <w:pPr>
              <w:jc w:val="center"/>
              <w:ind w:right="43"/>
              <w:spacing w:after="0"/>
              <w:rPr>
                <w:sz w:val="20"/>
                <w:szCs w:val="20"/>
                <w:color w:val="auto"/>
              </w:rPr>
            </w:pPr>
            <w:r>
              <w:rPr>
                <w:rFonts w:ascii="Arial" w:cs="Arial" w:eastAsia="Arial" w:hAnsi="Arial"/>
                <w:sz w:val="19"/>
                <w:szCs w:val="19"/>
                <w:color w:val="auto"/>
                <w:w w:val="97"/>
              </w:rPr>
              <w:t>Number)</w:t>
            </w:r>
          </w:p>
        </w:tc>
        <w:tc>
          <w:tcPr>
            <w:tcW w:w="1900" w:type="dxa"/>
            <w:vAlign w:val="bottom"/>
          </w:tcPr>
          <w:p>
            <w:pPr>
              <w:jc w:val="center"/>
              <w:ind w:left="343"/>
              <w:spacing w:after="0"/>
              <w:rPr>
                <w:sz w:val="20"/>
                <w:szCs w:val="20"/>
                <w:color w:val="auto"/>
              </w:rPr>
            </w:pPr>
            <w:r>
              <w:rPr>
                <w:rFonts w:ascii="Arial" w:cs="Arial" w:eastAsia="Arial" w:hAnsi="Arial"/>
                <w:sz w:val="19"/>
                <w:szCs w:val="19"/>
                <w:color w:val="auto"/>
                <w:w w:val="98"/>
              </w:rPr>
              <w:t>Identification No.)</w:t>
            </w:r>
          </w:p>
        </w:tc>
      </w:tr>
      <w:tr>
        <w:trPr>
          <w:trHeight w:val="675"/>
        </w:trPr>
        <w:tc>
          <w:tcPr>
            <w:tcW w:w="2340" w:type="dxa"/>
            <w:vAlign w:val="bottom"/>
          </w:tcPr>
          <w:p>
            <w:pPr>
              <w:spacing w:after="0"/>
              <w:rPr>
                <w:sz w:val="24"/>
                <w:szCs w:val="24"/>
                <w:color w:val="auto"/>
              </w:rPr>
            </w:pPr>
          </w:p>
        </w:tc>
        <w:tc>
          <w:tcPr>
            <w:tcW w:w="5500" w:type="dxa"/>
            <w:vAlign w:val="bottom"/>
          </w:tcPr>
          <w:p>
            <w:pPr>
              <w:jc w:val="center"/>
              <w:ind w:right="43"/>
              <w:spacing w:after="0"/>
              <w:rPr>
                <w:sz w:val="20"/>
                <w:szCs w:val="20"/>
                <w:color w:val="auto"/>
              </w:rPr>
            </w:pPr>
            <w:r>
              <w:rPr>
                <w:rFonts w:ascii="Arial" w:cs="Arial" w:eastAsia="Arial" w:hAnsi="Arial"/>
                <w:sz w:val="19"/>
                <w:szCs w:val="19"/>
                <w:b w:val="1"/>
                <w:bCs w:val="1"/>
                <w:color w:val="auto"/>
                <w:w w:val="91"/>
              </w:rPr>
              <w:t>3131 Las Vegas Boulevard South</w:t>
            </w:r>
          </w:p>
        </w:tc>
        <w:tc>
          <w:tcPr>
            <w:tcW w:w="1900" w:type="dxa"/>
            <w:vAlign w:val="bottom"/>
          </w:tcPr>
          <w:p>
            <w:pPr>
              <w:spacing w:after="0"/>
              <w:rPr>
                <w:sz w:val="24"/>
                <w:szCs w:val="24"/>
                <w:color w:val="auto"/>
              </w:rPr>
            </w:pPr>
          </w:p>
        </w:tc>
      </w:tr>
      <w:tr>
        <w:trPr>
          <w:trHeight w:val="231"/>
        </w:trPr>
        <w:tc>
          <w:tcPr>
            <w:tcW w:w="2340" w:type="dxa"/>
            <w:vAlign w:val="bottom"/>
          </w:tcPr>
          <w:p>
            <w:pPr>
              <w:spacing w:after="0"/>
              <w:rPr>
                <w:sz w:val="20"/>
                <w:szCs w:val="20"/>
                <w:color w:val="auto"/>
              </w:rPr>
            </w:pPr>
          </w:p>
        </w:tc>
        <w:tc>
          <w:tcPr>
            <w:tcW w:w="5500" w:type="dxa"/>
            <w:vAlign w:val="bottom"/>
          </w:tcPr>
          <w:p>
            <w:pPr>
              <w:jc w:val="center"/>
              <w:ind w:right="43"/>
              <w:spacing w:after="0"/>
              <w:rPr>
                <w:sz w:val="20"/>
                <w:szCs w:val="20"/>
                <w:color w:val="auto"/>
              </w:rPr>
            </w:pPr>
            <w:r>
              <w:rPr>
                <w:rFonts w:ascii="Arial" w:cs="Arial" w:eastAsia="Arial" w:hAnsi="Arial"/>
                <w:sz w:val="19"/>
                <w:szCs w:val="19"/>
                <w:b w:val="1"/>
                <w:bCs w:val="1"/>
                <w:color w:val="auto"/>
                <w:w w:val="90"/>
              </w:rPr>
              <w:t>Las Vegas, Nevada 89109</w:t>
            </w:r>
          </w:p>
        </w:tc>
        <w:tc>
          <w:tcPr>
            <w:tcW w:w="1900" w:type="dxa"/>
            <w:vAlign w:val="bottom"/>
          </w:tcPr>
          <w:p>
            <w:pPr>
              <w:spacing w:after="0"/>
              <w:rPr>
                <w:sz w:val="20"/>
                <w:szCs w:val="20"/>
                <w:color w:val="auto"/>
              </w:rPr>
            </w:pPr>
          </w:p>
        </w:tc>
      </w:tr>
      <w:tr>
        <w:trPr>
          <w:trHeight w:val="247"/>
        </w:trPr>
        <w:tc>
          <w:tcPr>
            <w:tcW w:w="2340" w:type="dxa"/>
            <w:vAlign w:val="bottom"/>
          </w:tcPr>
          <w:p>
            <w:pPr>
              <w:spacing w:after="0"/>
              <w:rPr>
                <w:sz w:val="21"/>
                <w:szCs w:val="21"/>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color w:val="auto"/>
                <w:w w:val="94"/>
              </w:rPr>
              <w:t>(Address of principal executive offices) (Zip Code)</w:t>
            </w:r>
          </w:p>
        </w:tc>
        <w:tc>
          <w:tcPr>
            <w:tcW w:w="1900" w:type="dxa"/>
            <w:vAlign w:val="bottom"/>
          </w:tcPr>
          <w:p>
            <w:pPr>
              <w:spacing w:after="0"/>
              <w:rPr>
                <w:sz w:val="21"/>
                <w:szCs w:val="21"/>
                <w:color w:val="auto"/>
              </w:rPr>
            </w:pPr>
          </w:p>
        </w:tc>
      </w:tr>
      <w:tr>
        <w:trPr>
          <w:trHeight w:val="442"/>
        </w:trPr>
        <w:tc>
          <w:tcPr>
            <w:tcW w:w="2340" w:type="dxa"/>
            <w:vAlign w:val="bottom"/>
          </w:tcPr>
          <w:p>
            <w:pPr>
              <w:spacing w:after="0"/>
              <w:rPr>
                <w:sz w:val="24"/>
                <w:szCs w:val="24"/>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(702) 770-7555</w:t>
            </w:r>
          </w:p>
        </w:tc>
        <w:tc>
          <w:tcPr>
            <w:tcW w:w="1900" w:type="dxa"/>
            <w:vAlign w:val="bottom"/>
          </w:tcPr>
          <w:p>
            <w:pPr>
              <w:spacing w:after="0"/>
              <w:rPr>
                <w:sz w:val="24"/>
                <w:szCs w:val="24"/>
                <w:color w:val="auto"/>
              </w:rPr>
            </w:pPr>
          </w:p>
        </w:tc>
      </w:tr>
      <w:tr>
        <w:trPr>
          <w:trHeight w:val="247"/>
        </w:trPr>
        <w:tc>
          <w:tcPr>
            <w:tcW w:w="2340" w:type="dxa"/>
            <w:vAlign w:val="bottom"/>
          </w:tcPr>
          <w:p>
            <w:pPr>
              <w:spacing w:after="0"/>
              <w:rPr>
                <w:sz w:val="21"/>
                <w:szCs w:val="21"/>
                <w:color w:val="auto"/>
              </w:rPr>
            </w:pPr>
          </w:p>
        </w:tc>
        <w:tc>
          <w:tcPr>
            <w:tcW w:w="5500" w:type="dxa"/>
            <w:vAlign w:val="bottom"/>
          </w:tcPr>
          <w:p>
            <w:pPr>
              <w:jc w:val="center"/>
              <w:ind w:right="43"/>
              <w:spacing w:after="0"/>
              <w:rPr>
                <w:sz w:val="20"/>
                <w:szCs w:val="20"/>
                <w:color w:val="auto"/>
              </w:rPr>
            </w:pPr>
            <w:r>
              <w:rPr>
                <w:rFonts w:ascii="Arial" w:cs="Arial" w:eastAsia="Arial" w:hAnsi="Arial"/>
                <w:sz w:val="19"/>
                <w:szCs w:val="19"/>
                <w:color w:val="auto"/>
                <w:w w:val="92"/>
              </w:rPr>
              <w:t>(Registrant’s telephone number, including area code)</w:t>
            </w:r>
          </w:p>
        </w:tc>
        <w:tc>
          <w:tcPr>
            <w:tcW w:w="1900" w:type="dxa"/>
            <w:vAlign w:val="bottom"/>
          </w:tcPr>
          <w:p>
            <w:pPr>
              <w:spacing w:after="0"/>
              <w:rPr>
                <w:sz w:val="21"/>
                <w:szCs w:val="21"/>
                <w:color w:val="auto"/>
              </w:rPr>
            </w:pPr>
          </w:p>
        </w:tc>
      </w:tr>
      <w:tr>
        <w:trPr>
          <w:trHeight w:val="442"/>
        </w:trPr>
        <w:tc>
          <w:tcPr>
            <w:tcW w:w="2340" w:type="dxa"/>
            <w:vAlign w:val="bottom"/>
          </w:tcPr>
          <w:p>
            <w:pPr>
              <w:spacing w:after="0"/>
              <w:rPr>
                <w:sz w:val="24"/>
                <w:szCs w:val="24"/>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Not applicable.</w:t>
            </w:r>
          </w:p>
        </w:tc>
        <w:tc>
          <w:tcPr>
            <w:tcW w:w="1900" w:type="dxa"/>
            <w:vAlign w:val="bottom"/>
          </w:tcPr>
          <w:p>
            <w:pPr>
              <w:spacing w:after="0"/>
              <w:rPr>
                <w:sz w:val="24"/>
                <w:szCs w:val="24"/>
                <w:color w:val="auto"/>
              </w:rPr>
            </w:pPr>
          </w:p>
        </w:tc>
      </w:tr>
      <w:tr>
        <w:trPr>
          <w:trHeight w:val="247"/>
        </w:trPr>
        <w:tc>
          <w:tcPr>
            <w:tcW w:w="2340" w:type="dxa"/>
            <w:vAlign w:val="bottom"/>
          </w:tcPr>
          <w:p>
            <w:pPr>
              <w:spacing w:after="0"/>
              <w:rPr>
                <w:sz w:val="21"/>
                <w:szCs w:val="21"/>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1900" w:type="dxa"/>
            <w:vAlign w:val="bottom"/>
          </w:tcPr>
          <w:p>
            <w:pPr>
              <w:spacing w:after="0"/>
              <w:rPr>
                <w:sz w:val="21"/>
                <w:szCs w:val="21"/>
                <w:color w:val="auto"/>
              </w:rPr>
            </w:pPr>
          </w:p>
        </w:tc>
      </w:tr>
    </w:tbl>
    <w:p>
      <w:pPr>
        <w:spacing w:after="0" w:line="200" w:lineRule="exact"/>
        <w:rPr>
          <w:sz w:val="24"/>
          <w:szCs w:val="24"/>
          <w:color w:val="auto"/>
        </w:rPr>
      </w:pPr>
    </w:p>
    <w:p>
      <w:pPr>
        <w:spacing w:after="0" w:line="256"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0940" w:type="dxa"/>
            <w:vAlign w:val="bottom"/>
          </w:tcPr>
          <w:p>
            <w:pPr>
              <w:ind w:left="22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0940" w:type="dxa"/>
            <w:vAlign w:val="bottom"/>
          </w:tcPr>
          <w:p>
            <w:pPr>
              <w:ind w:left="22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0940" w:type="dxa"/>
            <w:vAlign w:val="bottom"/>
          </w:tcPr>
          <w:p>
            <w:pPr>
              <w:ind w:left="22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0940" w:type="dxa"/>
            <w:vAlign w:val="bottom"/>
          </w:tcPr>
          <w:p>
            <w:pPr>
              <w:ind w:left="22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787"/>
        </w:trPr>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9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00"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7.01 Regulation FD Disclosure.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On October 9, 2009, Wynn Macau, Limited, a newly formed and indirect wholly owned subsidiary of Wynn Resorts, Limited (“Wynn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Resorts”) and a developer, owner and operator of destination casino gaming and entertainment resort facilities focused exclusively 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Macau, announced that it has completed its offering of 1,250,000,000 ordinary shares (the “Shares”) of Wynn Macau, Limited,</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nominal value HK$0.001 per Share, including an offer for subscription to the public in Hong Kong. The offering price was</w:t>
      </w:r>
    </w:p>
    <w:p>
      <w:pPr>
        <w:spacing w:after="0"/>
        <w:rPr>
          <w:sz w:val="20"/>
          <w:szCs w:val="20"/>
          <w:color w:val="auto"/>
        </w:rPr>
      </w:pPr>
      <w:r>
        <w:rPr>
          <w:rFonts w:ascii="Arial" w:cs="Arial" w:eastAsia="Arial" w:hAnsi="Arial"/>
          <w:sz w:val="19"/>
          <w:szCs w:val="19"/>
          <w:color w:val="auto"/>
        </w:rPr>
        <w:t>HK$10.08 (equivalent to approximately US$1.30) per Share, representing proceeds of approximately US$1.6 billion and 25% of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post-issuance capital base of Wynn Macau, Limited. The Shares have been approved for listing on The Stock Exchange of Hong</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Kong Limited. Substantially all of the proceeds of the offering will be paid to WM Cayman Holdings Limited I, an indirect wholly</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owned subsidiary of Wynn Resorts.</w:t>
      </w:r>
    </w:p>
    <w:p>
      <w:pPr>
        <w:spacing w:after="0" w:line="218"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The information in this Item 7.01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8.01 Other Events.</w:t>
      </w:r>
    </w:p>
    <w:p>
      <w:pPr>
        <w:spacing w:after="0" w:line="242"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Wynn Las Vegas, LLC (“Wynn Las Vegas”), a wholly-owned subsidiary of Wynn Resort, previously had exercised the “accordion” feature under its Amended and Restated Credit Agreement, dated as of August 15, 2006 (as amended, the “Credit Agreement”), among Wynn Las Vegas,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183" w:lineRule="exact"/>
        <w:rPr>
          <w:sz w:val="20"/>
          <w:szCs w:val="20"/>
          <w:color w:val="auto"/>
        </w:rPr>
      </w:pPr>
    </w:p>
    <w:p>
      <w:pPr>
        <w:ind w:right="500"/>
        <w:spacing w:after="0" w:line="266" w:lineRule="auto"/>
        <w:rPr>
          <w:sz w:val="20"/>
          <w:szCs w:val="20"/>
          <w:color w:val="auto"/>
        </w:rPr>
      </w:pPr>
      <w:r>
        <w:rPr>
          <w:rFonts w:ascii="Arial" w:cs="Arial" w:eastAsia="Arial" w:hAnsi="Arial"/>
          <w:sz w:val="21"/>
          <w:szCs w:val="21"/>
          <w:color w:val="auto"/>
        </w:rPr>
        <w:t>The accordion exercise increased by $65 million the lenders’ commitments under the Credit Agreement to make revolving loans maturing July 15, 2013.</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On October 8, 2009, Wynn Las Vegas repurchased $14 million aggregate principal of loans under the Credit Agreement (the “First Repurchase”) and effected a corresponding reduction in the commitments thereunder. The First Repurchase was funded with the proceeds of a capital contribution by Wynn Resorts. In addition, on October 7, 2009, Wynn Las Vegas agreed to repurchase approximately $74 aggregate principal million of loans under the Credit Agreement (the “Pending Repurchase” and, together with the First Repurchase, the “Repurchase Transactions”), and to effect a corresponding reduction in the commitments thereunder, which Pending Repurchase will be funded with the proceeds of a capital contribution by Wynn Resorts. Once the Pending Repurchase is consummated, Wynn Las Vegas will, pursuant to the Repurchase Transactions, have repurchased approximately $88 million aggregate principal amount of loans.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3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October 9, 2009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WYNN RESORTS, LIMITED</w:t>
      </w:r>
    </w:p>
    <w:p>
      <w:pPr>
        <w:spacing w:after="0" w:line="20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-12700</wp:posOffset>
            </wp:positionV>
            <wp:extent cx="1421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1"/>
          <w:szCs w:val="21"/>
          <w:color w:val="auto"/>
        </w:rPr>
        <w:t>Kim Sinatra</w:t>
      </w:r>
    </w:p>
    <w:p>
      <w:pPr>
        <w:ind w:left="6300"/>
        <w:spacing w:after="0" w:line="237" w:lineRule="auto"/>
        <w:rPr>
          <w:sz w:val="20"/>
          <w:szCs w:val="20"/>
          <w:color w:val="auto"/>
        </w:rPr>
      </w:pPr>
      <w:r>
        <w:rPr>
          <w:rFonts w:ascii="Arial" w:cs="Arial" w:eastAsia="Arial" w:hAnsi="Arial"/>
          <w:sz w:val="21"/>
          <w:szCs w:val="21"/>
          <w:color w:val="auto"/>
        </w:rPr>
        <w:t>Senior Vice President,</w:t>
      </w:r>
    </w:p>
    <w:p>
      <w:pPr>
        <w:ind w:left="6300"/>
        <w:spacing w:after="0" w:line="237" w:lineRule="auto"/>
        <w:rPr>
          <w:sz w:val="20"/>
          <w:szCs w:val="20"/>
          <w:color w:val="auto"/>
        </w:rPr>
      </w:pPr>
      <w:r>
        <w:rPr>
          <w:rFonts w:ascii="Arial" w:cs="Arial" w:eastAsia="Arial" w:hAnsi="Arial"/>
          <w:sz w:val="21"/>
          <w:szCs w:val="21"/>
          <w:color w:val="auto"/>
        </w:rPr>
        <w:t>General Counsel and</w:t>
      </w:r>
    </w:p>
    <w:p>
      <w:pPr>
        <w:ind w:left="6300"/>
        <w:spacing w:after="0"/>
        <w:rPr>
          <w:sz w:val="20"/>
          <w:szCs w:val="20"/>
          <w:color w:val="auto"/>
        </w:rPr>
      </w:pPr>
      <w:r>
        <w:rPr>
          <w:rFonts w:ascii="Arial" w:cs="Arial" w:eastAsia="Arial" w:hAnsi="Arial"/>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4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2019-12-10T22:07:06Z</dcterms:created>
  <dcterms:modified xsi:type="dcterms:W3CDTF">2019-12-10T22:07:06Z</dcterms:modified>
</cp:coreProperties>
</file>