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November 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540"/>
          </w:cols>
          <w:pgMar w:left="240" w:top="355" w:right="105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355" w:right="10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220"/>
          </w:cols>
          <w:pgMar w:left="240" w:top="355"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November 9, 2004, the Registrant entered into an Equity Underwriting Agreement, dated November 9, 2004, between the Registrant and Deutsche Bank Securities Inc., for the sale by the Registrant of 7,500,000 shares of its common stock. Pursuant to the Equity Underwriting Agreement, the Registrant granted Deutsche Bank Securities Inc. the right to purchase up to 1,125,000 additional shares to cover over-allotments. The Equity Underwriting Agreement is filed as Exhibit 1 hereto and incorporated herein by reference. The Registrant’s press release, dated November 9, 2004, relating to the stock offering is filed herewith as Exhibit 99.1 and incorporated herein by reference.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Registrant intends to use the net proceeds from the offering to repay or reduce indebtedness, for further development of the Registrant’s Encore at Wynn Las Vegas and Wynn Macau projects, or for general corporate purposes.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Deutsche Bank Trust Company Americas, an affiliate of Deutsche Bank Securities Inc., is the administrative agent under a $1.05 billion credit facility entered into by Wynn Las Vegas, LLC and certain of its subsidiaries on October 30, 2002. Deutsche Bank Securities Inc. acted as a lead arranger and joint-book running manager for such credit facility. Deutsche Bank Securities Inc. acted as arranger of a $198.5 million loan facility for Wynn Las Vegas, LLC on October 20, 2003. Deutsche Bank Trust Company Americas, an affiliate of Deutsche Bank Securities Inc., is the administrative agent under a $143.4 million credit facility entered into by one of the Registrant’s subsidiaries on May 3, 2004. Deutsche Bank AG, Hong Kong, an affiliate of Deutsche Bank Securities, Inc. is a global coordinating lead arranger of a $397 million senior secured bank facility entered into by one of the Registrant’s affiliates on September 14,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Registrant’s press release, dated November 8, 2004, relating to the financing of its intended expansion of Wynn Las Vegas is filed herewith as Exhibit 99.2 and incorporated herein by reference.</w:t>
      </w:r>
    </w:p>
    <w:p>
      <w:pPr>
        <w:sectPr>
          <w:pgSz w:w="11900" w:h="16838" w:orient="portrait"/>
          <w:cols w:equalWidth="0" w:num="1">
            <w:col w:w="11340"/>
          </w:cols>
          <w:pgMar w:left="240" w:top="274" w:right="319" w:bottom="1440" w:gutter="0" w:footer="0" w:header="0"/>
        </w:sectPr>
      </w:pPr>
    </w:p>
    <w:bookmarkStart w:id="2" w:name="page3"/>
    <w:bookmarkEnd w:id="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w:t>
        <w:tab/>
        <w:t>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60325</wp:posOffset>
            </wp:positionV>
            <wp:extent cx="1080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8" w:lineRule="exact"/>
        <w:rPr>
          <w:sz w:val="20"/>
          <w:szCs w:val="20"/>
          <w:color w:val="auto"/>
        </w:rPr>
      </w:pPr>
    </w:p>
    <w:p>
      <w:pPr>
        <w:ind w:left="960" w:firstLine="118"/>
        <w:spacing w:after="0" w:line="375" w:lineRule="auto"/>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Underwriting Agreement, dated November 9, 2004, between Wynn Resorts, Limited and Deutsche Bank Securities Inc. 99.1 Press Release, dated November 9, 2004, of Wynn Resorts, Limited.</w:t>
      </w:r>
    </w:p>
    <w:p>
      <w:pPr>
        <w:spacing w:after="0" w:line="1"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99.2</w:t>
      </w:r>
      <w:r>
        <w:rPr>
          <w:rFonts w:ascii="Arial" w:cs="Arial" w:eastAsia="Arial" w:hAnsi="Arial"/>
          <w:sz w:val="15"/>
          <w:szCs w:val="15"/>
          <w:color w:val="auto"/>
        </w:rPr>
        <w:t>Press Release, dated November 8, 2004, of Wynn Resorts, Limited.</w:t>
      </w:r>
    </w:p>
    <w:p>
      <w:pPr>
        <w:sectPr>
          <w:pgSz w:w="11900" w:h="16838" w:orient="portrait"/>
          <w:cols w:equalWidth="0" w:num="1">
            <w:col w:w="10520"/>
          </w:cols>
          <w:pgMar w:left="240" w:top="274" w:right="113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 Shares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UNDERWRITING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6" w:lineRule="auto"/>
        <w:rPr>
          <w:sz w:val="20"/>
          <w:szCs w:val="20"/>
          <w:color w:val="auto"/>
        </w:rPr>
      </w:pPr>
      <w:r>
        <w:rPr>
          <w:rFonts w:ascii="Arial" w:cs="Arial" w:eastAsia="Arial" w:hAnsi="Arial"/>
          <w:sz w:val="18"/>
          <w:szCs w:val="18"/>
          <w:color w:val="auto"/>
        </w:rPr>
        <w:t>60 Wall Street,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Resorts, Limited,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Deutsche Bank Securities Inc. (“</w:t>
      </w:r>
      <w:r>
        <w:rPr>
          <w:rFonts w:ascii="Arial" w:cs="Arial" w:eastAsia="Arial" w:hAnsi="Arial"/>
          <w:sz w:val="16"/>
          <w:szCs w:val="16"/>
          <w:u w:val="single" w:color="auto"/>
          <w:color w:val="auto"/>
        </w:rPr>
        <w:t>you</w:t>
      </w:r>
      <w:r>
        <w:rPr>
          <w:rFonts w:ascii="Arial" w:cs="Arial" w:eastAsia="Arial" w:hAnsi="Arial"/>
          <w:sz w:val="16"/>
          <w:szCs w:val="16"/>
          <w:color w:val="auto"/>
        </w:rPr>
        <w:t>” or “</w:t>
      </w:r>
      <w:r>
        <w:rPr>
          <w:rFonts w:ascii="Arial" w:cs="Arial" w:eastAsia="Arial" w:hAnsi="Arial"/>
          <w:sz w:val="16"/>
          <w:szCs w:val="16"/>
          <w:u w:val="single" w:color="auto"/>
          <w:color w:val="auto"/>
        </w:rPr>
        <w:t>DBSI</w:t>
      </w:r>
      <w:r>
        <w:rPr>
          <w:rFonts w:ascii="Arial" w:cs="Arial" w:eastAsia="Arial" w:hAnsi="Arial"/>
          <w:sz w:val="16"/>
          <w:szCs w:val="16"/>
          <w:color w:val="auto"/>
        </w:rPr>
        <w:t>” or the “Underwriter”), an aggregate of 7,500,000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Company also proposes to sell, at the Underwriter’s option, an aggregate of up to 1,125,000 additional shares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as set forth below. The Firm Shares and the Option Shares (to the extent the aforementioned option is exercised) are herein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 The offering and sale of the Shares is referred to herein as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118"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4"/>
          <w:szCs w:val="14"/>
          <w:u w:val="single" w:color="auto"/>
          <w:color w:val="auto"/>
        </w:rPr>
        <w:t>ARRANTIES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represents and warrants to the Underwriter as follows:</w:t>
      </w:r>
    </w:p>
    <w:p>
      <w:pPr>
        <w:spacing w:after="0" w:line="77" w:lineRule="exact"/>
        <w:rPr>
          <w:sz w:val="20"/>
          <w:szCs w:val="20"/>
          <w:color w:val="auto"/>
        </w:rPr>
      </w:pPr>
    </w:p>
    <w:p>
      <w:pPr>
        <w:ind w:right="100" w:firstLine="921"/>
        <w:spacing w:after="0" w:line="254" w:lineRule="auto"/>
        <w:tabs>
          <w:tab w:leader="none" w:pos="1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 registration statement on Form S-3 (No. 333-114022), and related prospectuses for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Company’s Common Stock and other securities, as described therein, and the offering thereof from time to time in accordance with Rule 415 of the rules and regulations of the Commission (the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under the Securities Act, which registration statement, as so amended (including post-effective amendments, if any), has been declared effective by the Commission and copies of which have heretofore been delivered or made available to you. The registration statement, as amended at the time it became effective,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the exhibits and information (if any) deemed to be part of the registration statement at the time of effectiveness pursuant to Rule 430A or 434(d) under the Securities Act, is hereinafter referred to as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If the Company has filed or is required pursuant to the terms hereof to file a registration statement pursuant to Rule 462(b) under the Securities Act increasing the size of the Offering by registering additional shares of Common Stock (a “</w:t>
      </w:r>
      <w:r>
        <w:rPr>
          <w:rFonts w:ascii="Arial" w:cs="Arial" w:eastAsia="Arial" w:hAnsi="Arial"/>
          <w:sz w:val="15"/>
          <w:szCs w:val="15"/>
          <w:u w:val="single" w:color="auto"/>
          <w:color w:val="auto"/>
        </w:rPr>
        <w:t>Rule 462(b) Registration Statement</w:t>
      </w:r>
      <w:r>
        <w:rPr>
          <w:rFonts w:ascii="Arial" w:cs="Arial" w:eastAsia="Arial" w:hAnsi="Arial"/>
          <w:sz w:val="15"/>
          <w:szCs w:val="15"/>
          <w:color w:val="auto"/>
        </w:rPr>
        <w:t>”), then, unless otherwise specified, any reference herein to the term “Registration Statement” shall be deemed to include such Rule 462(b) Registration Statement. Other than a Rule 462(b) Registration Statement, which, if filed, becomes effective upon filing, no other document with respect to the Registration Statement relating to this Offering has heretofore been filed with the Commission. All of the Shares have been registered under the Securities Act pursuant to the Registration Statement or, if any Rule 462(b) Registration Statement is filed, will be duly registered under the Securities Act with the filing of such Rule 462(b) Registration Statement. No stop order suspending the effectiveness of either the Registration Statement or the Rule 462(b) Registration Statement, if any, has been issued and no proceeding for that purpose has been initiated or threatened by the Commission. The Company, if required by the Rules and Regulations of the Commission or by the Securities Act, proposes to file the Prospectus (as defined below) with the Commission pursuant to Rule 424(b) under the Securities Act (“</w:t>
      </w:r>
      <w:r>
        <w:rPr>
          <w:rFonts w:ascii="Arial" w:cs="Arial" w:eastAsia="Arial" w:hAnsi="Arial"/>
          <w:sz w:val="15"/>
          <w:szCs w:val="15"/>
          <w:u w:val="single" w:color="auto"/>
          <w:color w:val="auto"/>
        </w:rPr>
        <w:t>Rule 424(b)</w:t>
      </w:r>
      <w:r>
        <w:rPr>
          <w:rFonts w:ascii="Arial" w:cs="Arial" w:eastAsia="Arial" w:hAnsi="Arial"/>
          <w:sz w:val="15"/>
          <w:szCs w:val="15"/>
          <w:color w:val="auto"/>
        </w:rPr>
        <w:t>”). The base prospectus contained in the Registration Statement, at the time such registration statement was declared effective, as supplemented by the final prospectus supplement relating to the Offering in the form in which it is to be filed with the Commission pursuant to Rule 424(b), is hereinafter referred to as the “</w:t>
      </w:r>
      <w:r>
        <w:rPr>
          <w:rFonts w:ascii="Arial" w:cs="Arial" w:eastAsia="Arial" w:hAnsi="Arial"/>
          <w:sz w:val="15"/>
          <w:szCs w:val="15"/>
          <w:u w:val="single" w:color="auto"/>
          <w:color w:val="auto"/>
        </w:rPr>
        <w:t>Prospectus</w:t>
      </w:r>
      <w:r>
        <w:rPr>
          <w:rFonts w:ascii="Arial" w:cs="Arial" w:eastAsia="Arial" w:hAnsi="Arial"/>
          <w:sz w:val="15"/>
          <w:szCs w:val="15"/>
          <w:color w:val="auto"/>
        </w:rPr>
        <w:t>,” except that if any revised prospectus or prospectus supplement shall be provided to you by the Company for use in connection with the Offering which differs from the Prospectus (whether or not such revised prospectus or prospectus supplement is required to be filed by the Company pursuant to Rule 424(b)), the term “</w:t>
      </w:r>
      <w:r>
        <w:rPr>
          <w:rFonts w:ascii="Arial" w:cs="Arial" w:eastAsia="Arial" w:hAnsi="Arial"/>
          <w:sz w:val="15"/>
          <w:szCs w:val="15"/>
          <w:u w:val="single" w:color="auto"/>
          <w:color w:val="auto"/>
        </w:rPr>
        <w:t>Prospectus</w:t>
      </w:r>
      <w:r>
        <w:rPr>
          <w:rFonts w:ascii="Arial" w:cs="Arial" w:eastAsia="Arial" w:hAnsi="Arial"/>
          <w:sz w:val="15"/>
          <w:szCs w:val="15"/>
          <w:color w:val="auto"/>
        </w:rPr>
        <w:t>” shall also refer to such revised prospectus or prospectus supplement, as the case may be, from and after the time it is first provided to you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on or before the effective date of the Registration Statement or the date of the Prospectus, as the case may be, and any reference herein to the terms “amend”, “amendment” or “supplement” with respect to the Registration Statement or the Prospectus shall be deemed to refer to and include</w:t>
      </w:r>
    </w:p>
    <w:p>
      <w:pPr>
        <w:spacing w:after="0" w:line="2" w:lineRule="exact"/>
        <w:rPr>
          <w:sz w:val="20"/>
          <w:szCs w:val="20"/>
          <w:color w:val="auto"/>
        </w:rPr>
      </w:pPr>
    </w:p>
    <w:p>
      <w:pPr>
        <w:ind w:firstLine="8"/>
        <w:spacing w:after="0" w:line="295"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filing, on or prior to the Closing Date, of any document under the Exchange Act after the effective date of the Registration Statement or the date of the Prospectus, as the case may be, which is incorporated therein by reference and (ii) any such document so filed. All references in this Agreement to the Registration Statement, the Rule 462(b) Registration Statement and the Prospectus, or any amendments or supplements to any of the foregoing shall be deemed to include any copy thereof filed with the Commission pursuant to its Electronic Data Gathering, Analysis and Retrieval System (the “</w:t>
      </w:r>
      <w:r>
        <w:rPr>
          <w:rFonts w:ascii="Arial" w:cs="Arial" w:eastAsia="Arial" w:hAnsi="Arial"/>
          <w:sz w:val="16"/>
          <w:szCs w:val="16"/>
          <w:u w:val="single" w:color="auto"/>
          <w:color w:val="auto"/>
        </w:rPr>
        <w:t>EDGAR System</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right="20" w:firstLine="921"/>
        <w:spacing w:after="0" w:line="294" w:lineRule="auto"/>
        <w:tabs>
          <w:tab w:leader="none" w:pos="1162"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time of the effectiveness of the Registration Statement or any Rule 462(b) Registration Statement or the effectiveness of any post-effective amendment to the Registration Statement, when the Prospectus is first filed with the Commission pursuant to Rule 424(b) or Rule 434 under the Securities Act (“</w:t>
      </w:r>
      <w:r>
        <w:rPr>
          <w:rFonts w:ascii="Arial" w:cs="Arial" w:eastAsia="Arial" w:hAnsi="Arial"/>
          <w:sz w:val="16"/>
          <w:szCs w:val="16"/>
          <w:u w:val="single" w:color="auto"/>
          <w:color w:val="auto"/>
        </w:rPr>
        <w:t>Rule 434</w:t>
      </w:r>
      <w:r>
        <w:rPr>
          <w:rFonts w:ascii="Arial" w:cs="Arial" w:eastAsia="Arial" w:hAnsi="Arial"/>
          <w:sz w:val="16"/>
          <w:szCs w:val="16"/>
          <w:color w:val="auto"/>
        </w:rPr>
        <w:t>”), when any supplement to or amendment of the Prospectus is filed with the Commission, when any document filed under the Exchange Act (and incorporated by reference) was or is filed and at the Closing Date, the Registration Statement and the Prospectus and any such amendments thereof and supplements thereto contained or will contain all statements which are required to be stated therein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complied or will comply in all material respects with the applicable provisions of the Securities Act, the Exchange Act and the Rules and Regulations, as applicable. If Rule 434 is used, the Company will comply with the requirements of Rule 434 and the Prospectus shall not be “materially different,” as such term is used in Rule 434, from the Prospectus included in the Registration Statement at the time it became effective. No representation and warranty is made in this subsection (b), however, with respect to any information contained in or omitted from the Registration Statement or the Prospectus or any amendment thereof or supplement thereto in reliance upon and in conformity with information furnished in writing to the Company by the Underwriter specifically for use therein.</w:t>
      </w:r>
    </w:p>
    <w:p>
      <w:pPr>
        <w:spacing w:after="0" w:line="102" w:lineRule="exact"/>
        <w:rPr>
          <w:sz w:val="20"/>
          <w:szCs w:val="20"/>
          <w:color w:val="auto"/>
        </w:rPr>
      </w:pPr>
    </w:p>
    <w:p>
      <w:pPr>
        <w:ind w:right="20" w:firstLine="921"/>
        <w:spacing w:after="0" w:line="305" w:lineRule="auto"/>
        <w:tabs>
          <w:tab w:leader="none" w:pos="1152"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and the Prospectus and to enter into and to perform its obligations under this Agreement. Each of the subsidiaries of the Company is listed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(each a “</w:t>
      </w:r>
      <w:r>
        <w:rPr>
          <w:rFonts w:ascii="Arial" w:cs="Arial" w:eastAsia="Arial" w:hAnsi="Arial"/>
          <w:sz w:val="15"/>
          <w:szCs w:val="15"/>
          <w:u w:val="single" w:color="auto"/>
          <w:color w:val="auto"/>
        </w:rPr>
        <w:t>Subsidiary</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and the Prospectus. The Company does not own or control, directly or indirectly, any corporation, association or other entity other than the Subsidiaries listed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The Company and each of the Subsidiaries are duly qualified to transact business in all jurisdictions in which the conduct of their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Company and its Subsidiaries, taken as a whole, whether or not occurring in the ordinary course of business (any such change, a “</w:t>
      </w:r>
      <w:r>
        <w:rPr>
          <w:rFonts w:ascii="Arial" w:cs="Arial" w:eastAsia="Arial" w:hAnsi="Arial"/>
          <w:sz w:val="15"/>
          <w:szCs w:val="15"/>
          <w:u w:val="single" w:color="auto"/>
          <w:color w:val="auto"/>
        </w:rPr>
        <w:t>Material Adverse Change</w:t>
      </w:r>
      <w:r>
        <w:rPr>
          <w:rFonts w:ascii="Arial" w:cs="Arial" w:eastAsia="Arial" w:hAnsi="Arial"/>
          <w:sz w:val="15"/>
          <w:szCs w:val="15"/>
          <w:color w:val="auto"/>
        </w:rPr>
        <w:t xml:space="preserve">”). The outstanding membership interests and shares of capital stock of each of the Subsidiaries have been duly authorized and validly issued, the shares of capital stock of such Subsidiaries are fully paid and non-assessable and, except as accurately described in all material respects in the Registration Statement or Prospectus or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all such interests and shares are owned by the Company or another Subsidiary free and clear of all liens, encumbrances and equities and claims; and except as accurately described in all material respects in the Registration Statement or Prospectus or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there are no authorized or outstanding options, warrants, preemptive rights, rights of first refusal or other similar rights to subscribe for or purchase, or equity or debt securities convertible into or exchangeable or exercisable for, any capital stock of the Company or any of its Subsidiaries.</w:t>
      </w:r>
    </w:p>
    <w:p>
      <w:pPr>
        <w:spacing w:after="0" w:line="98" w:lineRule="exact"/>
        <w:rPr>
          <w:rFonts w:ascii="Arial" w:cs="Arial" w:eastAsia="Arial" w:hAnsi="Arial"/>
          <w:sz w:val="15"/>
          <w:szCs w:val="15"/>
          <w:color w:val="auto"/>
        </w:rPr>
      </w:pPr>
    </w:p>
    <w:p>
      <w:pPr>
        <w:ind w:right="80" w:firstLine="921"/>
        <w:spacing w:after="0" w:line="291"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only of 400,000,000 shares of Common Stock, par value $0.01 per share, and 40,000,000 shares of Preferred Stock, par value $0.01 per share. As of the date hereof, there are 90,531,567 shares of Common Stock and no shares of Preferred Stock outstanding. The outstanding shares of Common Stock of the Company have been duly authorized and validly issued, are fully paid and non-assessable, and have been issued in compliance with federal and state securities laws. None of the outstanding shares of Common Stock of the Company were issued in violation of any preemptive rights, rights of first refusal or other similar rights to subscribe for or purchase securities of the Company. The Shares to be issued by the Company pursuant to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duly authorized by all necessary corporate action, and such Shares, when issued, will be validly issued, fully paid and non-assessable; and, except as set forth in the Registration Statement or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107" w:lineRule="exact"/>
        <w:rPr>
          <w:sz w:val="20"/>
          <w:szCs w:val="20"/>
          <w:color w:val="auto"/>
        </w:rPr>
      </w:pPr>
    </w:p>
    <w:p>
      <w:pPr>
        <w:ind w:firstLine="921"/>
        <w:spacing w:after="0" w:line="254" w:lineRule="auto"/>
        <w:tabs>
          <w:tab w:leader="none" w:pos="11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table relating to the capitalization of the Company under the heading “</w:t>
      </w:r>
      <w:r>
        <w:rPr>
          <w:rFonts w:ascii="Arial" w:cs="Arial" w:eastAsia="Arial" w:hAnsi="Arial"/>
          <w:sz w:val="18"/>
          <w:szCs w:val="18"/>
          <w:u w:val="single" w:color="auto"/>
          <w:color w:val="auto"/>
        </w:rPr>
        <w:t>Capitalization</w:t>
      </w:r>
      <w:r>
        <w:rPr>
          <w:rFonts w:ascii="Arial" w:cs="Arial" w:eastAsia="Arial" w:hAnsi="Arial"/>
          <w:sz w:val="18"/>
          <w:szCs w:val="18"/>
          <w:color w:val="auto"/>
        </w:rPr>
        <w:t>” set forth in the Prospectus, including the footnotes thereto, (i) with respect to the actual capitalization of the Company as of September 30, 2004, presents fairly the information contained therein and (ii) with respect to the expected capitalization of the Company as of September 30, 2004 on an as adjusted basis giving effect to the sale of the Shares and the other transactions contemplated by this Agreement, the Registration Statement and the Prospectus, was prepared in good faith by the Company, and represents the best estimates and assumptions of the Company with respect to the information contained therein. All of the Shares conform to the description thereof contained in the Registration Statement.</w:t>
      </w:r>
    </w:p>
    <w:p>
      <w:pPr>
        <w:spacing w:after="0" w:line="130" w:lineRule="exact"/>
        <w:rPr>
          <w:rFonts w:ascii="Arial" w:cs="Arial" w:eastAsia="Arial" w:hAnsi="Arial"/>
          <w:sz w:val="18"/>
          <w:szCs w:val="18"/>
          <w:color w:val="auto"/>
        </w:rPr>
      </w:pPr>
    </w:p>
    <w:p>
      <w:pPr>
        <w:ind w:right="80" w:firstLine="921"/>
        <w:spacing w:after="0" w:line="290" w:lineRule="auto"/>
        <w:tabs>
          <w:tab w:leader="none" w:pos="113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As of their respective dates and at all subsequent times up to and including the Closing Date (as defined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if any Option Shares are purchased, the Option Closing Date (as defined in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the Registration Statement and the Prospectus, as amended or supplemented by any amendments and supplements thereto, do not contain, and will not contain, any untrue statement of material fact and do not omit, and will not omit, to state any material fact required to be stated therein or necessary to make the statements therein, (i) in the case of the Registration Statement, not misleading and (ii) in the case of the Prospectus,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information contained in or omitted from the Prospectus, or any such amendment or supplement, in reliance upon, and in conformity with, written information furnished to the Company by the Underwriter specifically for use in the preparation thereof.</w:t>
      </w:r>
    </w:p>
    <w:p>
      <w:pPr>
        <w:spacing w:after="0" w:line="104" w:lineRule="exact"/>
        <w:rPr>
          <w:rFonts w:ascii="Arial" w:cs="Arial" w:eastAsia="Arial" w:hAnsi="Arial"/>
          <w:sz w:val="16"/>
          <w:szCs w:val="16"/>
          <w:color w:val="auto"/>
        </w:rPr>
      </w:pPr>
    </w:p>
    <w:p>
      <w:pPr>
        <w:ind w:right="40" w:firstLine="921"/>
        <w:spacing w:after="0" w:line="288" w:lineRule="auto"/>
        <w:tabs>
          <w:tab w:leader="none" w:pos="11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Subsidiaries, together with related notes and schedules as set forth or incorporated by reference in the Registration Statement and the Prospectus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present fairly the consolidated financial position and the results of operations and cash flows of the Company and its Subsidiaries, at the indicated dates and for the indicated periods. Such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and the Prospectus, including such data set forth under the captions “Capitalization” and “Selected Consolidated Historical Financial Data,” presents fairly the information shown therein and such data has been compiled on a basis consistent with the financial statements presented therein and the books and records of the Company and its Subsidiaries. The as adjusted financial information included or incorporated by reference in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jc w:val="both"/>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and the Prospectus presents fairly in all material respects the information shown therein, has been properly compiled on the bases described therein, and, in the opinion of the Company, the assumptions used in the preparation thereof are reasonable and the adjustments used therein are appropriate to give effect to the transactions or circumstances referred to therein.</w:t>
      </w:r>
    </w:p>
    <w:p>
      <w:pPr>
        <w:spacing w:after="0" w:line="127" w:lineRule="exact"/>
        <w:rPr>
          <w:sz w:val="20"/>
          <w:szCs w:val="20"/>
          <w:color w:val="auto"/>
        </w:rPr>
      </w:pPr>
    </w:p>
    <w:p>
      <w:pPr>
        <w:ind w:firstLine="921"/>
        <w:spacing w:after="0" w:line="370" w:lineRule="auto"/>
        <w:tabs>
          <w:tab w:leader="none" w:pos="1162"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Deloitte &amp; Touche LLP, which has audited and certified the financial statements filed with the Commission as part of, or incorporated by reference in, the Registration Statement, is an independent public accountant as required by the Securities Act and the Rules and Regulations of the Commission.</w:t>
      </w:r>
    </w:p>
    <w:p>
      <w:pPr>
        <w:spacing w:after="0" w:line="48" w:lineRule="exact"/>
        <w:rPr>
          <w:rFonts w:ascii="Arial" w:cs="Arial" w:eastAsia="Arial" w:hAnsi="Arial"/>
          <w:sz w:val="15"/>
          <w:szCs w:val="15"/>
          <w:color w:val="auto"/>
        </w:rPr>
      </w:pPr>
    </w:p>
    <w:p>
      <w:pPr>
        <w:ind w:right="20" w:firstLine="921"/>
        <w:spacing w:after="0" w:line="291" w:lineRule="auto"/>
        <w:tabs>
          <w:tab w:leader="none" w:pos="112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are no pro forma or as adjusted financial statements which are required to be included in the Registration Statement and Prospectus in accordance with Regulation S-X which have not been included as so required. The pro forma and as adjusted financial information included in the Registration Statement and the Prospectus has been properly compiled and prepared in accordance with the applicable requirements of the Securities Act, the Exchange Act and the Rules and Regulations and includes all adjustments necessary to present fairly in accordance with generally accepted accounting principles the pro forma and as adjusted financial position of the respective entity or entities presented therein at the respective dates indicated and their cash flows and the results of operations for the respective periods specified.</w:t>
      </w:r>
    </w:p>
    <w:p>
      <w:pPr>
        <w:spacing w:after="0" w:line="106" w:lineRule="exact"/>
        <w:rPr>
          <w:rFonts w:ascii="Arial" w:cs="Arial" w:eastAsia="Arial" w:hAnsi="Arial"/>
          <w:sz w:val="16"/>
          <w:szCs w:val="16"/>
          <w:color w:val="auto"/>
        </w:rPr>
      </w:pPr>
    </w:p>
    <w:p>
      <w:pPr>
        <w:ind w:right="20" w:firstLine="921"/>
        <w:spacing w:after="0" w:line="298" w:lineRule="auto"/>
        <w:tabs>
          <w:tab w:leader="none" w:pos="112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assumptions used in preparing the as adjusted financial information included in the Registration Statement and the Prospectus provide a reasonable and good faith basis for presenting the significant effects directly attributable to the transactions or events described therein; the related adjustments made in the preparation of such pro forma and as adjusted financial information give appropriate effect to those assumptions; and such pro forma and as adjusted financial information reflect the proper application of those adjustments to the corresponding historical financial statement amounts.</w:t>
      </w:r>
    </w:p>
    <w:p>
      <w:pPr>
        <w:spacing w:after="0" w:line="99" w:lineRule="exact"/>
        <w:rPr>
          <w:rFonts w:ascii="Arial" w:cs="Arial" w:eastAsia="Arial" w:hAnsi="Arial"/>
          <w:sz w:val="16"/>
          <w:szCs w:val="16"/>
          <w:color w:val="auto"/>
        </w:rPr>
      </w:pPr>
    </w:p>
    <w:p>
      <w:pPr>
        <w:ind w:firstLine="921"/>
        <w:spacing w:after="0" w:line="287" w:lineRule="auto"/>
        <w:tabs>
          <w:tab w:leader="none" w:pos="116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threatened (i) against the Company or any of the Subsidiaries or (ii) that has as the subject thereof any officer or director of, or property owned or leased by or to, the Company or any of its Subsidiaries, in each case, before any court or administrative agency or otherwise where, in any such case, (A) there is a reasonable possibility of such action, suit or proceeding being determined adversely to the Company or its Subsidiaries and (B) any such action, suit, claim or proceeding, if so determined adversely, would reasonably be expected to result in a Material Adverse Change, or prevent, adversely affect, hinder or delay the consummation of the transactions contemplated by this Agreement or the performance by the Company or any of its Subsidiaries of their obligations hereunder except as otherwise disclosed in the Registration Statement or the Prospectus. Except as otherwise disclosed in the Registration Statement or the Prospectus, neither the Company nor any of its Subsidiaries is involved in any labor dispute with the employees of the Company or any of its Subsidiaries or predecessors, or with the employees of any principal supplier, contractor or sub-contractor of the Company or any of its Subsidiaries that would reasonably be expected to result in a Material Adverse Change, and, to the best of the Company’s knowledge, no such dispute is threatened or imminent.</w:t>
      </w:r>
    </w:p>
    <w:p>
      <w:pPr>
        <w:spacing w:after="0" w:line="109" w:lineRule="exact"/>
        <w:rPr>
          <w:rFonts w:ascii="Arial" w:cs="Arial" w:eastAsia="Arial" w:hAnsi="Arial"/>
          <w:sz w:val="16"/>
          <w:szCs w:val="16"/>
          <w:color w:val="auto"/>
        </w:rPr>
      </w:pPr>
    </w:p>
    <w:p>
      <w:pPr>
        <w:ind w:right="400" w:firstLine="921"/>
        <w:spacing w:after="0" w:line="268" w:lineRule="auto"/>
        <w:tabs>
          <w:tab w:leader="none" w:pos="1123"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or the Prospectus, the Company and its Subsidiaries have good and marketable title in fee simple to all real property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 w:name="page10"/>
    <w:bookmarkEnd w:id="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good title to all personal property owned by them or reflected as owned by them in the Registration Statement and the Prospectus, subject to no lien, mortgage, pledge, charge or encumbrance of any kind except those reflected in the consolidated financial statements described in Section 1(g) above or that do not, individually or in the aggregate, materially and adversely affect the value of such property and do not, individually or in the aggregate, materially interfere with the use made or proposed to be made of such property by the Company and its Subsidiaries. Except as disclosed in the Registration Statement or the Prospectus, the real property, improvements, equipment and personal property held under lease by the Company or any Subsidiary are held under valid and enforceable leases, with such exceptions as are not material and do not materially interfere with the use made or proposed to be made of such leased real property, improvements, equipment or personal property by the Company or such Subsidiary.</w:t>
      </w:r>
    </w:p>
    <w:p>
      <w:pPr>
        <w:spacing w:after="0" w:line="105" w:lineRule="exact"/>
        <w:rPr>
          <w:sz w:val="20"/>
          <w:szCs w:val="20"/>
          <w:color w:val="auto"/>
        </w:rPr>
      </w:pPr>
    </w:p>
    <w:p>
      <w:pPr>
        <w:ind w:right="160" w:firstLine="921"/>
        <w:spacing w:after="0" w:line="289" w:lineRule="auto"/>
        <w:tabs>
          <w:tab w:leader="none" w:pos="1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its Subsidiaries have timely filed all federal, state, local and foreign tax returns that have been required to be filed, all of which tax returns are true, correct and complete in all material respects, and have timely paid all taxes due and payable, except (i) as may be being contested in good faith and by appropriate proceedings and for which the Company and its Subsidiaries have established reserves that are adequate for the payment thereof and are in conformity with generally accepted accounting principles as applied in the United States or (ii) to the extent that the failure to timely file any such tax returns or to timely pay such taxes has not resulted in, and would not reasonably be expected to result in, a Material Adverse Change. All material taxes of the Company and its Subsidiaries not yet due and payable have been provided for in the consolidated financial statements described in Section 1(g) above to the extent required by and in conformity with generally accepted accounting principles as applied in the United States, and the Company has not received written notice of any actual or proposed additional material tax assessment against the Company or any of its Subsidiaries.</w:t>
      </w:r>
    </w:p>
    <w:p>
      <w:pPr>
        <w:spacing w:after="0" w:line="104" w:lineRule="exact"/>
        <w:rPr>
          <w:rFonts w:ascii="Arial" w:cs="Arial" w:eastAsia="Arial" w:hAnsi="Arial"/>
          <w:sz w:val="16"/>
          <w:szCs w:val="16"/>
          <w:color w:val="auto"/>
        </w:rPr>
      </w:pPr>
    </w:p>
    <w:p>
      <w:pPr>
        <w:ind w:firstLine="921"/>
        <w:spacing w:after="0" w:line="290" w:lineRule="auto"/>
        <w:tabs>
          <w:tab w:leader="none" w:pos="11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disclosed in each of the Registration Statement and the Prospectus, since the respective dates as of which information is given in each of the Registration Statement and the Prospectus, as each may be amended or supplemented, (i) there has not been any Material Adverse Change or any development that would reasonably be expected to result in a Material Adverse Change, (ii) the Company and its Subsidiaries, taken as a whole,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104" w:lineRule="exact"/>
        <w:rPr>
          <w:rFonts w:ascii="Arial" w:cs="Arial" w:eastAsia="Arial" w:hAnsi="Arial"/>
          <w:sz w:val="16"/>
          <w:szCs w:val="16"/>
          <w:color w:val="auto"/>
        </w:rPr>
      </w:pPr>
    </w:p>
    <w:p>
      <w:pPr>
        <w:ind w:right="80" w:firstLine="921"/>
        <w:spacing w:after="0" w:line="291" w:lineRule="auto"/>
        <w:tabs>
          <w:tab w:leader="none" w:pos="11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has full right, power and authority to execute and deliver this Agreement, to perform its obligations hereunder and to consummate the transactions contemplated by this Agreement, the Registration Statement and the Prospectus. This Agreement and the transactions contemplated by this Agreement, the Registration Statement and the Prospectus have been duly and validly authorized by all necessary corporate action on the part of the Company. This Agreement has been duly executed and delivered by the Company, and constitutes the legal, valid, and binding obligation of the Company, enforceable in accordance with its terms, except as enforceability may be limited by applicable bankruptcy, insolvency, reorganization, moratorium, fraudulent conveyance or similar laws affecting creditors’ rights generally, except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enforceability may be subject to general principles of equity (regardless of whether such enforceability is considered in a proceeding in equity or at law) and except as may be limited by state or federal laws or policies relating to the non-enforceability of the indemnification provisions contained herein.</w:t>
      </w:r>
    </w:p>
    <w:p>
      <w:pPr>
        <w:spacing w:after="0" w:line="72" w:lineRule="exact"/>
        <w:rPr>
          <w:sz w:val="20"/>
          <w:szCs w:val="20"/>
          <w:color w:val="auto"/>
        </w:rPr>
      </w:pPr>
    </w:p>
    <w:p>
      <w:pPr>
        <w:ind w:firstLine="921"/>
        <w:spacing w:after="0" w:line="284"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or with the giving of notice or passage of time, or both, will be, in violation of or in default under (i) its charter, by-laws, operating agreement or other organizational document or (ii) the terms of any other security issued by it or any obligation, agreement, covenant or condition contained in any stockholders’ agreement, contract, indenture, mortgage, deed of trust, loan or credit agreement, note, lease or other agreement or instrument to which the Company or any of its Subsidiaries is a party or by which any of them may be bound, or to which any of the property or assets of the Company or any of its Subsidiaries is subject (collectively, the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solely with respect to this clause (ii), for such violations or defaults that would not reasonably be expected to result in a Material Adverse Change. The (x) execution, delivery and performance of this Agreement, and any other material agreement or instrument entered into or issued or to be entered into or issued by the Company or any of its Subsidiaries in connection with the transactions contemplated hereby or thereby, (y) compliance by the Company and its Subsidiaries with their obligations hereunder or thereunder and (z) consummation of the transactions contemplated by this Agreement or the Prospectus (including the issuance and sale of the Shares and the use of the proceeds therefrom in the manner set forth under the caption “Use of Proceeds” in the Prospectus), do not and will not, (1) (A) require the consent from any other party that has not already been obtained, (B) result in a breach of or conflict with any of the terms and provisions of any Agreements and Instruments, (C) constitute a default (or an event which with notice or the passage of time, or both, would constitute a default) under any Agreements and Instruments, (D) except with respect to transactions contemplated by the Registration Statement and the Prospectus, result in the creation or imposition of any lien, charge or encumbrance upon any property or assets of the Company or any of its Subsidiaries or (E) trigger a Repayment Event (as defined below) pursuant to any Agreements or Instruments, except for such failure to obtain necessary consents, breaches, conflicts, defaults or Repayment Events or liens, charges or encumbrances that, singly or in the aggregate, would not reasonably be expected to result in a Material Adverse Change; (2) violate any provision of the charter, by-laws, operating agreement or other organizational document of the Company or any of its Subsidiaries as applicable; or (3) violate any applicable law, statute, rule, regulation, judgment, order, writ, decree, ordinance or directive, of any government, judicial, regulatory or other legal or governmental instrumentality, agency, body or court, domestic or foreign, having jurisdiction over it or any of its assets or properties, except as would not reasonably be expected to have a Material Adverse Change.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that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12" w:lineRule="exact"/>
        <w:rPr>
          <w:rFonts w:ascii="Arial" w:cs="Arial" w:eastAsia="Arial" w:hAnsi="Arial"/>
          <w:sz w:val="16"/>
          <w:szCs w:val="16"/>
          <w:color w:val="auto"/>
        </w:rPr>
      </w:pPr>
    </w:p>
    <w:p>
      <w:pPr>
        <w:ind w:right="100" w:firstLine="921"/>
        <w:spacing w:after="0" w:line="256"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approval, consent, order, authorization, designation, declaration or filing by or with any government, judicial, regulatory, administrative or other legal or governmental body, foreign or domestic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Consents</w:t>
      </w:r>
      <w:r>
        <w:rPr>
          <w:rFonts w:ascii="Arial" w:cs="Arial" w:eastAsia="Arial" w:hAnsi="Arial"/>
          <w:sz w:val="16"/>
          <w:szCs w:val="16"/>
          <w:color w:val="auto"/>
        </w:rPr>
        <w:t>”) is necessary in connection with the execution, delivery and performance by the Company of this Agreement, and the consummation of the transactions contemplated by this Agreement or the Prospectus, except (i) such as have been already obtained, (ii) the registration under the Securities Act or the Rules and Regulations of the Shares, which has become effective, (iii) 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the State securities or Blue Sky Laws, the Nasdaq National Market or the by-laws and rules of the NASD, Inc. (the “</w:t>
      </w:r>
      <w:r>
        <w:rPr>
          <w:rFonts w:ascii="Arial" w:cs="Arial" w:eastAsia="Arial" w:hAnsi="Arial"/>
          <w:sz w:val="16"/>
          <w:szCs w:val="16"/>
          <w:u w:val="single" w:color="auto"/>
          <w:color w:val="auto"/>
        </w:rPr>
        <w:t>NASD</w:t>
      </w:r>
      <w:r>
        <w:rPr>
          <w:rFonts w:ascii="Arial" w:cs="Arial" w:eastAsia="Arial" w:hAnsi="Arial"/>
          <w:sz w:val="16"/>
          <w:szCs w:val="16"/>
          <w:color w:val="auto"/>
        </w:rPr>
        <w:t>”) in connection with the purchase and distribution of the Shares by you, each of which, except as disclosed in the Prospectus, has been obtained and is in full force and effect, and (v) as disclosed in the Registration Statement and the Prospectus.</w:t>
      </w:r>
    </w:p>
    <w:p>
      <w:pPr>
        <w:spacing w:after="0" w:line="105" w:lineRule="exact"/>
        <w:rPr>
          <w:sz w:val="20"/>
          <w:szCs w:val="20"/>
          <w:color w:val="auto"/>
        </w:rPr>
      </w:pPr>
    </w:p>
    <w:p>
      <w:pPr>
        <w:ind w:firstLine="921"/>
        <w:spacing w:after="0" w:line="285" w:lineRule="auto"/>
        <w:tabs>
          <w:tab w:leader="none" w:pos="11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or the Prospectus or as would not, individually or in the aggregate, reasonably be expected to result in a Material Adverse Change, (i) the Company and each of its Subsidiaries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authority (“</w:t>
      </w:r>
      <w:r>
        <w:rPr>
          <w:rFonts w:ascii="Arial" w:cs="Arial" w:eastAsia="Arial" w:hAnsi="Arial"/>
          <w:sz w:val="16"/>
          <w:szCs w:val="16"/>
          <w:u w:val="single" w:color="auto"/>
          <w:color w:val="auto"/>
        </w:rPr>
        <w:t>Permits</w:t>
      </w:r>
      <w:r>
        <w:rPr>
          <w:rFonts w:ascii="Arial" w:cs="Arial" w:eastAsia="Arial" w:hAnsi="Arial"/>
          <w:sz w:val="16"/>
          <w:szCs w:val="16"/>
          <w:color w:val="auto"/>
        </w:rPr>
        <w:t>”) for the ownership or current use of all real property owned or leased by the Company or such Subsidiary and for any other property otherwise currently operated by or on behalf of, or for the benefit of, such entity and for the operation of each of its businesses as presently conducted, (ii) all such Permits are in full force and effect, and the Company and each of its Subsidiaries has performed and observed all requirements of such Permits, (iii) no event has occurred that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the Company or any of its Subsidiaries, or to the current operation of any of its businesses or any property currently owned, leased or otherwise operated by such entity, (v) the Company and each of its Subsidiaries reasonably believes that each of its Permits will be timely renewed and complied with, without material expense, and that any additional Permits that may be required of such entity in order to conduct its business as proposed to be conducted will be timely obtained and complied with, without material expense, and (vi) the Company does not have any knowledge or any reason to believe that any governmental authority is considering limiting, suspending, revoking or renewing any such Permits on terms materially more burdensome than the terms of such Permit as in effect as the date hereof.</w:t>
      </w:r>
    </w:p>
    <w:p>
      <w:pPr>
        <w:spacing w:after="0" w:line="114" w:lineRule="exact"/>
        <w:rPr>
          <w:rFonts w:ascii="Arial" w:cs="Arial" w:eastAsia="Arial" w:hAnsi="Arial"/>
          <w:sz w:val="16"/>
          <w:szCs w:val="16"/>
          <w:color w:val="auto"/>
        </w:rPr>
      </w:pPr>
    </w:p>
    <w:p>
      <w:pPr>
        <w:ind w:right="20" w:firstLine="921"/>
        <w:spacing w:after="0" w:line="254" w:lineRule="auto"/>
        <w:tabs>
          <w:tab w:leader="none" w:pos="11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or the Prospectus or as would not reasonably be expected to result in a Material Adverse Change, (i) neither the Company nor any of its Subsidiaries is or has in the past been in violation of any applicable federal, state, local or foreign statute, law, rule, regulation, ordinance, code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substances, hazardous substances, petroleum or petroleum products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Company or any of its Subsidiaries nor, to the knowledge of the Company, any third party, has used, released, discharged, generated, manufactured, produced, stored, or disposed of in, on, under, or about the real property owned or leased by the Company or any of its Subsidiaries or any improvements thereon (the “</w:t>
      </w:r>
      <w:r>
        <w:rPr>
          <w:rFonts w:ascii="Arial" w:cs="Arial" w:eastAsia="Arial" w:hAnsi="Arial"/>
          <w:sz w:val="16"/>
          <w:szCs w:val="16"/>
          <w:u w:val="single" w:color="auto"/>
          <w:color w:val="auto"/>
        </w:rPr>
        <w:t>Sites</w:t>
      </w:r>
      <w:r>
        <w:rPr>
          <w:rFonts w:ascii="Arial" w:cs="Arial" w:eastAsia="Arial" w:hAnsi="Arial"/>
          <w:sz w:val="16"/>
          <w:szCs w:val="16"/>
          <w:color w:val="auto"/>
        </w:rPr>
        <w:t>”) or transported thereto or therefrom, any Hazardous Materials that would reasonably be expected to subject the Company or any of its Subsidiaries to any liability under any Environmental Law; (iii) there are no underground tanks and no Hazardous Materials used, stored or present at or on the Sites that would reasonably be expected to result in liability for the Company or any of its Subsidiaries under applicable Environmental Laws; (iv) to the knowledge of the Company after due inquiry, there is or has been no condition, circumstance, action, activity or event that could reasonably form the basis of any violation of, or any liability to the Company or any of its Subsidiaries under, any Environmental Law; (v) there is no pending or, to the knowledge of the Company, threatened, action, proceeding, investigation or inquiry by any regulatory or governmental body or any non-governmental third party with respect to the presence or release of Hazardous Materials, on, from or to the Sites; (vi) the Company does not have any knowledge of any past or existing violations of any applicable Environmental Laws by any person relating in any way to the Sites; and (vii) neither the Company nor any of its Subsidiaries has received any complaint, adverse order, directive, citation or adverse notice from any governmental body with respect to any Environmental Law.</w:t>
      </w:r>
    </w:p>
    <w:p>
      <w:pPr>
        <w:spacing w:after="0" w:line="107" w:lineRule="exact"/>
        <w:rPr>
          <w:sz w:val="20"/>
          <w:szCs w:val="20"/>
          <w:color w:val="auto"/>
        </w:rPr>
      </w:pPr>
    </w:p>
    <w:p>
      <w:pPr>
        <w:ind w:right="20" w:firstLine="921"/>
        <w:spacing w:after="0" w:line="285" w:lineRule="auto"/>
        <w:tabs>
          <w:tab w:leader="none" w:pos="11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or the Prospectus, (i) the Company and its Subsidiaries each own or possess the valid right to use all trademarks, trade names, service marks, domain names and copyrights (together with the applications for registrations and registrations therefor), non-patent license rights, know-how (including trade secrets and other unpatented and unpatentable proprietary or confidential information, materials, systems or procedures), technologies, inventions and other non-patent intellectual property or non-patent proprietary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which are material to any of their businesses and are presently used in their businesses, and neither the Company nor any of its Subsidiaries has any reason to believe that it or they will not own or possess or be able to obtain when needed the valid right to use all Intellectual Property necessary to carry on their businesses as presently proposed to be conducted; (ii) neither the Intellectual Property owned or used by, nor the conduct or operation of the businesses (as presently and proposed to be conducted or operated) of, the Company or any of its Subsidiaries has infringed upon, misappropriated or violated, or, if the businesses are conducted or operated as presently intended, will, to the knowledge of the Company or any of its Subsidiaries, infringe upon, misappropriate or violate, any Intellectual Property of any other person or entity; (iii) to the knowledge of the Company, none of the Intellectual Property or the patents or patent rights (collectively, the “</w:t>
      </w:r>
      <w:r>
        <w:rPr>
          <w:rFonts w:ascii="Arial" w:cs="Arial" w:eastAsia="Arial" w:hAnsi="Arial"/>
          <w:sz w:val="16"/>
          <w:szCs w:val="16"/>
          <w:u w:val="single" w:color="auto"/>
          <w:color w:val="auto"/>
        </w:rPr>
        <w:t>Patents</w:t>
      </w:r>
      <w:r>
        <w:rPr>
          <w:rFonts w:ascii="Arial" w:cs="Arial" w:eastAsia="Arial" w:hAnsi="Arial"/>
          <w:sz w:val="16"/>
          <w:szCs w:val="16"/>
          <w:color w:val="auto"/>
        </w:rPr>
        <w:t>”), employed by the Company or any of its Subsidiaries has been obtained or is being used by the Company or any such Subsidiary in violation of any contractual obligation binding on the Company, such Subsidiary or any of their respective officers, directors or employees or otherwise in violation of the rights of any persons, except as would not reasonably be expected to result in a Material Adverse Change; (iv) neither the Company nor any of its Subsidiaries has received any written communications or been served with any document relating to any action or proceeding, nor, to the knowledge of the Company or any of its Subsidiaries, is any action or proceeding pending, alleging that the Company or any such Subsidiary has violated, infringed upon or misappropriated, or, by conducting its business as set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 w:name="page14"/>
    <w:bookmarkEnd w:id="1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forth in the Registration Statement and the Prospectus, would violate, infringe upon or misappropriate, any of the Intellectual Property or Patents of any other person or entity; (v) the Company does not know of any material infringement by others of Intellectual Property or Patents owned by or licensed to the Company or any of its Subsidiaries; (vi) neither the Company nor any of its Subsidiaries has any reason to believe that it does not own or have a valid right to use, or will not own or possess or be unable to acquire or obtain the valid right to use, any Patents necessary to carry on their businesses as presently conducted or as proposed to be conducted; and (vii) neither the Company nor its Subsidiaries has any reason to believe that the Patents owned or used by the Company or any of its Subsidiaries, or the conduct or operation of their businesses has infringed, or that the Patents or the conduct or operation of businesses as presently or proposed to be conducted will infringe, any Patent of any other person or entity. The Company and its Subsidiaries have taken all reasonable steps necessary to secure their interests in, and protect the secrecy, confidentiality and value of, their Intellectual Property and Patents, including without limitation entering into written confidentiality agreements with their employees and contractors.</w:t>
      </w:r>
    </w:p>
    <w:p>
      <w:pPr>
        <w:spacing w:after="0" w:line="106" w:lineRule="exact"/>
        <w:rPr>
          <w:sz w:val="20"/>
          <w:szCs w:val="20"/>
          <w:color w:val="auto"/>
        </w:rPr>
      </w:pPr>
    </w:p>
    <w:p>
      <w:pPr>
        <w:ind w:right="20" w:firstLine="921"/>
        <w:spacing w:after="0" w:line="294"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of its affiliates (within the meaning of Rule 144 under the Securities Act) (each, an “</w:t>
      </w:r>
      <w:r>
        <w:rPr>
          <w:rFonts w:ascii="Arial" w:cs="Arial" w:eastAsia="Arial" w:hAnsi="Arial"/>
          <w:sz w:val="16"/>
          <w:szCs w:val="16"/>
          <w:u w:val="single" w:color="auto"/>
          <w:color w:val="auto"/>
        </w:rPr>
        <w:t>Affiliate</w:t>
      </w:r>
      <w:r>
        <w:rPr>
          <w:rFonts w:ascii="Arial" w:cs="Arial" w:eastAsia="Arial" w:hAnsi="Arial"/>
          <w:sz w:val="16"/>
          <w:szCs w:val="16"/>
          <w:color w:val="auto"/>
        </w:rPr>
        <w:t>”), has taken, nor will the Company, or to the Company’s knowledge, any of such Affiliates take, directly or indirectly, any action designed to cause or result in, or which has constituted or which might reasonably be expected to constitute, the stabilization or manipulation of the price of the shares of Common Stock to facilitate the sale or resale of the Shares. The Company acknowledges that you may engage in passive market making transactions in the Shares on the Nasdaq National Market in accordance with Regulation M under the Exchange Act.</w:t>
      </w:r>
    </w:p>
    <w:p>
      <w:pPr>
        <w:spacing w:after="0" w:line="102" w:lineRule="exact"/>
        <w:rPr>
          <w:rFonts w:ascii="Arial" w:cs="Arial" w:eastAsia="Arial" w:hAnsi="Arial"/>
          <w:sz w:val="16"/>
          <w:szCs w:val="16"/>
          <w:color w:val="auto"/>
        </w:rPr>
      </w:pPr>
    </w:p>
    <w:p>
      <w:pPr>
        <w:ind w:firstLine="921"/>
        <w:spacing w:after="0" w:line="306"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upon the issuance and sale of the Shares as herein contemplated and the application of the net proceeds therefrom as described in the Prospectus, none of them will be, required to register as an “investment company” as such term is defined in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and the Rules and Regulations of the Commission.</w:t>
      </w:r>
    </w:p>
    <w:p>
      <w:pPr>
        <w:spacing w:after="0" w:line="93" w:lineRule="exact"/>
        <w:rPr>
          <w:rFonts w:ascii="Arial" w:cs="Arial" w:eastAsia="Arial" w:hAnsi="Arial"/>
          <w:sz w:val="16"/>
          <w:szCs w:val="16"/>
          <w:color w:val="auto"/>
        </w:rPr>
      </w:pPr>
    </w:p>
    <w:p>
      <w:pPr>
        <w:jc w:val="both"/>
        <w:ind w:right="140" w:firstLine="921"/>
        <w:spacing w:after="0" w:line="33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“holding company” or a “subsidiary company” of a “holding company,” as such terms are defined in the Public Utilities Holding Company Act of 1935, as amended, or is a “public utility,” as such term is defined in the Federal Power Act, as amended.</w:t>
      </w:r>
    </w:p>
    <w:p>
      <w:pPr>
        <w:spacing w:after="0" w:line="71" w:lineRule="exact"/>
        <w:rPr>
          <w:rFonts w:ascii="Arial" w:cs="Arial" w:eastAsia="Arial" w:hAnsi="Arial"/>
          <w:sz w:val="16"/>
          <w:szCs w:val="16"/>
          <w:color w:val="auto"/>
        </w:rPr>
      </w:pPr>
    </w:p>
    <w:p>
      <w:pPr>
        <w:ind w:right="240" w:firstLine="921"/>
        <w:spacing w:after="0" w:line="256"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the NASD and any of the Company’s officers, directors or 5% or greater securityholders, other than (i) as set forth in the Registration Statement and the Prospectus, (ii) Baron Capital Group’s Inc. affiliation with Baron Capital (a member of the NASD and a broker dealer for several of its affiliated investment advisory firms) and (iii) Bank of America Corporation’s affiliation with Banc of America Securities LLC (a member of the NASD).</w:t>
      </w:r>
    </w:p>
    <w:p>
      <w:pPr>
        <w:spacing w:after="0" w:line="129" w:lineRule="exact"/>
        <w:rPr>
          <w:rFonts w:ascii="Arial" w:cs="Arial" w:eastAsia="Arial" w:hAnsi="Arial"/>
          <w:sz w:val="18"/>
          <w:szCs w:val="18"/>
          <w:color w:val="auto"/>
        </w:rPr>
      </w:pPr>
    </w:p>
    <w:p>
      <w:pPr>
        <w:jc w:val="both"/>
        <w:ind w:right="140" w:firstLine="921"/>
        <w:spacing w:after="0" w:line="335" w:lineRule="auto"/>
        <w:tabs>
          <w:tab w:leader="none" w:pos="116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and each of its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left="-8" w:right="640" w:firstLine="8"/>
        <w:spacing w:after="0" w:line="332" w:lineRule="auto"/>
        <w:tabs>
          <w:tab w:leader="none" w:pos="299"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71" w:lineRule="exact"/>
        <w:rPr>
          <w:rFonts w:ascii="Arial" w:cs="Arial" w:eastAsia="Arial" w:hAnsi="Arial"/>
          <w:sz w:val="16"/>
          <w:szCs w:val="16"/>
          <w:color w:val="auto"/>
        </w:rPr>
      </w:pPr>
    </w:p>
    <w:p>
      <w:pPr>
        <w:ind w:left="-8" w:firstLine="921"/>
        <w:spacing w:after="0" w:line="287" w:lineRule="auto"/>
        <w:tabs>
          <w:tab w:leader="none" w:pos="11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with insurers of recognized financial responsibility in such amounts, with such deductibles and covering such risks as is commercially reasonable, and as the Company and its Subsidiaries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Company and its Subsidiaries against theft, damage, destruction, acts of vandalism and earthquakes. Such insurance coverage (including deductibles, retentions and self-insurance amounts) complies with the insurance coverage required at the Closing Date (or if any Option Shares are being purchased, at the Option Closing Date) under the Master Disbursement Agreement, dated as of October 30, 2002, by and among Wynn Las Vegas, LLC, Wynn Las Vegas Capital Corp., Wynn Design &amp; Development, LLC, Deutsche Bank Trust Company Americas, Wells Fargo Bank, National Association and Wells Fargo Bank Nevada, National Association. The Company has no reason to believe that such insurance coverage cannot be renewed as and when such coverage expires or that similar coverage could not be obtained from similar insurers at a cost that would not reasonably be expected to result in a Material Adverse Change (other than as a result of general market conditions).</w:t>
      </w:r>
    </w:p>
    <w:p>
      <w:pPr>
        <w:spacing w:after="0" w:line="109" w:lineRule="exact"/>
        <w:rPr>
          <w:sz w:val="20"/>
          <w:szCs w:val="20"/>
          <w:color w:val="auto"/>
        </w:rPr>
      </w:pPr>
    </w:p>
    <w:p>
      <w:pPr>
        <w:ind w:left="-8" w:right="40" w:firstLine="921"/>
        <w:spacing w:after="0" w:line="288" w:lineRule="auto"/>
        <w:tabs>
          <w:tab w:leader="none" w:pos="12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matters that would not reasonably be expected to result in a Material Adverse Change, the Company and each of its Subsidiaries is in compliance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the Company or any of its Subsidiaries would have any liability. Neither the Company nor any of its Subsidiaries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Except for matters that would not reasonably be expected to result in a Material Adverse Change, each “pension plan” for which the Company or any Subsidiary would have any liability that is intended to be qualified under Section 401(a) of the Code is so qualified and nothing has occurred, whether by action or by failure to act, that would cause the loss of such qualification.</w:t>
      </w:r>
    </w:p>
    <w:p>
      <w:pPr>
        <w:spacing w:after="0" w:line="106" w:lineRule="exact"/>
        <w:rPr>
          <w:rFonts w:ascii="Arial" w:cs="Arial" w:eastAsia="Arial" w:hAnsi="Arial"/>
          <w:sz w:val="16"/>
          <w:szCs w:val="16"/>
          <w:color w:val="auto"/>
        </w:rPr>
      </w:pPr>
    </w:p>
    <w:p>
      <w:pPr>
        <w:ind w:left="-8" w:right="20" w:firstLine="921"/>
        <w:spacing w:after="0" w:line="332" w:lineRule="auto"/>
        <w:tabs>
          <w:tab w:leader="none" w:pos="1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and the Prospectus are based on or derived from sources which the Company reasonably and in good faith believes are reliable and accurate, and such data agree with the sources from which they are derived.</w:t>
      </w:r>
    </w:p>
    <w:p>
      <w:pPr>
        <w:spacing w:after="0" w:line="71" w:lineRule="exact"/>
        <w:rPr>
          <w:rFonts w:ascii="Arial" w:cs="Arial" w:eastAsia="Arial" w:hAnsi="Arial"/>
          <w:sz w:val="16"/>
          <w:szCs w:val="16"/>
          <w:color w:val="auto"/>
        </w:rPr>
      </w:pPr>
    </w:p>
    <w:p>
      <w:pPr>
        <w:ind w:left="-8" w:right="300" w:firstLine="921"/>
        <w:spacing w:after="0" w:line="335" w:lineRule="auto"/>
        <w:tabs>
          <w:tab w:leader="none" w:pos="1222"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Neither the Company nor any of its Subsidiaries nor, to the best of the Company’s knowledge, any director, officer, agent, employee or other person associated with or acting on behalf of the Company or any of its Subsidiaries or any beneficial owner of 10 percent or more of the capital stock of the Company or any of its Subsidiaries has, with respect to the Company or any of its Subsidiaries, (i) used any corporate funds for any unlawful contribution,</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gift, entertainment or other unlawful expense relating to political activity, (ii) 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127" w:lineRule="exact"/>
        <w:rPr>
          <w:sz w:val="20"/>
          <w:szCs w:val="20"/>
          <w:color w:val="auto"/>
        </w:rPr>
      </w:pPr>
    </w:p>
    <w:p>
      <w:pPr>
        <w:ind w:firstLine="921"/>
        <w:spacing w:after="0" w:line="291" w:lineRule="auto"/>
        <w:tabs>
          <w:tab w:leader="none" w:pos="1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the knowledge of the chief executive officer and chief financial officer of the Company, (i) the Annual Report on Form 10-K for the year ended December 31, 2003, the Quarterly Report on Form 10-Q for the fiscal quarter ended March 31, 2004, the Quarterly Report on Form 10-Q for the fiscal quarter ended June 30, 2004, as amended by the Quarterly Report on Form 10-Q/A, and the Quarterly Report on Form 10-Q for the fiscal quarter ended September 30, 2004 (each a “</w:t>
      </w:r>
      <w:r>
        <w:rPr>
          <w:rFonts w:ascii="Arial" w:cs="Arial" w:eastAsia="Arial" w:hAnsi="Arial"/>
          <w:sz w:val="16"/>
          <w:szCs w:val="16"/>
          <w:u w:val="single" w:color="auto"/>
          <w:color w:val="auto"/>
        </w:rPr>
        <w:t>Report</w:t>
      </w:r>
      <w:r>
        <w:rPr>
          <w:rFonts w:ascii="Arial" w:cs="Arial" w:eastAsia="Arial" w:hAnsi="Arial"/>
          <w:sz w:val="16"/>
          <w:szCs w:val="16"/>
          <w:color w:val="auto"/>
        </w:rPr>
        <w:t>”, and together, the “</w:t>
      </w:r>
      <w:r>
        <w:rPr>
          <w:rFonts w:ascii="Arial" w:cs="Arial" w:eastAsia="Arial" w:hAnsi="Arial"/>
          <w:sz w:val="16"/>
          <w:szCs w:val="16"/>
          <w:u w:val="single" w:color="auto"/>
          <w:color w:val="auto"/>
        </w:rPr>
        <w:t>Reports</w:t>
      </w:r>
      <w:r>
        <w:rPr>
          <w:rFonts w:ascii="Arial" w:cs="Arial" w:eastAsia="Arial" w:hAnsi="Arial"/>
          <w:sz w:val="16"/>
          <w:szCs w:val="16"/>
          <w:color w:val="auto"/>
        </w:rPr>
        <w:t>”), fully comply with the requirements of Section 13(a) or 15(d) of the Exchange Act; and (ii) the information contained in each Report fairly presents, in all material respects, the financial condition and results of operations of the Company and its consolidated Subsidiaries as of the date of filing with the Commission.</w:t>
      </w:r>
    </w:p>
    <w:p>
      <w:pPr>
        <w:spacing w:after="0" w:line="106" w:lineRule="exact"/>
        <w:rPr>
          <w:rFonts w:ascii="Arial" w:cs="Arial" w:eastAsia="Arial" w:hAnsi="Arial"/>
          <w:sz w:val="16"/>
          <w:szCs w:val="16"/>
          <w:color w:val="auto"/>
        </w:rPr>
      </w:pPr>
    </w:p>
    <w:p>
      <w:pPr>
        <w:ind w:right="80" w:firstLine="921"/>
        <w:spacing w:after="0" w:line="291" w:lineRule="auto"/>
        <w:tabs>
          <w:tab w:leader="none" w:pos="12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documents incorporated or deemed to be incorporated by reference in the Registration Statement and the Prospectus, at the time they were, or hereafter are, filed with the Commission, complied and will comply in all material respects with the requirements of the Securities Act, the Exchange Act and the Rules and Regulations of the Commission thereunder, and, when read together with the other information set forth in, or incorporated by reference in, the Prospectus, at the time the Registration Statement and any amendments thereto became effective and at the Closing Date (as defined below),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06" w:lineRule="exact"/>
        <w:rPr>
          <w:rFonts w:ascii="Arial" w:cs="Arial" w:eastAsia="Arial" w:hAnsi="Arial"/>
          <w:sz w:val="16"/>
          <w:szCs w:val="16"/>
          <w:color w:val="auto"/>
        </w:rPr>
      </w:pPr>
    </w:p>
    <w:p>
      <w:pPr>
        <w:ind w:left="1200" w:hanging="27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right="80" w:firstLine="921"/>
        <w:spacing w:after="0" w:line="294" w:lineRule="auto"/>
        <w:tabs>
          <w:tab w:leader="none" w:pos="1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is subject to the reporting requirements of Section 13 or 15(d) of the Exchange Act and files reports with the Commission on the EDGAR System. The Company’s Common Stock is registered pursuant to Section 12(g) of the Exchange Act and the outstanding shares of the Company’s Common Stock are listed on the Nasdaq National Market and the Company has taken no action designed to, or likely to have the effect of, terminating the registration of its Common Stock under the Exchange Act or de-listing the Common Stock from the Nasdaq National Market, nor has the Company received any notification that the Commission or the Nasdaq National Market is contemplating terminating such registration or listing.</w:t>
      </w:r>
    </w:p>
    <w:p>
      <w:pPr>
        <w:spacing w:after="0" w:line="102" w:lineRule="exact"/>
        <w:rPr>
          <w:rFonts w:ascii="Arial" w:cs="Arial" w:eastAsia="Arial" w:hAnsi="Arial"/>
          <w:sz w:val="16"/>
          <w:szCs w:val="16"/>
          <w:color w:val="auto"/>
        </w:rPr>
      </w:pPr>
    </w:p>
    <w:p>
      <w:pPr>
        <w:ind w:left="1260" w:hanging="339"/>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conditions for use of Form S-3, as set forth in the General Instructions thereto, have been satisfied.</w:t>
      </w:r>
    </w:p>
    <w:p>
      <w:pPr>
        <w:spacing w:after="0" w:line="157" w:lineRule="exact"/>
        <w:rPr>
          <w:rFonts w:ascii="Arial" w:cs="Arial" w:eastAsia="Arial" w:hAnsi="Arial"/>
          <w:sz w:val="18"/>
          <w:szCs w:val="18"/>
          <w:color w:val="auto"/>
        </w:rPr>
      </w:pPr>
    </w:p>
    <w:p>
      <w:pPr>
        <w:ind w:right="80" w:firstLine="921"/>
        <w:spacing w:after="0" w:line="259" w:lineRule="auto"/>
        <w:tabs>
          <w:tab w:leader="none" w:pos="11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Company, its Affiliates or any person acting on its or any of their behalf (other than the Underwriter, as to whom the Company does not make any representation) has engaged or will engage, in connection with the offering of the offered Shares, in any form of general solicitation or general advertising within the meaning of Rule 502(c)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 w:name="page17"/>
    <w:bookmarkEnd w:id="16"/>
    <w:p>
      <w:pPr>
        <w:ind w:left="1180" w:hanging="259"/>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Intentionally Omitted.</w:t>
      </w:r>
    </w:p>
    <w:p>
      <w:pPr>
        <w:spacing w:after="0" w:line="157" w:lineRule="exact"/>
        <w:rPr>
          <w:rFonts w:ascii="Arial" w:cs="Arial" w:eastAsia="Arial" w:hAnsi="Arial"/>
          <w:sz w:val="18"/>
          <w:szCs w:val="18"/>
          <w:color w:val="auto"/>
        </w:rPr>
      </w:pPr>
    </w:p>
    <w:p>
      <w:pPr>
        <w:ind w:right="240" w:firstLine="921"/>
        <w:spacing w:after="0" w:line="255" w:lineRule="auto"/>
        <w:tabs>
          <w:tab w:leader="none" w:pos="12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are no outstanding subscriptions, rights, warrants, options, calls, convertible securities, commitments for sale or liens related to or entitling any person to purchase or otherwise to acquire any shares of the capital stock of, or other ownership interest in, the Company or any wholly owned subsidiary thereof or with respect to any capital stock or other ownership interest that the Company or any of its Subsidiaries owns in a less than wholly owned subsidiary, except (i) as otherwise disclosed in the Prospectus, or (ii) such as are not material to the business, prospects, financial condition or results of operations of the Company and its Subsidiaries, taken as a whole.</w:t>
      </w:r>
    </w:p>
    <w:p>
      <w:pPr>
        <w:spacing w:after="0" w:line="129" w:lineRule="exact"/>
        <w:rPr>
          <w:rFonts w:ascii="Arial" w:cs="Arial" w:eastAsia="Arial" w:hAnsi="Arial"/>
          <w:sz w:val="18"/>
          <w:szCs w:val="18"/>
          <w:color w:val="auto"/>
        </w:rPr>
      </w:pPr>
    </w:p>
    <w:p>
      <w:pPr>
        <w:ind w:right="60" w:firstLine="921"/>
        <w:spacing w:after="0" w:line="301" w:lineRule="auto"/>
        <w:tabs>
          <w:tab w:leader="none" w:pos="1171"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The chief executive officer and chief financial officer of the Company are responsible for establishing and maintaining disclosure controls and procedures (as defined in Rules 13a-14 and 15d-14 of the Rules and Regulations under the Exchange Act) for the Company and have (i) designed such disclosure controls and procedures to ensure that material information relating to the Company and its Subsidiaries is made known to the chief executive officer and chief financial officer by others within the Company and its Subsidiaries, (ii) evaluated the effectiveness of the of the Company’s disclosure controls and procedures as of a the end of the period (the “</w:t>
      </w:r>
      <w:r>
        <w:rPr>
          <w:rFonts w:ascii="Arial" w:cs="Arial" w:eastAsia="Arial" w:hAnsi="Arial"/>
          <w:sz w:val="15"/>
          <w:szCs w:val="15"/>
          <w:u w:val="single" w:color="auto"/>
          <w:color w:val="auto"/>
        </w:rPr>
        <w:t>Evaluation Date</w:t>
      </w:r>
      <w:r>
        <w:rPr>
          <w:rFonts w:ascii="Arial" w:cs="Arial" w:eastAsia="Arial" w:hAnsi="Arial"/>
          <w:sz w:val="15"/>
          <w:szCs w:val="15"/>
          <w:color w:val="auto"/>
        </w:rPr>
        <w:t>”) covered by each Report, and (iii) presented in each Report their conclusions about the effectiveness of the disclosure controls and procedures based on their evaluation as of the Evaluation Date. The chief executive officer and chief financial officer of the Company have disclosed, based upon their evaluation as of the Evaluation Date, to the Company’s auditors and the Audit Committee of the Company’s Board of Directors</w:t>
      </w:r>
    </w:p>
    <w:p>
      <w:pPr>
        <w:spacing w:after="0" w:line="4" w:lineRule="exact"/>
        <w:rPr>
          <w:rFonts w:ascii="Arial" w:cs="Arial" w:eastAsia="Arial" w:hAnsi="Arial"/>
          <w:sz w:val="15"/>
          <w:szCs w:val="15"/>
          <w:color w:val="auto"/>
        </w:rPr>
      </w:pPr>
    </w:p>
    <w:p>
      <w:pPr>
        <w:ind w:right="40" w:firstLine="8"/>
        <w:spacing w:after="0" w:line="292" w:lineRule="auto"/>
        <w:tabs>
          <w:tab w:leader="none" w:pos="2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Company’s ability to record, process, summarize and report financial data and have identified for the Company’s auditors any material weaknesses in internal controls, and (ii) any fraud, whether or not material, that involves management or other employees who have a significant role in the registrant’s internal controls. The chief executive officer and chief financial officer have indicated in each Report whether or not there were significant changes in internal controls or in other factors that could significantly affect internal controls subsequent to the Evaluation Date, including any corrective actions with regard to significant deficiencies and material weaknesses.</w:t>
      </w:r>
    </w:p>
    <w:p>
      <w:pPr>
        <w:spacing w:after="0" w:line="103" w:lineRule="exact"/>
        <w:rPr>
          <w:rFonts w:ascii="Arial" w:cs="Arial" w:eastAsia="Arial" w:hAnsi="Arial"/>
          <w:sz w:val="16"/>
          <w:szCs w:val="16"/>
          <w:color w:val="auto"/>
        </w:rPr>
      </w:pPr>
    </w:p>
    <w:p>
      <w:pPr>
        <w:ind w:right="100" w:firstLine="921"/>
        <w:spacing w:after="0" w:line="254" w:lineRule="auto"/>
        <w:tabs>
          <w:tab w:leader="none" w:pos="12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and the Prospectus, there are no contracts, agreements or understandings between the Company (or any Subsidiary) and any person that would give rise to a valid claim against the Company, any Subsidiary or you for a brokerage commission, finder’s fee or other like payment in connection with the transactions contemplated by this Agreement, the Registration Statement and the Prospectus or, to the Company’s or any Subsidiary’s knowledge, any arrangements, agreements, understandings, payments or issuance with respect to the Company or any Subsidiary or any of their respective officers, directors, shareholders, partners, employees, subsidiaries or affiliates that may affect your compensation as determined by the NASD.</w:t>
      </w:r>
    </w:p>
    <w:p>
      <w:pPr>
        <w:spacing w:after="0" w:line="131" w:lineRule="exact"/>
        <w:rPr>
          <w:sz w:val="20"/>
          <w:szCs w:val="20"/>
          <w:color w:val="auto"/>
        </w:rPr>
      </w:pPr>
    </w:p>
    <w:p>
      <w:pPr>
        <w:ind w:firstLine="921"/>
        <w:spacing w:after="0" w:line="256" w:lineRule="auto"/>
        <w:tabs>
          <w:tab w:leader="none" w:pos="1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and the Prospectus, no holder of any Common Stock or other security of the Company or any Subsidiary or any security convertible into, or exercisable or exchangeable for, Common Stock or any other such security (any “</w:t>
      </w:r>
      <w:r>
        <w:rPr>
          <w:rFonts w:ascii="Arial" w:cs="Arial" w:eastAsia="Arial" w:hAnsi="Arial"/>
          <w:sz w:val="18"/>
          <w:szCs w:val="18"/>
          <w:u w:val="single" w:color="auto"/>
          <w:color w:val="auto"/>
        </w:rPr>
        <w:t>Relevant Security</w:t>
      </w:r>
      <w:r>
        <w:rPr>
          <w:rFonts w:ascii="Arial" w:cs="Arial" w:eastAsia="Arial" w:hAnsi="Arial"/>
          <w:sz w:val="18"/>
          <w:szCs w:val="18"/>
          <w:color w:val="auto"/>
        </w:rPr>
        <w:t>”) or debt security has any rights to require registration of any Relevant Security or debt security as part or on account of, or otherwise in connection with, the offer and sale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contemplated hereby, and any such rights so disclosed have either been fully complied with by the Company or effectively waived by the holders thereof, and any such waivers remain in full force and effect.</w:t>
      </w:r>
    </w:p>
    <w:p>
      <w:pPr>
        <w:spacing w:after="0" w:line="118" w:lineRule="exact"/>
        <w:rPr>
          <w:sz w:val="20"/>
          <w:szCs w:val="20"/>
          <w:color w:val="auto"/>
        </w:rPr>
      </w:pPr>
    </w:p>
    <w:p>
      <w:pPr>
        <w:ind w:right="440" w:firstLine="921"/>
        <w:spacing w:after="0" w:line="332" w:lineRule="auto"/>
        <w:tabs>
          <w:tab w:leader="none" w:pos="1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certificate required hereunder signed by or on behalf of the Company and delivered to DBSI or to its counsel shall be deemed to be a representation and warranty by the Company to DBSI as to the matters covered thereby (and is subject to the limitations therein, if any).</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acknowledges that the Underwriter and, for purposes of the opinions to be delivered pursuant to Section 6 hereof, counsel to the Company and counsel to the Underwriter will rely upon the accuracy and truthfulness of the foregoing representations and hereby consents to such reliance.</w:t>
      </w:r>
    </w:p>
    <w:p>
      <w:pPr>
        <w:spacing w:after="0" w:line="72"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URCHASE</w:t>
      </w:r>
      <w:r>
        <w:rPr>
          <w:rFonts w:ascii="Arial" w:cs="Arial" w:eastAsia="Arial" w:hAnsi="Arial"/>
          <w:sz w:val="18"/>
          <w:szCs w:val="18"/>
          <w:u w:val="single" w:color="auto"/>
          <w:color w:val="auto"/>
        </w:rPr>
        <w:t>, S</w:t>
      </w:r>
      <w:r>
        <w:rPr>
          <w:rFonts w:ascii="Arial" w:cs="Arial" w:eastAsia="Arial" w:hAnsi="Arial"/>
          <w:sz w:val="14"/>
          <w:szCs w:val="14"/>
          <w:u w:val="single" w:color="auto"/>
          <w:color w:val="auto"/>
        </w:rPr>
        <w:t>ALE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68" w:lineRule="auto"/>
        <w:tabs>
          <w:tab w:leader="none" w:pos="11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covenants herein contained, and subject to the conditions herein set forth, the Company agrees to sell to the Underwriter and the Underwriter agrees to purchase, at a price of $60.43 per share, the Firm Shares.</w:t>
      </w:r>
    </w:p>
    <w:p>
      <w:pPr>
        <w:spacing w:after="0" w:line="118" w:lineRule="exact"/>
        <w:rPr>
          <w:rFonts w:ascii="Arial" w:cs="Arial" w:eastAsia="Arial" w:hAnsi="Arial"/>
          <w:sz w:val="18"/>
          <w:szCs w:val="18"/>
          <w:color w:val="auto"/>
        </w:rPr>
      </w:pPr>
    </w:p>
    <w:p>
      <w:pPr>
        <w:ind w:right="120" w:firstLine="921"/>
        <w:spacing w:after="0" w:line="253"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Payment for the Firm Shares to be sold hereunder is to be made in Federal (same day) funds to an account designated by the Company against electronic delivery thereof of the Firm Shares to the account of the Underwriter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in New York, New York, in accordance with the instructions from the Underwriter. Such payment and delivery are to be made through the facilities of The Depository Trust Company, New York, New York at 10:00 a.m., New York time, on November 15, 2004 or at such other time and date not later than five business days thereafter as you and the Company shall agree upon, such time and date being herein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(As used herein,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on which the New York Stock Exchange is open for trading and on which banks in New York are open for business and are not permitted by law or executive order to be closed.)</w:t>
      </w:r>
    </w:p>
    <w:p>
      <w:pPr>
        <w:spacing w:after="0" w:line="133" w:lineRule="exact"/>
        <w:rPr>
          <w:rFonts w:ascii="Arial" w:cs="Arial" w:eastAsia="Arial" w:hAnsi="Arial"/>
          <w:sz w:val="18"/>
          <w:szCs w:val="18"/>
          <w:color w:val="auto"/>
        </w:rPr>
      </w:pPr>
    </w:p>
    <w:p>
      <w:pPr>
        <w:ind w:right="40" w:firstLine="921"/>
        <w:spacing w:after="0" w:line="287" w:lineRule="auto"/>
        <w:tabs>
          <w:tab w:leader="none" w:pos="1152"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addition, on the basis of the representations and warranties herein contained and subject to the terms and conditions herein set forth, the Company hereby grants an option to the Underwriter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to the Company setting forth the number of Option Shares as to which you are exercising the option and the time and date at which such Shares are to be delivered. The time and date at which Option Shares are to be electronically delivered shall be determined by the Underwriter but shall not be earlier than two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The option with respect to the Option Shares granted hereunder may be exercised only to cover over-allotments in the sale of the Firm Shares by the Underwriter. You may cancel such option at any time prior to its expiration by giving written notice of such cancellation to the Company. To the extent, if any, that the option is exercised, payment for the Option Shares shall be made on the Option Closing Date in Federal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8" w:name="page19"/>
    <w:bookmarkEnd w:id="1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(same day) funds to an account designated by the Company against electronic delivery thereof of the Option Shares to the account of the Underwriter through the facilities of DTC in New York, New York, in accordance with the instructions from the Underwriter.</w:t>
      </w:r>
    </w:p>
    <w:p>
      <w:pPr>
        <w:spacing w:after="0" w:line="118"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FFERING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7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It is understood that the Underwriter is to make a public offering of the Firm Shares as soon as the Underwriter deems it advisable to do so. The Firm Shares are to be initially offered to the public at the public offering price set forth in the Prospectus. The Underwriter may from time to time thereafter change the public offering price and other selling terms. To the extent, if at all, that any Option Shares are purchased pursuant to Section 2 hereof, the Underwriter will offer them to the public on the foregoing terms.</w:t>
      </w:r>
    </w:p>
    <w:p>
      <w:pPr>
        <w:spacing w:after="0" w:line="130"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OVENANTS OF THE</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and agrees with the Underwriter that:</w:t>
      </w:r>
    </w:p>
    <w:p>
      <w:pPr>
        <w:spacing w:after="0" w:line="77" w:lineRule="exact"/>
        <w:rPr>
          <w:sz w:val="20"/>
          <w:szCs w:val="20"/>
          <w:color w:val="auto"/>
        </w:rPr>
      </w:pPr>
    </w:p>
    <w:p>
      <w:pPr>
        <w:jc w:val="both"/>
        <w:ind w:right="260" w:firstLine="921"/>
        <w:spacing w:after="0" w:line="306"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Rule 430A is used or the filing of the Prospectus is otherwise required under Rule 424(b) or Rule 434, the Company will file the Prospectus (properly completed if Rule 430A has been used) pursuant to Rule 424(b) within the prescribed time period and will provide evidence satisfactory to DBSI of such timely filing. If the Company elects to rely on Rule 434, the Company will prepare and file a term sheet that complies with the requirements of Rule 434.</w:t>
      </w:r>
    </w:p>
    <w:p>
      <w:pPr>
        <w:spacing w:after="0" w:line="93" w:lineRule="exact"/>
        <w:rPr>
          <w:rFonts w:ascii="Arial" w:cs="Arial" w:eastAsia="Arial" w:hAnsi="Arial"/>
          <w:sz w:val="16"/>
          <w:szCs w:val="16"/>
          <w:color w:val="auto"/>
        </w:rPr>
      </w:pPr>
    </w:p>
    <w:p>
      <w:pPr>
        <w:ind w:firstLine="921"/>
        <w:spacing w:after="0" w:line="285"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and through the completion of the distribution of the Shares, the Company will notify you promptly (and, if requested by DBSI, will confirm such notice in writing) (i) of any request by the Commission for any amendment of or supplement to the Registration Statement or the Prospectus or for any additional information, (ii) of the Company’s intention to file or prepare any supplement or amendment to the Registration Statement or the Prospectus, (iii) of the mailing or the delivery to the Commission for filing of any amendment of or supplement to the Registration Statement or the Prospectus, including but not limited to Rule 462(b) under the Securities Act, (iv) of the issuance by the Commission of any stop order suspending the effectiveness of the Registration Statement or any post-effective amendment thereto or of the initiation, or the threatening, of any proceedings therefor, it being understood that the Company shall make every reasonable effort to avoid the issuance of any such stop order, (v) of the receipt of any comments from the Commission, and (vi)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prior to and through the completion of the distribution of the Shares, make every reasonable effort to prevent the issuance of any such stop order and, if issued, to obtain the lifting of such order as soon as possible. Prior to and through the completion of the distribution of the Shares, the Company will not file any amendment to the Registration Statement or any amendment of or supplement to the Prospectus (including the prospectus required to be filed pursuant to Rule 424(b) or Rule 434) that differs from the prospectus supplement filed with the Commission on November 9, 2004 or file any document under the Exchange Act if such document would be deemed to be incorporated by reference into the Prospectus to which DBSI shall reasonably object in writing after being timely furnished in advance a copy thereof. The Company will provide DBSI with copies of all such amendments, filings and other documents a sufficient time prior to any filing or other publication thereof to permit DBSI a reasonable opportunity to review and comment thereon.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right="40" w:firstLine="921"/>
        <w:spacing w:after="0" w:line="288" w:lineRule="auto"/>
        <w:tabs>
          <w:tab w:leader="none" w:pos="1152"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will cooperate with the Underwriter in endeavoring to qualify the Shares for sale under (or obtain exemptions from the application of the qualification requirements of) the securities laws of such jurisdictions as the Underwriter may reasonably have designated in writing and will make such applications, file such documents, and furnish such information as may be reasonably required for that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Underwriter may reasonably request for distribution of the Shares. The Company shall advise the Underwriter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consents to the use and delivery of the Prospectus by the Underwriter in accordance with Rule 430 and Section 5(b)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151" w:lineRule="exact"/>
        <w:rPr>
          <w:rFonts w:ascii="Arial" w:cs="Arial" w:eastAsia="Arial" w:hAnsi="Arial"/>
          <w:sz w:val="16"/>
          <w:szCs w:val="16"/>
          <w:color w:val="auto"/>
        </w:rPr>
      </w:pPr>
    </w:p>
    <w:p>
      <w:pPr>
        <w:ind w:right="60" w:firstLine="921"/>
        <w:spacing w:after="0" w:line="291" w:lineRule="auto"/>
        <w:tabs>
          <w:tab w:leader="none" w:pos="11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maintain in the Company’s files manually signed copies of the Registration Statement, as initially filed and all amendments thereto, including all consents and exhibits filed therewith, for at least five years after the date of filing. The Company will promptly deliver to the Underwriter such number of copies of the Prospectus and the Registration Statement, and all amendments of and supplements to such documents, if any, and all documents incorporated by reference in the Registration Statement and Prospectus or any amendment thereof or supplement thereto, as you may reasonably request. Prior to 10:00 A.M., New York City time, on the business day next succeeding the date of this Agreement and from time to time thereafter, the Company will furnish the Underwriter with copies of the Prospectus in such quantities as you may reasonably request.</w:t>
      </w:r>
    </w:p>
    <w:p>
      <w:pPr>
        <w:spacing w:after="0" w:line="106" w:lineRule="exact"/>
        <w:rPr>
          <w:rFonts w:ascii="Arial" w:cs="Arial" w:eastAsia="Arial" w:hAnsi="Arial"/>
          <w:sz w:val="16"/>
          <w:szCs w:val="16"/>
          <w:color w:val="auto"/>
        </w:rPr>
      </w:pPr>
    </w:p>
    <w:p>
      <w:pPr>
        <w:ind w:firstLine="921"/>
        <w:spacing w:after="0" w:line="289" w:lineRule="auto"/>
        <w:tabs>
          <w:tab w:leader="none" w:pos="11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comply with the Securities Act, the Exchange Act and the Rules and Regulations of the Commission thereunder, so as to permit the completion of the distribution of the Shares as contemplated in this Agreement and the Prospectus. If during the period in which a prospectus is required by law to be delivered by the Underwriter or dealer, any event shall occur as a result of which, in the judgment of the Company or in the reasonable opinion of the Underwriter,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ind w:left="-40" w:firstLine="921"/>
        <w:spacing w:after="0" w:line="298" w:lineRule="auto"/>
        <w:tabs>
          <w:tab w:leader="none" w:pos="1122"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make generally available to its security holders, as soon as it is practicable to do so, but in any event not later than 15 months after the date of the Prospectus, an earnings statement (which need not be audited) in reasonable detail, covering a period of at least 12 consecutive months beginning after the date of the Prospectus, which earnings statement shall comply with the requirements of Section 11(a) of the Securities Act and Rule 158 of the Rules and Regulations, and will advise you in writing when such statement has been so made available.</w:t>
      </w:r>
    </w:p>
    <w:p>
      <w:pPr>
        <w:spacing w:after="0" w:line="99" w:lineRule="exact"/>
        <w:rPr>
          <w:rFonts w:ascii="Arial" w:cs="Arial" w:eastAsia="Arial" w:hAnsi="Arial"/>
          <w:sz w:val="16"/>
          <w:szCs w:val="16"/>
          <w:color w:val="auto"/>
        </w:rPr>
      </w:pPr>
    </w:p>
    <w:p>
      <w:pPr>
        <w:ind w:left="-40" w:right="40" w:firstLine="921"/>
        <w:spacing w:after="0" w:line="259" w:lineRule="auto"/>
        <w:tabs>
          <w:tab w:leader="none" w:pos="11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the Closing Date, the Company will furnish to the Underwriter,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26" w:lineRule="exact"/>
        <w:rPr>
          <w:rFonts w:ascii="Arial" w:cs="Arial" w:eastAsia="Arial" w:hAnsi="Arial"/>
          <w:sz w:val="18"/>
          <w:szCs w:val="18"/>
          <w:color w:val="auto"/>
        </w:rPr>
      </w:pPr>
    </w:p>
    <w:p>
      <w:pPr>
        <w:ind w:left="-40" w:right="60" w:firstLine="921"/>
        <w:spacing w:after="0" w:line="291" w:lineRule="auto"/>
        <w:tabs>
          <w:tab w:leader="none" w:pos="10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No offering, sale, short sale or other disposition of any shares of Common Stock of the Company or other securities convertible into or exchangeable or exercisable for shares of Common Stock or derivative of Common Stock (or agreement for such) will be made for a period of 60 days after the date of this Agreement, directly or indirectly, by the Company otherwise than hereunder or without the prior written consent of DBSI,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issue (i) shares of its Common Stock upon the exercise of options, (ii) shares of its Common Stock pursuant to stock grants and (iii) options to purchase its Common Stock, to directors, officers and employees of the Company, issued pursuant to employee or director benefit plans, stock option plans or the employee compensation plans.</w:t>
      </w:r>
    </w:p>
    <w:p>
      <w:pPr>
        <w:spacing w:after="0" w:line="106" w:lineRule="exact"/>
        <w:rPr>
          <w:rFonts w:ascii="Arial" w:cs="Arial" w:eastAsia="Arial" w:hAnsi="Arial"/>
          <w:sz w:val="16"/>
          <w:szCs w:val="16"/>
          <w:color w:val="auto"/>
        </w:rPr>
      </w:pPr>
    </w:p>
    <w:p>
      <w:pPr>
        <w:ind w:left="-40" w:right="400" w:firstLine="921"/>
        <w:spacing w:after="0" w:line="259" w:lineRule="auto"/>
        <w:tabs>
          <w:tab w:leader="none" w:pos="10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is required to be delivered under the Securities Act or the Exchange Act, will file all documents required to be filed with the Commission pursuant to the Securities Act, the Exchange Act and the Rules and Regulations within the time periods required thereby (including any extensions permitted by the Rules and Regulations thereunder).</w:t>
      </w:r>
    </w:p>
    <w:p>
      <w:pPr>
        <w:spacing w:after="0" w:line="126" w:lineRule="exact"/>
        <w:rPr>
          <w:rFonts w:ascii="Arial" w:cs="Arial" w:eastAsia="Arial" w:hAnsi="Arial"/>
          <w:sz w:val="18"/>
          <w:szCs w:val="18"/>
          <w:color w:val="auto"/>
        </w:rPr>
      </w:pPr>
    </w:p>
    <w:p>
      <w:pPr>
        <w:ind w:left="1120" w:hanging="23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use its best efforts to list, subject to notice of issuance, the Shares on the Nasdaq National Market.</w:t>
      </w:r>
    </w:p>
    <w:p>
      <w:pPr>
        <w:spacing w:after="0" w:line="157" w:lineRule="exact"/>
        <w:rPr>
          <w:rFonts w:ascii="Arial" w:cs="Arial" w:eastAsia="Arial" w:hAnsi="Arial"/>
          <w:sz w:val="18"/>
          <w:szCs w:val="18"/>
          <w:color w:val="auto"/>
        </w:rPr>
      </w:pPr>
    </w:p>
    <w:p>
      <w:pPr>
        <w:ind w:left="-40" w:right="200" w:firstLine="921"/>
        <w:spacing w:after="0" w:line="268" w:lineRule="auto"/>
        <w:tabs>
          <w:tab w:leader="none" w:pos="10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Company will use its best efforts to cause each executive officer, director, other person or entity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furnish to you, on or prior to the Closing Date, a letter or letters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0" w:right="80" w:firstLine="921"/>
        <w:spacing w:after="0" w:line="259" w:lineRule="auto"/>
        <w:tabs>
          <w:tab w:leader="none" w:pos="11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use its best efforts to cause each executive officer, director and 5% or greater stockholder of the Company’s Common Stock, to provide such information to counsel for the Underwriter as is necessary for it to submit information regarding this transaction to the NASD for review under NASD Rule 2710.</w:t>
      </w:r>
    </w:p>
    <w:p>
      <w:pPr>
        <w:spacing w:after="0" w:line="126" w:lineRule="exact"/>
        <w:rPr>
          <w:rFonts w:ascii="Arial" w:cs="Arial" w:eastAsia="Arial" w:hAnsi="Arial"/>
          <w:sz w:val="18"/>
          <w:szCs w:val="18"/>
          <w:color w:val="auto"/>
        </w:rPr>
      </w:pPr>
    </w:p>
    <w:p>
      <w:pPr>
        <w:ind w:left="-40" w:right="100" w:firstLine="921"/>
        <w:spacing w:after="0" w:line="370" w:lineRule="auto"/>
        <w:tabs>
          <w:tab w:leader="none" w:pos="1122"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shall apply the net proceeds of its sale of the Shares as set forth in the Prospectus and shall file such reports with the Commission with respect to the sale of the Shares and the application of the proceeds therefrom as may be required in accordance with Rule 463 under the Act.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1" w:name="page22"/>
    <w:bookmarkEnd w:id="21"/>
    <w:p>
      <w:pPr>
        <w:ind w:right="320" w:firstLine="921"/>
        <w:spacing w:after="0" w:line="268" w:lineRule="auto"/>
        <w:tabs>
          <w:tab w:leader="none" w:pos="1162"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will maintain a transfer agent and, if necessary under the jurisdiction of incorporation of the Company, a registrar for the Common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51" w:lineRule="exact"/>
        <w:rPr>
          <w:rFonts w:ascii="Arial" w:cs="Arial" w:eastAsia="Arial" w:hAnsi="Arial"/>
          <w:sz w:val="16"/>
          <w:szCs w:val="16"/>
          <w:color w:val="auto"/>
        </w:rPr>
      </w:pPr>
    </w:p>
    <w:p>
      <w:pPr>
        <w:ind w:right="580" w:firstLine="921"/>
        <w:spacing w:after="0" w:line="268" w:lineRule="auto"/>
        <w:tabs>
          <w:tab w:leader="none" w:pos="116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OSTS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XPENSES</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305" w:lineRule="auto"/>
        <w:rPr>
          <w:sz w:val="20"/>
          <w:szCs w:val="20"/>
          <w:color w:val="auto"/>
        </w:rPr>
      </w:pPr>
      <w:r>
        <w:rPr>
          <w:rFonts w:ascii="Arial" w:cs="Arial" w:eastAsia="Arial" w:hAnsi="Arial"/>
          <w:sz w:val="15"/>
          <w:szCs w:val="15"/>
          <w:color w:val="auto"/>
        </w:rPr>
        <w:t>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w:t>
      </w:r>
    </w:p>
    <w:p>
      <w:pPr>
        <w:ind w:firstLine="8"/>
        <w:spacing w:after="0" w:line="284" w:lineRule="auto"/>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cost of printing and delivering to, or as requested by, the Underwriter copies of the Registration Statement, the Prospectus, this Agreement, the Listing Application, the Blue Sky Survey and any supplements or amendments thereto; (iv) the filing fees of the Commission; (v) the filing fees and expenses (including reasonable and documented legal fees and disbursements of counsel to the Underwriter, not to exceed $15,000) incident to securing any required review by the NASD of the terms of the sale of the Shares; (vi) the Listing Fee of the Nasdaq National Market; and (vii) the expenses, including the reasonable and documented fees and disbursements of counsel for the Underwriter, incurred in connection with the qualification of the Shares under State securities or Blue Sky laws. The Company shall not, however, be required to pay for the Underwriter’s costs and expenses (other than those as described in clauses (v) and (vii) above), including, without limitation, (a) the fees and expenses of counsel to the Underwriter (other than as set forth above), (b) the “roadshow” expenses of the Underwriter and (c) the advertising expenses of the Underwriter incurred in connection with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sale of Shares pursuant to Section 2 of this Agreement shall not be consummated because the conditions in Section 6 hereof (other than Section 6(k)) are not satisfied, or because this Agreement is terminated by the Underwriter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the Underwriter, the Company shall reimburse the Underwriter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 for damages on account of loss of anticipated profits from the sale by them of the Shares.</w:t>
      </w:r>
    </w:p>
    <w:p>
      <w:pPr>
        <w:spacing w:after="0" w:line="118"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7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obligation of the Underwriter to purchase the Firm Shares on the Closing Date and the Option Shares, if any, on the Option Closing Date is subject to the accuracy, as of the Closing Date or the Option Closing Date, as the case may be, of the representations and warranties of the Company contained herein, and to the performance by the Company of its covenants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hereunder to be performed prior to the Closing Date or the Option Closing Date, as the case may be, and to the following additional conditions:</w:t>
      </w:r>
    </w:p>
    <w:p>
      <w:pPr>
        <w:spacing w:after="0" w:line="100" w:lineRule="exact"/>
        <w:rPr>
          <w:sz w:val="20"/>
          <w:szCs w:val="20"/>
          <w:color w:val="auto"/>
        </w:rPr>
      </w:pPr>
    </w:p>
    <w:p>
      <w:pPr>
        <w:ind w:right="80" w:firstLine="921"/>
        <w:spacing w:after="0" w:line="290"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remain effective on the date of this Agreement and through the Closing Date or the Option Closing Date, as the case may be, the Prospectus shall have been filed with the Commission in a timely fashion in accordance with Section 4(a) hereof and a form of the Prospectus containing information relating to the description of the Shares and the method of distribution and similar matters shall have been filed with the Commission pursuant to Rule 424(b) within the applicable time period. No stop order suspending the effectiveness of the Registration Statement, as amended from time to time, shall have been issued and no proceedings for that purpose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04" w:lineRule="exact"/>
        <w:rPr>
          <w:rFonts w:ascii="Arial" w:cs="Arial" w:eastAsia="Arial" w:hAnsi="Arial"/>
          <w:sz w:val="16"/>
          <w:szCs w:val="16"/>
          <w:color w:val="auto"/>
        </w:rPr>
      </w:pPr>
    </w:p>
    <w:p>
      <w:pPr>
        <w:ind w:right="8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Skadden, Arps, Slate, Meagher &amp; Flom LLP,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Schreck Brignone, Nevada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100" w:firstLine="921"/>
        <w:spacing w:after="0" w:line="332"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Underwriter shall have received from Manuel Alexandre de Oliveira Correia de Silva, special Macau counsel for the Company, an opinion dated the Closing Date or the Option Closing Date, as the case may be, substantially in the form attached hereto as </w:t>
      </w:r>
      <w:r>
        <w:rPr>
          <w:rFonts w:ascii="Arial" w:cs="Arial" w:eastAsia="Arial" w:hAnsi="Arial"/>
          <w:sz w:val="16"/>
          <w:szCs w:val="16"/>
          <w:u w:val="single" w:color="auto"/>
          <w:color w:val="auto"/>
        </w:rPr>
        <w:t>Annex III</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firstLine="921"/>
        <w:spacing w:after="0" w:line="268"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Fulbright &amp; Jaworski, special regional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IV</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Mann &amp; Partners, special Isle of Man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V</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Tanner De Witt Solicitors, special Hong Kong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VI</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right="40" w:firstLine="921"/>
        <w:spacing w:after="0" w:line="268"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Underwriter shall have received from Latham &amp; Watkins LLP, counsel for the Underwriter, an opinion dated the Closing Date or the Option Closing Date, as the case may be, in form and substance reasonably satisfactory to the Underwriter.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23" w:name="page24"/>
    <w:bookmarkEnd w:id="23"/>
    <w:p>
      <w:pPr>
        <w:ind w:right="240" w:firstLine="921"/>
        <w:spacing w:after="0" w:line="259"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Underwriter shall have received at or prior to the Closing Date from Latham &amp; Watkins LLP a memorandum or summary, in form and substance satisfactory to the it, with respect to the qualification for the Offering by the Underwriter of the Shares under the State securities or Blue Sky laws of such jurisdictions as the Underwriter may reasonably have designated to the Company.</w:t>
      </w:r>
    </w:p>
    <w:p>
      <w:pPr>
        <w:spacing w:after="0" w:line="126" w:lineRule="exact"/>
        <w:rPr>
          <w:rFonts w:ascii="Arial" w:cs="Arial" w:eastAsia="Arial" w:hAnsi="Arial"/>
          <w:sz w:val="18"/>
          <w:szCs w:val="18"/>
          <w:color w:val="auto"/>
        </w:rPr>
      </w:pPr>
    </w:p>
    <w:p>
      <w:pPr>
        <w:ind w:firstLine="921"/>
        <w:spacing w:after="0" w:line="290" w:lineRule="auto"/>
        <w:tabs>
          <w:tab w:leader="none" w:pos="11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shall have received, on each of the date hereof, the Closing Date and, if applicable, the Option Closing Date, a letter dated the date hereof, the Closing Date or the Option Closing Date, as the case may be, in form and substance satisfactory to you, of Deloitte &amp; Touche LLP confirming that they are independent public accountants within the meaning of the Securities Act and the applicable published Rules and Regulations thereunder and stating that in their opinion the financial statements and schedules examined by them and included or incorporated by reference in the Registration Statement and the Prospectus comply in form in all material respects with the applicable accounting requirements of the Securities Act and the related published Rules and Regulations; and containing such other statements and information as is ordinarily included in accountants’ “</w:t>
      </w:r>
      <w:r>
        <w:rPr>
          <w:rFonts w:ascii="Arial" w:cs="Arial" w:eastAsia="Arial" w:hAnsi="Arial"/>
          <w:sz w:val="16"/>
          <w:szCs w:val="16"/>
          <w:u w:val="single" w:color="auto"/>
          <w:color w:val="auto"/>
        </w:rPr>
        <w:t>comfort letters</w:t>
      </w:r>
      <w:r>
        <w:rPr>
          <w:rFonts w:ascii="Arial" w:cs="Arial" w:eastAsia="Arial" w:hAnsi="Arial"/>
          <w:sz w:val="16"/>
          <w:szCs w:val="16"/>
          <w:color w:val="auto"/>
        </w:rPr>
        <w:t>” to the Underwriter with respect to the financial statements and certain financial and statistical information contained or incorporated by reference in the Registration Statement and Prospectus.</w:t>
      </w:r>
    </w:p>
    <w:p>
      <w:pPr>
        <w:spacing w:after="0" w:line="104" w:lineRule="exact"/>
        <w:rPr>
          <w:rFonts w:ascii="Arial" w:cs="Arial" w:eastAsia="Arial" w:hAnsi="Arial"/>
          <w:sz w:val="16"/>
          <w:szCs w:val="16"/>
          <w:color w:val="auto"/>
        </w:rPr>
      </w:pPr>
    </w:p>
    <w:p>
      <w:pPr>
        <w:ind w:right="360" w:firstLine="921"/>
        <w:spacing w:after="0" w:line="259" w:lineRule="auto"/>
        <w:tabs>
          <w:tab w:leader="none" w:pos="1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and, if applicable, the Option Closing Date, as the case may be, a certificate or certificates of the Chief Executive Officer or President and the Chief Financial Officer of the Company to the effect that, as of the Closing Date or the Option Closing Date, as the case may be, each of them severally represents as follows:</w:t>
      </w:r>
    </w:p>
    <w:p>
      <w:pPr>
        <w:spacing w:after="0" w:line="45" w:lineRule="exact"/>
        <w:rPr>
          <w:rFonts w:ascii="Arial" w:cs="Arial" w:eastAsia="Arial" w:hAnsi="Arial"/>
          <w:sz w:val="18"/>
          <w:szCs w:val="18"/>
          <w:color w:val="auto"/>
        </w:rPr>
      </w:pPr>
    </w:p>
    <w:p>
      <w:pPr>
        <w:ind w:right="500" w:firstLine="1492"/>
        <w:spacing w:after="0" w:line="259" w:lineRule="auto"/>
        <w:tabs>
          <w:tab w:leader="none" w:pos="16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conditions set forth in subsection (a) of this Section 6 have been satisfied and no stop order suspending the effectiveness of the Registration Statement has been issued, and no proceedings for such purpose have been taken or are, to his knowledge, contemplated or threatened by the Commission;</w:t>
      </w:r>
    </w:p>
    <w:p>
      <w:pPr>
        <w:spacing w:after="0" w:line="126" w:lineRule="exact"/>
        <w:rPr>
          <w:rFonts w:ascii="Arial" w:cs="Arial" w:eastAsia="Arial" w:hAnsi="Arial"/>
          <w:sz w:val="18"/>
          <w:szCs w:val="18"/>
          <w:color w:val="auto"/>
        </w:rPr>
      </w:pPr>
    </w:p>
    <w:p>
      <w:pPr>
        <w:ind w:right="80" w:firstLine="1492"/>
        <w:spacing w:after="0" w:line="268" w:lineRule="auto"/>
        <w:tabs>
          <w:tab w:leader="none" w:pos="174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were true and correct as of the date hereof and are true and correct as of the Closing Date or the Option Closing Date, as the case may be;</w:t>
      </w:r>
    </w:p>
    <w:p>
      <w:pPr>
        <w:spacing w:after="0" w:line="118" w:lineRule="exact"/>
        <w:rPr>
          <w:rFonts w:ascii="Arial" w:cs="Arial" w:eastAsia="Arial" w:hAnsi="Arial"/>
          <w:sz w:val="18"/>
          <w:szCs w:val="18"/>
          <w:color w:val="auto"/>
        </w:rPr>
      </w:pPr>
    </w:p>
    <w:p>
      <w:pPr>
        <w:ind w:left="1800" w:hanging="308"/>
        <w:spacing w:after="0"/>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final Prospectus has been filed pursuant to Rule 424;</w:t>
      </w:r>
    </w:p>
    <w:p>
      <w:pPr>
        <w:spacing w:after="0" w:line="157" w:lineRule="exact"/>
        <w:rPr>
          <w:rFonts w:ascii="Arial" w:cs="Arial" w:eastAsia="Arial" w:hAnsi="Arial"/>
          <w:sz w:val="18"/>
          <w:szCs w:val="18"/>
          <w:color w:val="auto"/>
        </w:rPr>
      </w:pPr>
    </w:p>
    <w:p>
      <w:pPr>
        <w:ind w:right="20" w:firstLine="1492"/>
        <w:spacing w:after="0" w:line="255" w:lineRule="auto"/>
        <w:tabs>
          <w:tab w:leader="none" w:pos="17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He or she has carefully examined the Registration Statement and the Prospectus and, in his or her opinion, as of the effective date of the Registration Statement, the statements contained in the Registration Statement were true and correct, and such Registration Statement and Prospectus did not omit to state a material fact required to be stated therein or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 and</w:t>
      </w:r>
    </w:p>
    <w:p>
      <w:pPr>
        <w:spacing w:after="0" w:line="129" w:lineRule="exact"/>
        <w:rPr>
          <w:rFonts w:ascii="Arial" w:cs="Arial" w:eastAsia="Arial" w:hAnsi="Arial"/>
          <w:sz w:val="18"/>
          <w:szCs w:val="18"/>
          <w:color w:val="auto"/>
        </w:rPr>
      </w:pPr>
    </w:p>
    <w:p>
      <w:pPr>
        <w:ind w:right="60" w:firstLine="1492"/>
        <w:spacing w:after="0" w:line="259" w:lineRule="auto"/>
        <w:tabs>
          <w:tab w:leader="none" w:pos="17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and Prospectus, there has not been any Material Adverse Change or any development that could reasonably be expected to result in a Material Adverse Change, whether or not arising in the ordinary course of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right="20" w:firstLine="921"/>
        <w:spacing w:after="0" w:line="259"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Latham &amp; Watkins LLP, on behalf of the Underwriter, shall have submitted information regarding this transaction to the NASD for review under NASD Rule 2710 and the NASD shall have issued an opinion that it has “no objection” to the proposed underwriting terms and arrangements among the Company and the Underwriter set forth in this Agreement.</w:t>
      </w:r>
    </w:p>
    <w:p>
      <w:pPr>
        <w:spacing w:after="0" w:line="126" w:lineRule="exact"/>
        <w:rPr>
          <w:rFonts w:ascii="Arial" w:cs="Arial" w:eastAsia="Arial" w:hAnsi="Arial"/>
          <w:sz w:val="18"/>
          <w:szCs w:val="18"/>
          <w:color w:val="auto"/>
        </w:rPr>
      </w:pPr>
    </w:p>
    <w:p>
      <w:pPr>
        <w:ind w:right="280" w:firstLine="921"/>
        <w:spacing w:after="0" w:line="332"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 such further certificates and documents confirming the representations and warranties, covenants and conditions contained herein and related matters as the Underwriter may reasonably have requested.</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Firm Shares and Option Shares, if any, have been duly listed, subject to notice of issuance, on the Nasdaq National Market</w:t>
      </w:r>
    </w:p>
    <w:p>
      <w:pPr>
        <w:spacing w:after="0" w:line="157" w:lineRule="exact"/>
        <w:rPr>
          <w:rFonts w:ascii="Arial" w:cs="Arial" w:eastAsia="Arial" w:hAnsi="Arial"/>
          <w:sz w:val="18"/>
          <w:szCs w:val="18"/>
          <w:color w:val="auto"/>
        </w:rPr>
      </w:pPr>
    </w:p>
    <w:p>
      <w:pPr>
        <w:ind w:right="600" w:firstLine="921"/>
        <w:spacing w:after="0" w:line="268"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executive officer, director, other person or entity listed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have executed and delivered to the Underwriter the Lock-up Agreements, and such Lock-up Agreements are in full force and effect.</w:t>
      </w:r>
    </w:p>
    <w:p>
      <w:pPr>
        <w:spacing w:after="0" w:line="118" w:lineRule="exact"/>
        <w:rPr>
          <w:rFonts w:ascii="Arial" w:cs="Arial" w:eastAsia="Arial" w:hAnsi="Arial"/>
          <w:sz w:val="18"/>
          <w:szCs w:val="18"/>
          <w:color w:val="auto"/>
        </w:rPr>
      </w:pPr>
    </w:p>
    <w:p>
      <w:pPr>
        <w:ind w:firstLine="921"/>
        <w:spacing w:after="0" w:line="268" w:lineRule="auto"/>
        <w:tabs>
          <w:tab w:leader="none" w:pos="11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and, with respect to the Option Shares, any Option Closing Date, in the judgment of the Underwriter, there shall not have occurred any Material Adverse Change.</w:t>
      </w:r>
    </w:p>
    <w:p>
      <w:pPr>
        <w:spacing w:after="0" w:line="11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opinions and certificates mentioned in this Agreement shall be deemed to be in compliance with the provisions hereof only if they are in all material respects reasonably satisfactory to the Underwriter and to Latham &amp; Watkins LLP, counsel for the Underwriter.</w:t>
      </w:r>
    </w:p>
    <w:p>
      <w:pPr>
        <w:spacing w:after="0" w:line="11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 hereunder may be terminated by notifying the Company of such termination in writing or by telegram at or prior to the Closing Date or the Option Closing Date, as the case may be.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such event the Company and the Underwriter shall not be under any obligation to each other (except to the extent provided in Sections 5 and 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51"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77" w:lineRule="exact"/>
        <w:rPr>
          <w:sz w:val="20"/>
          <w:szCs w:val="20"/>
          <w:color w:val="auto"/>
        </w:rPr>
      </w:pPr>
    </w:p>
    <w:p>
      <w:pPr>
        <w:jc w:val="both"/>
        <w:ind w:right="180" w:firstLine="913"/>
        <w:spacing w:after="0" w:line="306" w:lineRule="auto"/>
        <w:rPr>
          <w:sz w:val="20"/>
          <w:szCs w:val="20"/>
          <w:color w:val="auto"/>
        </w:rPr>
      </w:pPr>
      <w:r>
        <w:rPr>
          <w:rFonts w:ascii="Arial" w:cs="Arial" w:eastAsia="Arial" w:hAnsi="Arial"/>
          <w:sz w:val="16"/>
          <w:szCs w:val="16"/>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93"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0" w:firstLine="921"/>
        <w:spacing w:after="0" w:line="332" w:lineRule="auto"/>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Underwriter and each person, if any, who controls the Underwriter within the meaning of either Section 15 of the Act or Section 20 of the Exchange Act, against any losses, claims, damages or liabilities to which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5" w:name="page26"/>
    <w:bookmarkEnd w:id="25"/>
    <w:p>
      <w:pPr>
        <w:ind w:right="1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the Prospectus or any amendment or supplement thereto, (ii) the omission or alleged omission to state therein a material fact required to be stated therein or necessary to make the statements therein not misleading in the light of the circumstances under which they were made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w:t>
      </w:r>
    </w:p>
    <w:p>
      <w:pPr>
        <w:spacing w:after="0" w:line="1" w:lineRule="exact"/>
        <w:rPr>
          <w:sz w:val="20"/>
          <w:szCs w:val="20"/>
          <w:color w:val="auto"/>
        </w:rPr>
      </w:pPr>
    </w:p>
    <w:p>
      <w:pPr>
        <w:ind w:firstLine="8"/>
        <w:spacing w:after="0" w:line="284"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the Underwriter through its gross negligence or willful misconduct);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will not be liable in any such case to the extent that any such loss, claim, damage or liability arises out of or is based upon an untrue statement or alleged untrue statement, or omission or alleged omission made in the Registration Statement, the Prospectus, or such amendment or supplement, in reliance upon and in conformity with written information furnished to the Company by the Underwriter specifically for use in the preparation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will not be liable to the Underwriter with respect to any such untrue statement or alleged untrue statement or omission or alleged omission made in the Prospectus to the extent that (1) such loss, claim, damage, or liability results from an untrue statement of a material fact or an omission of a material fact contained therein, which untrue statement or omission was corrected in the final Prospectus or a supplement to the final Prospectus, (2) the Company had previously furnished sufficient quantities of the final Prospectus or the supplement to the final Prospectus, as applicable, to the Underwriter within a reasonable amount of time prior to such sale, and (3) the Underwriter failed to deliver the final Prospectus or the supplement to the final Prospectus, as applicable, if required by law to have so delivered it, and such delivery would have been a complete defense against the person asserting such loss, claim, liability, expense, or damage. The Company also agrees to reimburse the Underwriter and each such controlling person upon demand for any legal or other out-of-pocket expenses reasonably incurred by the Underwriter or such controlling person in connection with investigating or defending any such loss, claim, damage or liability, action or proceeding or in responding to a subpoena or governmental inquiry related to the Offering of the Shares, whether or not the Underwriter or controlling person is a party to any action or proceeding. In the event that it is finally judicially determined that the Underwriter was not entitled to receive payments for legal and other expenses pursuant to this subparagraph, the Underwriter will promptly return all sums that had been advanced pursuant hereto.</w:t>
      </w:r>
    </w:p>
    <w:p>
      <w:pPr>
        <w:spacing w:after="0" w:line="114" w:lineRule="exact"/>
        <w:rPr>
          <w:rFonts w:ascii="Arial" w:cs="Arial" w:eastAsia="Arial" w:hAnsi="Arial"/>
          <w:sz w:val="16"/>
          <w:szCs w:val="16"/>
          <w:color w:val="auto"/>
        </w:rPr>
      </w:pPr>
    </w:p>
    <w:p>
      <w:pPr>
        <w:ind w:right="20" w:firstLine="921"/>
        <w:spacing w:after="0" w:line="290" w:lineRule="auto"/>
        <w:tabs>
          <w:tab w:leader="none" w:pos="1162"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Underwriter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6" w:name="page27"/>
    <w:bookmarkEnd w:id="2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amendment or supplement thereto, or the omission or the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Underwriter will be liable in each case to the extent, but only to the extent, that such untrue statement or alleged untrue statement or omission or alleged omission has been made in the Registration Statement, the Prospectus or such amendment or supplement, in reliance upon and in conformity with written information furnished to the Company by or through the Underwriter specifically for use in the preparation thereof. This indemnity agreement will be in addition to any liability which the Underwriter may otherwise have.</w:t>
      </w:r>
    </w:p>
    <w:p>
      <w:pPr>
        <w:spacing w:after="0" w:line="105" w:lineRule="exact"/>
        <w:rPr>
          <w:sz w:val="20"/>
          <w:szCs w:val="20"/>
          <w:color w:val="auto"/>
        </w:rPr>
      </w:pPr>
    </w:p>
    <w:p>
      <w:pPr>
        <w:ind w:firstLine="921"/>
        <w:spacing w:after="0" w:line="284"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this Section 8,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ind w:firstLine="921"/>
        <w:spacing w:after="0" w:line="285" w:lineRule="auto"/>
        <w:tabs>
          <w:tab w:leader="none" w:pos="1162"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 on the other shall be deemed to be in the same proportion as the total net proceeds from the Offering (before deducting expenses) received by the Company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 on the other and the parties’ relative intent, knowledge, access to information and opportunity to correct or prevent such statement or omission.</w:t>
      </w:r>
    </w:p>
    <w:p>
      <w:pPr>
        <w:spacing w:after="0" w:line="11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Company and the Underwriter agree that it would not be just and equitable if contributions pursuant to this Section 8(d) were determined by pro rata allocation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the Underwriter shall be required to contribute any amount in excess of the underwriting discounts and commissions applicable to the Shares purchased, and (ii) no person guilty of fraudulent misrepresentation (within the meaning of Section 11(f) of the Securities Act) shall be entitled to contribution from any person who was not guilty of such fraudulent misrepresentation.</w:t>
      </w:r>
    </w:p>
    <w:p>
      <w:pPr>
        <w:spacing w:after="0" w:line="105" w:lineRule="exact"/>
        <w:rPr>
          <w:sz w:val="20"/>
          <w:szCs w:val="20"/>
          <w:color w:val="auto"/>
        </w:rPr>
      </w:pPr>
    </w:p>
    <w:p>
      <w:pPr>
        <w:ind w:right="320" w:firstLine="921"/>
        <w:spacing w:after="0" w:line="298"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any proceeding relating to the Registration Statement, the Prospectus or any supplement or amendment thereto, each party against whom contribution may be sought under this Section 8 hereby consents to the jurisdiction of any state or federal court in New York City,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99" w:lineRule="exact"/>
        <w:rPr>
          <w:rFonts w:ascii="Arial" w:cs="Arial" w:eastAsia="Arial" w:hAnsi="Arial"/>
          <w:sz w:val="16"/>
          <w:szCs w:val="16"/>
          <w:color w:val="auto"/>
        </w:rPr>
      </w:pPr>
    </w:p>
    <w:p>
      <w:pPr>
        <w:ind w:right="520" w:firstLine="921"/>
        <w:spacing w:after="0" w:line="268" w:lineRule="auto"/>
        <w:tabs>
          <w:tab w:leader="none" w:pos="11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8 shall be paid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the Underwriter or any person controlling the Underwriter, the Company, its directors or officers or any persons controlling the Company, (ii) acceptance of any Shares and payment therefor hereunder, and (iii) any termination of this Agreement. A successor to the Underwriter, or any person controlling the Underwriter, or to the Company, its directors or officers, or any person controlling the Company, shall be entitled to the benefits of the indemnity, contribution and reimbursement agreements contained in this Section 8.</w:t>
      </w:r>
    </w:p>
    <w:p>
      <w:pPr>
        <w:spacing w:after="0" w:line="107"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34" w:lineRule="auto"/>
        <w:rPr>
          <w:sz w:val="20"/>
          <w:szCs w:val="20"/>
          <w:color w:val="auto"/>
        </w:rPr>
      </w:pPr>
      <w:r>
        <w:rPr>
          <w:rFonts w:ascii="Arial" w:cs="Arial" w:eastAsia="Arial" w:hAnsi="Arial"/>
          <w:sz w:val="18"/>
          <w:szCs w:val="18"/>
          <w:color w:val="auto"/>
        </w:rPr>
        <w:t>All communications hereunder shall be in writing and, except as otherwise provided herein, will be mailed, delivered, telecopied or telegraphed and confirmed as follows: (i) if to the Underwriter, to Deutsche Bank Securities Inc., 60 Wall Street,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10005; Attention: Syndicate Manager, with a copy to Deutsche Bank Securities Inc., 60 Wall Street,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10005, Attention: General Counsel, with a copy to Underwriter’s Counsel at Latham &amp; Watkins LLP, 663 West Fifth Street, Suite 4000, Los Angeles, California 90071, Attention: Pamela B. Kelly, Esq.; and (ii) if to the Company, to Marc H. Rubinstein, Esq., and its counsel at Skadden, Arps, Slate, Meagher &amp; Flom LLP at the addresses set forth in the Registration Statement.</w:t>
      </w:r>
    </w:p>
    <w:p>
      <w:pPr>
        <w:spacing w:after="0" w:line="145"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may be terminated by you:</w:t>
      </w:r>
    </w:p>
    <w:p>
      <w:pPr>
        <w:spacing w:after="0" w:line="77" w:lineRule="exact"/>
        <w:rPr>
          <w:sz w:val="20"/>
          <w:szCs w:val="20"/>
          <w:color w:val="auto"/>
        </w:rPr>
      </w:pPr>
    </w:p>
    <w:p>
      <w:pPr>
        <w:ind w:firstLine="921"/>
        <w:spacing w:after="0" w:line="286"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and the Prospectus, any Material Adverse Change or any development that could, in your judgment, be expected to result in a Material Adverse Change, whether or not arising in the ordinary course of business,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the American Stock Exchange or the Nasdaq National Market or limitation on prices (other than limitations on hours or numbers of days of trading) for securities on either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National Market, the Commission, or any other governmental authority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9" w:name="page30"/>
    <w:bookmarkEnd w:id="29"/>
    <w:p>
      <w:pPr>
        <w:ind w:right="140" w:firstLine="8"/>
        <w:spacing w:after="0" w:line="268" w:lineRule="auto"/>
        <w:tabs>
          <w:tab w:leader="none" w:pos="395"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taking of any action by any governmental body or agency in respect of its monetary or fiscal affairs which in your reasonable opinion would result in a Material Adverse Change in the securities markets in the United States; or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as provided in Section 6 of this Agreement.</w:t>
      </w:r>
    </w:p>
    <w:p>
      <w:pPr>
        <w:spacing w:after="0" w:line="158"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UCCESSORS</w:t>
      </w:r>
      <w:r>
        <w:rPr>
          <w:rFonts w:ascii="Arial" w:cs="Arial" w:eastAsia="Arial" w:hAnsi="Arial"/>
          <w:sz w:val="18"/>
          <w:szCs w:val="18"/>
          <w:color w:val="auto"/>
        </w:rPr>
        <w:t>.</w:t>
      </w:r>
    </w:p>
    <w:p>
      <w:pPr>
        <w:spacing w:after="0" w:line="77" w:lineRule="exact"/>
        <w:rPr>
          <w:sz w:val="20"/>
          <w:szCs w:val="20"/>
          <w:color w:val="auto"/>
        </w:rPr>
      </w:pPr>
    </w:p>
    <w:p>
      <w:pPr>
        <w:ind w:right="480" w:firstLine="913"/>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 and the Company and their respective successors, executors, administrators, heirs and assigns, and the officers, directors and controlling persons referred to herein, and no other person will have any right or obligation hereunder. No purchaser of any of the Shares from the Underwriter shall be deemed a successor or assign merely because of such purchase.</w:t>
      </w:r>
    </w:p>
    <w:p>
      <w:pPr>
        <w:spacing w:after="0" w:line="93"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ROVIDED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and the Underwriter acknowledge and agree that the only information furnished or to be furnished by the Underwriter to the Company for inclusion in any Prospectus or the Registration Statement consists of the information set forth in the third, tenth through sixteenth and twenty-second paragraphs under the caption “</w:t>
      </w:r>
      <w:r>
        <w:rPr>
          <w:rFonts w:ascii="Arial" w:cs="Arial" w:eastAsia="Arial" w:hAnsi="Arial"/>
          <w:sz w:val="18"/>
          <w:szCs w:val="18"/>
          <w:u w:val="single" w:color="auto"/>
          <w:color w:val="auto"/>
        </w:rPr>
        <w:t>Underwriting</w:t>
      </w:r>
      <w:r>
        <w:rPr>
          <w:rFonts w:ascii="Arial" w:cs="Arial" w:eastAsia="Arial" w:hAnsi="Arial"/>
          <w:sz w:val="18"/>
          <w:szCs w:val="18"/>
          <w:color w:val="auto"/>
        </w:rPr>
        <w:t>” in the Prospectus.</w:t>
      </w:r>
    </w:p>
    <w:p>
      <w:pPr>
        <w:spacing w:after="0" w:line="127"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ARTIAL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NFORCEABILITY</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130"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the Underwriter or controlling person thereof, or by or on behalf of the Company or its directors or officers and (c) delivery of and payment for the Shares under this Agreement.</w:t>
      </w:r>
    </w:p>
    <w:p>
      <w:pPr>
        <w:spacing w:after="0" w:line="13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18"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0" w:name="page31"/>
    <w:bookmarkEnd w:id="30"/>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between the Company and the Underwriter in accordance with its terms.</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6860"/>
        <w:spacing w:after="0"/>
        <w:tabs>
          <w:tab w:leader="none" w:pos="7340" w:val="left"/>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20"/>
          </w:cols>
          <w:pgMar w:left="240" w:top="280" w:right="8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Underwriting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Whyte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Paul Whyte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Kevin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Kevin Sullivan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19"/>
          </w:cols>
          <w:pgMar w:left="240" w:top="280"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Common Stock Offering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LAS VEGAS, NEVADA (November 9, 2004) – Wynn Resorts, Limited (Nasdaq:WYNN) announced today that it has agreed to sell 7,500,000 shares of its common stock to Deutsche Bank Securities Inc. The sale, which is being made pursuant to the Company’s existing shelf registration statement previously filed with, and declared effective by, the Securities and Exchange Commission, is expected to close on Monday, November 15, 2004, and is subject to customary conditions. Wynn Resorts has granted Deutsche Bank an option to purchase up to an additional 1,125,000 shares to cover over-allotments, if any.</w:t>
      </w:r>
    </w:p>
    <w:p>
      <w:pPr>
        <w:spacing w:after="0" w:line="9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net proceeds from the sale of the common stock will be approximately $453.0 million, after deducting underwriting discounts and estimated offering expenses payable by Wynn Resorts. Wynn Resorts intends to use the net proceeds from the offering to repay or reduce indebtedness, for the development of the Encore at Wynn Las Vegas and Wynn Macau projects, or for general corporate purposes.</w:t>
      </w:r>
    </w:p>
    <w:p>
      <w:pPr>
        <w:spacing w:after="0" w:line="12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This press release shall not constitute an offer to sell or a solicitation of an offer to buy the common stock. The offering of these securities will be made only by means of a prospectus. Copies of the prospectus may be obtained from Deutsche Bank Securities Inc., Attn: Syndicate, 60 Wall Street, 4th Floor, New York, New York 10005.</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 Wynn Resorts, Limited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Expansion of Wynn Las Vegas</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LAS VEGAS, NEVADA (November 8, 2004) – Wynn Resorts, Limited (Nasdaq:WYNN) announced that the financing for its intended expansion of its Wynn Las Vegas project, which was announced earlier today, may be effected in connection with a refinancing of existing indebtedness at Wynn Las Vegas, LLC.</w:t>
      </w:r>
    </w:p>
    <w:p>
      <w:pPr>
        <w:spacing w:after="0" w:line="7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 Wynn Resorts, Limited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3"/>
    </w:lvl>
  </w:abstractNum>
  <w:abstractNum w:abstractNumId="2">
    <w:nsid w:val="4353D0CD"/>
    <w:multiLevelType w:val="hybridMultilevel"/>
    <w:lvl w:ilvl="0">
      <w:lvlJc w:val="left"/>
      <w:lvlText w:val="1"/>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9"/>
    </w:lvl>
    <w:lvl w:ilvl="1">
      <w:lvlJc w:val="left"/>
      <w:lvlText w:val="(%2)"/>
      <w:numFmt w:val="lowerLetter"/>
      <w:start w:val="2"/>
    </w:lvl>
  </w:abstractNum>
  <w:abstractNum w:abstractNumId="6">
    <w:nsid w:val="71F32454"/>
    <w:multiLevelType w:val="hybridMultilevel"/>
    <w:lvl w:ilvl="0">
      <w:lvlJc w:val="left"/>
      <w:lvlText w:val="(%1)"/>
      <w:numFmt w:val="lowerLetter"/>
      <w:start w:val="3"/>
    </w:lvl>
  </w:abstractNum>
  <w:abstractNum w:abstractNumId="7">
    <w:nsid w:val="2CA88611"/>
    <w:multiLevelType w:val="hybridMultilevel"/>
    <w:lvl w:ilvl="0">
      <w:lvlJc w:val="left"/>
      <w:lvlText w:val="(%1)"/>
      <w:numFmt w:val="lowerLetter"/>
      <w:start w:val="5"/>
    </w:lvl>
  </w:abstractNum>
  <w:abstractNum w:abstractNumId="8">
    <w:nsid w:val="836C40E"/>
    <w:multiLevelType w:val="hybridMultilevel"/>
    <w:lvl w:ilvl="0">
      <w:lvlJc w:val="left"/>
      <w:lvlText w:val="(%1)"/>
      <w:numFmt w:val="lowerLetter"/>
      <w:start w:val="8"/>
    </w:lvl>
  </w:abstractNum>
  <w:abstractNum w:abstractNumId="9">
    <w:nsid w:val="2901D82"/>
    <w:multiLevelType w:val="hybridMultilevel"/>
    <w:lvl w:ilvl="0">
      <w:lvlJc w:val="left"/>
      <w:lvlText w:val="(%1)"/>
      <w:numFmt w:val="lowerLetter"/>
      <w:start w:val="13"/>
    </w:lvl>
  </w:abstractNum>
  <w:abstractNum w:abstractNumId="10">
    <w:nsid w:val="3A95F874"/>
    <w:multiLevelType w:val="hybridMultilevel"/>
    <w:lvl w:ilvl="0">
      <w:lvlJc w:val="left"/>
      <w:lvlText w:val="(%1)"/>
      <w:numFmt w:val="lowerLetter"/>
      <w:start w:val="16"/>
    </w:lvl>
  </w:abstractNum>
  <w:abstractNum w:abstractNumId="11">
    <w:nsid w:val="8138641"/>
    <w:multiLevelType w:val="hybridMultilevel"/>
    <w:lvl w:ilvl="0">
      <w:lvlJc w:val="left"/>
      <w:lvlText w:val="(%1)"/>
      <w:numFmt w:val="lowerLetter"/>
      <w:start w:val="18"/>
    </w:lvl>
  </w:abstractNum>
  <w:abstractNum w:abstractNumId="12">
    <w:nsid w:val="1E7FF521"/>
    <w:multiLevelType w:val="hybridMultilevel"/>
    <w:lvl w:ilvl="0">
      <w:lvlJc w:val="left"/>
      <w:lvlText w:val="(%1)"/>
      <w:numFmt w:val="lowerLetter"/>
      <w:start w:val="20"/>
    </w:lvl>
  </w:abstractNum>
  <w:abstractNum w:abstractNumId="13">
    <w:nsid w:val="7C3DBD3D"/>
    <w:multiLevelType w:val="hybridMultilevel"/>
    <w:lvl w:ilvl="0">
      <w:lvlJc w:val="left"/>
      <w:lvlText w:val="(%1)"/>
      <w:numFmt w:val="lowerLetter"/>
      <w:start w:val="21"/>
    </w:lvl>
  </w:abstractNum>
  <w:abstractNum w:abstractNumId="14">
    <w:nsid w:val="737B8DDC"/>
    <w:multiLevelType w:val="hybridMultilevel"/>
    <w:lvl w:ilvl="0">
      <w:lvlJc w:val="left"/>
      <w:lvlText w:val="(%1)"/>
      <w:numFmt w:val="lowerLetter"/>
      <w:start w:val="61"/>
    </w:lvl>
    <w:lvl w:ilvl="1">
      <w:lvlJc w:val="left"/>
      <w:lvlText w:val="(%2)"/>
      <w:numFmt w:val="lowerLetter"/>
      <w:start w:val="26"/>
    </w:lvl>
  </w:abstractNum>
  <w:abstractNum w:abstractNumId="15">
    <w:nsid w:val="6CEAF087"/>
    <w:multiLevelType w:val="hybridMultilevel"/>
    <w:lvl w:ilvl="0">
      <w:lvlJc w:val="left"/>
      <w:lvlText w:val="(%1)"/>
      <w:numFmt w:val="lowerLetter"/>
      <w:start w:val="27"/>
    </w:lvl>
  </w:abstractNum>
  <w:abstractNum w:abstractNumId="16">
    <w:nsid w:val="22221A70"/>
    <w:multiLevelType w:val="hybridMultilevel"/>
    <w:lvl w:ilvl="0">
      <w:lvlJc w:val="left"/>
      <w:lvlText w:val="(%1)"/>
      <w:numFmt w:val="lowerLetter"/>
      <w:start w:val="30"/>
    </w:lvl>
  </w:abstractNum>
  <w:abstractNum w:abstractNumId="17">
    <w:nsid w:val="4516DDE9"/>
    <w:multiLevelType w:val="hybridMultilevel"/>
    <w:lvl w:ilvl="0">
      <w:lvlJc w:val="left"/>
      <w:lvlText w:val="%1"/>
      <w:numFmt w:val="lowerLetter"/>
      <w:start w:val="1"/>
    </w:lvl>
    <w:lvl w:ilvl="1">
      <w:lvlJc w:val="left"/>
      <w:lvlText w:val="(%2)"/>
      <w:numFmt w:val="lowerLetter"/>
      <w:start w:val="36"/>
    </w:lvl>
  </w:abstractNum>
  <w:abstractNum w:abstractNumId="18">
    <w:nsid w:val="3006C83E"/>
    <w:multiLevelType w:val="hybridMultilevel"/>
    <w:lvl w:ilvl="0">
      <w:lvlJc w:val="left"/>
      <w:lvlText w:val="(%1)"/>
      <w:numFmt w:val="lowerLetter"/>
      <w:start w:val="9"/>
    </w:lvl>
    <w:lvl w:ilvl="1">
      <w:lvlJc w:val="left"/>
      <w:lvlText w:val="(%2)"/>
      <w:numFmt w:val="lowerLetter"/>
      <w:start w:val="40"/>
    </w:lvl>
  </w:abstractNum>
  <w:abstractNum w:abstractNumId="19">
    <w:nsid w:val="614FD4A1"/>
    <w:multiLevelType w:val="hybridMultilevel"/>
    <w:lvl w:ilvl="0">
      <w:lvlJc w:val="left"/>
      <w:lvlText w:val="(%1)"/>
      <w:numFmt w:val="lowerLetter"/>
      <w:start w:val="39"/>
    </w:lvl>
  </w:abstractNum>
  <w:abstractNum w:abstractNumId="20">
    <w:nsid w:val="419AC241"/>
    <w:multiLevelType w:val="hybridMultilevel"/>
    <w:lvl w:ilvl="0">
      <w:lvlJc w:val="left"/>
      <w:lvlText w:val="(%1)"/>
      <w:numFmt w:val="lowerLetter"/>
      <w:start w:val="41"/>
    </w:lvl>
  </w:abstractNum>
  <w:abstractNum w:abstractNumId="21">
    <w:nsid w:val="5577F8E1"/>
    <w:multiLevelType w:val="hybridMultilevel"/>
    <w:lvl w:ilvl="0">
      <w:lvlJc w:val="left"/>
      <w:lvlText w:val="%1."/>
      <w:numFmt w:val="decimal"/>
      <w:start w:val="2"/>
    </w:lvl>
    <w:lvl w:ilvl="1">
      <w:lvlJc w:val="left"/>
      <w:lvlText w:val="(%2)"/>
      <w:numFmt w:val="lowerLetter"/>
      <w:start w:val="1"/>
    </w:lvl>
  </w:abstractNum>
  <w:abstractNum w:abstractNumId="22">
    <w:nsid w:val="440BADFC"/>
    <w:multiLevelType w:val="hybridMultilevel"/>
    <w:lvl w:ilvl="0">
      <w:lvlJc w:val="left"/>
      <w:lvlText w:val="%1."/>
      <w:numFmt w:val="decimal"/>
      <w:start w:val="3"/>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3"/>
    </w:lvl>
  </w:abstractNum>
  <w:abstractNum w:abstractNumId="26">
    <w:nsid w:val="7724C67E"/>
    <w:multiLevelType w:val="hybridMultilevel"/>
    <w:lvl w:ilvl="0">
      <w:lvlJc w:val="left"/>
      <w:lvlText w:val="(%1)"/>
      <w:numFmt w:val="lowerLetter"/>
      <w:start w:val="7"/>
    </w:lvl>
  </w:abstractNum>
  <w:abstractNum w:abstractNumId="27">
    <w:nsid w:val="5C482A97"/>
    <w:multiLevelType w:val="hybridMultilevel"/>
    <w:lvl w:ilvl="0">
      <w:lvlJc w:val="left"/>
      <w:lvlText w:val="%1"/>
      <w:numFmt w:val="decimal"/>
      <w:start w:val="1"/>
    </w:lvl>
    <w:lvl w:ilvl="1">
      <w:lvlJc w:val="left"/>
      <w:lvlText w:val="(%2)"/>
      <w:numFmt w:val="lowerLetter"/>
      <w:start w:val="15"/>
    </w:lvl>
  </w:abstractNum>
  <w:abstractNum w:abstractNumId="28">
    <w:nsid w:val="2463B9EA"/>
    <w:multiLevelType w:val="hybridMultilevel"/>
    <w:lvl w:ilvl="0">
      <w:lvlJc w:val="left"/>
      <w:lvlText w:val="%1."/>
      <w:numFmt w:val="decimal"/>
      <w:start w:val="5"/>
    </w:lvl>
    <w:lvl w:ilvl="1">
      <w:lvlJc w:val="left"/>
      <w:lvlText w:val="%2"/>
      <w:numFmt w:val="lowerLetter"/>
      <w:start w:val="1"/>
    </w:lvl>
  </w:abstractNum>
  <w:abstractNum w:abstractNumId="29">
    <w:nsid w:val="5E884ADC"/>
    <w:multiLevelType w:val="hybridMultilevel"/>
    <w:lvl w:ilvl="0">
      <w:lvlJc w:val="left"/>
      <w:lvlText w:val="(%1)"/>
      <w:numFmt w:val="lowerRoman"/>
      <w:start w:val="3"/>
    </w:lvl>
  </w:abstractNum>
  <w:abstractNum w:abstractNumId="30">
    <w:nsid w:val="51EAD36B"/>
    <w:multiLevelType w:val="hybridMultilevel"/>
    <w:lvl w:ilvl="0">
      <w:lvlJc w:val="left"/>
      <w:lvlText w:val="%1."/>
      <w:numFmt w:val="decimal"/>
      <w:start w:val="6"/>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1"/>
    </w:lvl>
    <w:lvl w:ilvl="1">
      <w:lvlJc w:val="left"/>
      <w:lvlText w:val="(%2)"/>
      <w:numFmt w:val="lowerRoman"/>
      <w:start w:val="1"/>
    </w:lvl>
  </w:abstractNum>
  <w:abstractNum w:abstractNumId="33">
    <w:nsid w:val="153EA438"/>
    <w:multiLevelType w:val="hybridMultilevel"/>
    <w:lvl w:ilvl="0">
      <w:lvlJc w:val="left"/>
      <w:lvlText w:val="(%1)"/>
      <w:numFmt w:val="lowerLetter"/>
      <w:start w:val="14"/>
    </w:lvl>
  </w:abstractNum>
  <w:abstractNum w:abstractNumId="34">
    <w:nsid w:val="3855585C"/>
    <w:multiLevelType w:val="hybridMultilevel"/>
    <w:lvl w:ilvl="0">
      <w:lvlJc w:val="left"/>
      <w:lvlText w:val="%1."/>
      <w:numFmt w:val="decimal"/>
      <w:start w:val="7"/>
    </w:lvl>
  </w:abstractNum>
  <w:abstractNum w:abstractNumId="35">
    <w:nsid w:val="70A64E2A"/>
    <w:multiLevelType w:val="hybridMultilevel"/>
    <w:lvl w:ilvl="0">
      <w:lvlJc w:val="left"/>
      <w:lvlText w:val="%1."/>
      <w:numFmt w:val="decimal"/>
      <w:start w:val="8"/>
    </w:lvl>
    <w:lvl w:ilvl="1">
      <w:lvlJc w:val="left"/>
      <w:lvlText w:val="(%2)"/>
      <w:numFmt w:val="lowerLetter"/>
      <w:start w:val="1"/>
    </w:lvl>
  </w:abstractNum>
  <w:abstractNum w:abstractNumId="36">
    <w:nsid w:val="6A2342EC"/>
    <w:multiLevelType w:val="hybridMultilevel"/>
    <w:lvl w:ilvl="0">
      <w:lvlJc w:val="left"/>
      <w:lvlText w:val="(%1)"/>
      <w:numFmt w:val="lowerLetter"/>
      <w:start w:val="35"/>
    </w:lvl>
    <w:lvl w:ilvl="1">
      <w:lvlJc w:val="left"/>
      <w:lvlText w:val="(%2)"/>
      <w:numFmt w:val="lowerLetter"/>
      <w:start w:val="2"/>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lowerLetter"/>
      <w:start w:val="4"/>
    </w:lvl>
  </w:abstractNum>
  <w:abstractNum w:abstractNumId="39">
    <w:nsid w:val="725A06FB"/>
    <w:multiLevelType w:val="hybridMultilevel"/>
    <w:lvl w:ilvl="0">
      <w:lvlJc w:val="left"/>
      <w:lvlText w:val="(%1)"/>
      <w:numFmt w:val="lowerLetter"/>
      <w:start w:val="5"/>
    </w:lvl>
  </w:abstractNum>
  <w:abstractNum w:abstractNumId="40">
    <w:nsid w:val="2CD89A32"/>
    <w:multiLevelType w:val="hybridMultilevel"/>
    <w:lvl w:ilvl="0">
      <w:lvlJc w:val="left"/>
      <w:lvlText w:val="%1."/>
      <w:numFmt w:val="decimal"/>
      <w:start w:val="9"/>
    </w:lvl>
  </w:abstractNum>
  <w:abstractNum w:abstractNumId="41">
    <w:nsid w:val="57E4CCAF"/>
    <w:multiLevelType w:val="hybridMultilevel"/>
    <w:lvl w:ilvl="0">
      <w:lvlJc w:val="left"/>
      <w:lvlText w:val="%1."/>
      <w:numFmt w:val="decimal"/>
      <w:start w:val="10"/>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Roman"/>
      <w:start w:val="8"/>
    </w:lvl>
    <w:lvl w:ilvl="1">
      <w:lvlJc w:val="left"/>
      <w:lvlText w:val="(%2)"/>
      <w:numFmt w:val="lowerLetter"/>
      <w:start w:val="2"/>
    </w:lvl>
  </w:abstractNum>
  <w:abstractNum w:abstractNumId="44">
    <w:nsid w:val="542289EC"/>
    <w:multiLevelType w:val="hybridMultilevel"/>
    <w:lvl w:ilvl="0">
      <w:lvlJc w:val="left"/>
      <w:lvlText w:val="%1."/>
      <w:numFmt w:val="decimal"/>
      <w:start w:val="11"/>
    </w:lvl>
  </w:abstractNum>
  <w:abstractNum w:abstractNumId="45">
    <w:nsid w:val="6DE91B18"/>
    <w:multiLevelType w:val="hybridMultilevel"/>
    <w:lvl w:ilvl="0">
      <w:lvlJc w:val="left"/>
      <w:lvlText w:val="%1."/>
      <w:numFmt w:val="decimal"/>
      <w:start w:val="12"/>
    </w:lvl>
  </w:abstractNum>
  <w:abstractNum w:abstractNumId="46">
    <w:nsid w:val="38437FDB"/>
    <w:multiLevelType w:val="hybridMultilevel"/>
    <w:lvl w:ilvl="0">
      <w:lvlJc w:val="left"/>
      <w:lvlText w:val="%1."/>
      <w:numFmt w:val="decimal"/>
      <w:start w:val="13"/>
    </w:lvl>
  </w:abstractNum>
  <w:abstractNum w:abstractNumId="47">
    <w:nsid w:val="7644A45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2019-12-15T07:19:40Z</dcterms:created>
  <dcterms:modified xsi:type="dcterms:W3CDTF">2019-12-15T07:19:40Z</dcterms:modified>
</cp:coreProperties>
</file>