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2172335</wp:posOffset>
            </wp:positionH>
            <wp:positionV relativeFrom="paragraph">
              <wp:posOffset>295275</wp:posOffset>
            </wp:positionV>
            <wp:extent cx="282956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29560" cy="698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2172335</wp:posOffset>
            </wp:positionH>
            <wp:positionV relativeFrom="paragraph">
              <wp:posOffset>181610</wp:posOffset>
            </wp:positionV>
            <wp:extent cx="28295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29560" cy="698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CURRENT REPORT</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OF THE SECURITIES EXCHANGE ACT OF 1934</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Date of Report (Date of earliest event reported): June 12,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2172335</wp:posOffset>
            </wp:positionH>
            <wp:positionV relativeFrom="paragraph">
              <wp:posOffset>198755</wp:posOffset>
            </wp:positionV>
            <wp:extent cx="282956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9560" cy="6985"/>
                    </a:xfrm>
                    <a:prstGeom prst="rect">
                      <a:avLst/>
                    </a:prstGeom>
                    <a:noFill/>
                  </pic:spPr>
                </pic:pic>
              </a:graphicData>
            </a:graphic>
          </wp:anchor>
        </w:drawing>
      </w:r>
    </w:p>
    <w:p>
      <w:pPr>
        <w:spacing w:after="0" w:line="388" w:lineRule="exact"/>
        <w:rPr>
          <w:sz w:val="24"/>
          <w:szCs w:val="24"/>
          <w:color w:val="auto"/>
        </w:rPr>
      </w:pPr>
    </w:p>
    <w:p>
      <w:pPr>
        <w:jc w:val="center"/>
        <w:ind w:right="-19"/>
        <w:spacing w:after="0"/>
        <w:rPr>
          <w:sz w:val="20"/>
          <w:szCs w:val="20"/>
          <w:color w:val="auto"/>
        </w:rPr>
      </w:pPr>
      <w:r>
        <w:rPr>
          <w:rFonts w:ascii="Arial" w:cs="Arial" w:eastAsia="Arial" w:hAnsi="Arial"/>
          <w:sz w:val="34"/>
          <w:szCs w:val="34"/>
          <w:b w:val="1"/>
          <w:bCs w:val="1"/>
          <w:color w:val="auto"/>
        </w:rPr>
        <w:t>WYNN RESORTS, LIMITED</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00"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940" w:type="dxa"/>
            <w:vAlign w:val="bottom"/>
            <w:gridSpan w:val="2"/>
          </w:tcPr>
          <w:p>
            <w:pPr>
              <w:jc w:val="center"/>
              <w:ind w:left="196"/>
              <w:spacing w:after="0"/>
              <w:rPr>
                <w:sz w:val="20"/>
                <w:szCs w:val="20"/>
                <w:color w:val="auto"/>
              </w:rPr>
            </w:pPr>
            <w:r>
              <w:rPr>
                <w:rFonts w:ascii="Arial" w:cs="Arial" w:eastAsia="Arial" w:hAnsi="Arial"/>
                <w:sz w:val="14"/>
                <w:szCs w:val="14"/>
                <w:b w:val="1"/>
                <w:bCs w:val="1"/>
                <w:color w:val="auto"/>
                <w:w w:val="88"/>
              </w:rPr>
              <w:t>Nevada</w:t>
            </w:r>
          </w:p>
        </w:tc>
        <w:tc>
          <w:tcPr>
            <w:tcW w:w="3340" w:type="dxa"/>
            <w:vAlign w:val="bottom"/>
            <w:gridSpan w:val="2"/>
          </w:tcPr>
          <w:p>
            <w:pPr>
              <w:ind w:left="1240"/>
              <w:spacing w:after="0"/>
              <w:rPr>
                <w:sz w:val="20"/>
                <w:szCs w:val="20"/>
                <w:color w:val="auto"/>
              </w:rPr>
            </w:pPr>
            <w:r>
              <w:rPr>
                <w:rFonts w:ascii="Arial" w:cs="Arial" w:eastAsia="Arial" w:hAnsi="Arial"/>
                <w:sz w:val="14"/>
                <w:szCs w:val="14"/>
                <w:b w:val="1"/>
                <w:bCs w:val="1"/>
                <w:color w:val="auto"/>
              </w:rPr>
              <w:t>000-50028</w:t>
            </w:r>
          </w:p>
        </w:tc>
        <w:tc>
          <w:tcPr>
            <w:tcW w:w="2620" w:type="dxa"/>
            <w:vAlign w:val="bottom"/>
            <w:gridSpan w:val="2"/>
          </w:tcPr>
          <w:p>
            <w:pPr>
              <w:jc w:val="right"/>
              <w:ind w:right="1620"/>
              <w:spacing w:after="0"/>
              <w:rPr>
                <w:sz w:val="20"/>
                <w:szCs w:val="20"/>
                <w:color w:val="auto"/>
              </w:rPr>
            </w:pPr>
            <w:r>
              <w:rPr>
                <w:rFonts w:ascii="Arial" w:cs="Arial" w:eastAsia="Arial" w:hAnsi="Arial"/>
                <w:sz w:val="14"/>
                <w:szCs w:val="14"/>
                <w:b w:val="1"/>
                <w:bCs w:val="1"/>
                <w:color w:val="auto"/>
              </w:rPr>
              <w:t>46-0484987</w:t>
            </w:r>
          </w:p>
        </w:tc>
        <w:tc>
          <w:tcPr>
            <w:tcW w:w="1240" w:type="dxa"/>
            <w:vAlign w:val="bottom"/>
          </w:tcPr>
          <w:p>
            <w:pPr>
              <w:spacing w:after="0"/>
              <w:rPr>
                <w:sz w:val="16"/>
                <w:szCs w:val="16"/>
                <w:color w:val="auto"/>
              </w:rPr>
            </w:pPr>
          </w:p>
        </w:tc>
      </w:tr>
      <w:tr>
        <w:trPr>
          <w:trHeight w:val="142"/>
        </w:trPr>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940" w:type="dxa"/>
            <w:vAlign w:val="bottom"/>
            <w:gridSpan w:val="2"/>
          </w:tcPr>
          <w:p>
            <w:pPr>
              <w:jc w:val="center"/>
              <w:ind w:left="196"/>
              <w:spacing w:after="0"/>
              <w:rPr>
                <w:sz w:val="20"/>
                <w:szCs w:val="20"/>
                <w:color w:val="auto"/>
              </w:rPr>
            </w:pPr>
            <w:r>
              <w:rPr>
                <w:rFonts w:ascii="Arial" w:cs="Arial" w:eastAsia="Arial" w:hAnsi="Arial"/>
                <w:sz w:val="11"/>
                <w:szCs w:val="11"/>
                <w:b w:val="1"/>
                <w:bCs w:val="1"/>
                <w:color w:val="auto"/>
                <w:w w:val="93"/>
              </w:rPr>
              <w:t>(State or other jurisdiction</w:t>
            </w:r>
          </w:p>
        </w:tc>
        <w:tc>
          <w:tcPr>
            <w:tcW w:w="1120" w:type="dxa"/>
            <w:vAlign w:val="bottom"/>
          </w:tcPr>
          <w:p>
            <w:pPr>
              <w:spacing w:after="0"/>
              <w:rPr>
                <w:sz w:val="12"/>
                <w:szCs w:val="12"/>
                <w:color w:val="auto"/>
              </w:rPr>
            </w:pPr>
          </w:p>
        </w:tc>
        <w:tc>
          <w:tcPr>
            <w:tcW w:w="2220" w:type="dxa"/>
            <w:vAlign w:val="bottom"/>
          </w:tcPr>
          <w:p>
            <w:pPr>
              <w:ind w:left="120"/>
              <w:spacing w:after="0"/>
              <w:rPr>
                <w:sz w:val="20"/>
                <w:szCs w:val="20"/>
                <w:color w:val="auto"/>
              </w:rPr>
            </w:pPr>
            <w:r>
              <w:rPr>
                <w:rFonts w:ascii="Arial" w:cs="Arial" w:eastAsia="Arial" w:hAnsi="Arial"/>
                <w:sz w:val="11"/>
                <w:szCs w:val="11"/>
                <w:b w:val="1"/>
                <w:bCs w:val="1"/>
                <w:color w:val="auto"/>
              </w:rPr>
              <w:t>(Commission</w:t>
            </w:r>
          </w:p>
        </w:tc>
        <w:tc>
          <w:tcPr>
            <w:tcW w:w="3860" w:type="dxa"/>
            <w:vAlign w:val="bottom"/>
            <w:gridSpan w:val="3"/>
          </w:tcPr>
          <w:p>
            <w:pPr>
              <w:jc w:val="center"/>
              <w:ind w:right="2560"/>
              <w:spacing w:after="0"/>
              <w:rPr>
                <w:sz w:val="20"/>
                <w:szCs w:val="20"/>
                <w:color w:val="auto"/>
              </w:rPr>
            </w:pPr>
            <w:r>
              <w:rPr>
                <w:rFonts w:ascii="Arial" w:cs="Arial" w:eastAsia="Arial" w:hAnsi="Arial"/>
                <w:sz w:val="11"/>
                <w:szCs w:val="11"/>
                <w:b w:val="1"/>
                <w:bCs w:val="1"/>
                <w:color w:val="auto"/>
                <w:w w:val="97"/>
              </w:rPr>
              <w:t>(I.R.S. Employer</w:t>
            </w:r>
          </w:p>
        </w:tc>
      </w:tr>
      <w:tr>
        <w:trPr>
          <w:trHeight w:val="147"/>
        </w:trPr>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940" w:type="dxa"/>
            <w:vAlign w:val="bottom"/>
            <w:gridSpan w:val="2"/>
          </w:tcPr>
          <w:p>
            <w:pPr>
              <w:jc w:val="center"/>
              <w:ind w:left="196"/>
              <w:spacing w:after="0"/>
              <w:rPr>
                <w:sz w:val="20"/>
                <w:szCs w:val="20"/>
                <w:color w:val="auto"/>
              </w:rPr>
            </w:pPr>
            <w:r>
              <w:rPr>
                <w:rFonts w:ascii="Arial" w:cs="Arial" w:eastAsia="Arial" w:hAnsi="Arial"/>
                <w:sz w:val="11"/>
                <w:szCs w:val="11"/>
                <w:b w:val="1"/>
                <w:bCs w:val="1"/>
                <w:color w:val="auto"/>
                <w:w w:val="95"/>
              </w:rPr>
              <w:t>of incorporation)</w:t>
            </w:r>
          </w:p>
        </w:tc>
        <w:tc>
          <w:tcPr>
            <w:tcW w:w="1120" w:type="dxa"/>
            <w:vAlign w:val="bottom"/>
          </w:tcPr>
          <w:p>
            <w:pPr>
              <w:spacing w:after="0"/>
              <w:rPr>
                <w:sz w:val="12"/>
                <w:szCs w:val="12"/>
                <w:color w:val="auto"/>
              </w:rPr>
            </w:pPr>
          </w:p>
        </w:tc>
        <w:tc>
          <w:tcPr>
            <w:tcW w:w="2220" w:type="dxa"/>
            <w:vAlign w:val="bottom"/>
          </w:tcPr>
          <w:p>
            <w:pPr>
              <w:ind w:left="100"/>
              <w:spacing w:after="0"/>
              <w:rPr>
                <w:sz w:val="20"/>
                <w:szCs w:val="20"/>
                <w:color w:val="auto"/>
              </w:rPr>
            </w:pPr>
            <w:r>
              <w:rPr>
                <w:rFonts w:ascii="Arial" w:cs="Arial" w:eastAsia="Arial" w:hAnsi="Arial"/>
                <w:sz w:val="11"/>
                <w:szCs w:val="11"/>
                <w:b w:val="1"/>
                <w:bCs w:val="1"/>
                <w:color w:val="auto"/>
              </w:rPr>
              <w:t>File Number)</w:t>
            </w:r>
          </w:p>
        </w:tc>
        <w:tc>
          <w:tcPr>
            <w:tcW w:w="3860" w:type="dxa"/>
            <w:vAlign w:val="bottom"/>
            <w:gridSpan w:val="3"/>
          </w:tcPr>
          <w:p>
            <w:pPr>
              <w:jc w:val="center"/>
              <w:ind w:right="2540"/>
              <w:spacing w:after="0"/>
              <w:rPr>
                <w:sz w:val="20"/>
                <w:szCs w:val="20"/>
                <w:color w:val="auto"/>
              </w:rPr>
            </w:pPr>
            <w:r>
              <w:rPr>
                <w:rFonts w:ascii="Arial" w:cs="Arial" w:eastAsia="Arial" w:hAnsi="Arial"/>
                <w:sz w:val="11"/>
                <w:szCs w:val="11"/>
                <w:b w:val="1"/>
                <w:bCs w:val="1"/>
                <w:color w:val="auto"/>
                <w:w w:val="94"/>
              </w:rPr>
              <w:t>Identification No.)</w:t>
            </w:r>
          </w:p>
        </w:tc>
      </w:tr>
      <w:tr>
        <w:trPr>
          <w:trHeight w:val="199"/>
        </w:trPr>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80" w:type="dxa"/>
            <w:vAlign w:val="bottom"/>
            <w:gridSpan w:val="4"/>
          </w:tcPr>
          <w:p>
            <w:pPr>
              <w:jc w:val="center"/>
              <w:ind w:right="3019"/>
              <w:spacing w:after="0"/>
              <w:rPr>
                <w:sz w:val="20"/>
                <w:szCs w:val="20"/>
                <w:color w:val="auto"/>
              </w:rPr>
            </w:pPr>
            <w:r>
              <w:rPr>
                <w:rFonts w:ascii="Arial" w:cs="Arial" w:eastAsia="Arial" w:hAnsi="Arial"/>
                <w:sz w:val="14"/>
                <w:szCs w:val="14"/>
                <w:b w:val="1"/>
                <w:bCs w:val="1"/>
                <w:color w:val="auto"/>
                <w:w w:val="88"/>
              </w:rPr>
              <w:t>3131 Las Vegas Boulevard South</w:t>
            </w:r>
          </w:p>
        </w:tc>
        <w:tc>
          <w:tcPr>
            <w:tcW w:w="5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2"/>
        </w:trPr>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40" w:type="dxa"/>
            <w:vAlign w:val="bottom"/>
            <w:gridSpan w:val="2"/>
          </w:tcPr>
          <w:p>
            <w:pPr>
              <w:ind w:left="440"/>
              <w:spacing w:after="0"/>
              <w:rPr>
                <w:sz w:val="20"/>
                <w:szCs w:val="20"/>
                <w:color w:val="auto"/>
              </w:rPr>
            </w:pPr>
            <w:r>
              <w:rPr>
                <w:rFonts w:ascii="Arial" w:cs="Arial" w:eastAsia="Arial" w:hAnsi="Arial"/>
                <w:sz w:val="14"/>
                <w:szCs w:val="14"/>
                <w:b w:val="1"/>
                <w:bCs w:val="1"/>
                <w:color w:val="auto"/>
              </w:rPr>
              <w:t>Las Vegas, Nevada</w:t>
            </w:r>
          </w:p>
        </w:tc>
        <w:tc>
          <w:tcPr>
            <w:tcW w:w="1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620" w:type="dxa"/>
            <w:vAlign w:val="bottom"/>
            <w:gridSpan w:val="2"/>
          </w:tcPr>
          <w:p>
            <w:pPr>
              <w:jc w:val="right"/>
              <w:ind w:right="1780"/>
              <w:spacing w:after="0"/>
              <w:rPr>
                <w:sz w:val="20"/>
                <w:szCs w:val="20"/>
                <w:color w:val="auto"/>
              </w:rPr>
            </w:pPr>
            <w:r>
              <w:rPr>
                <w:rFonts w:ascii="Arial" w:cs="Arial" w:eastAsia="Arial" w:hAnsi="Arial"/>
                <w:sz w:val="14"/>
                <w:szCs w:val="14"/>
                <w:b w:val="1"/>
                <w:bCs w:val="1"/>
                <w:color w:val="auto"/>
              </w:rPr>
              <w:t>89109</w:t>
            </w:r>
          </w:p>
        </w:tc>
        <w:tc>
          <w:tcPr>
            <w:tcW w:w="1240" w:type="dxa"/>
            <w:vAlign w:val="bottom"/>
          </w:tcPr>
          <w:p>
            <w:pPr>
              <w:spacing w:after="0"/>
              <w:rPr>
                <w:sz w:val="18"/>
                <w:szCs w:val="18"/>
                <w:color w:val="auto"/>
              </w:rPr>
            </w:pPr>
          </w:p>
        </w:tc>
      </w:tr>
      <w:tr>
        <w:trPr>
          <w:trHeight w:val="172"/>
        </w:trPr>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80" w:type="dxa"/>
            <w:vAlign w:val="bottom"/>
            <w:gridSpan w:val="4"/>
          </w:tcPr>
          <w:p>
            <w:pPr>
              <w:jc w:val="center"/>
              <w:ind w:right="3019"/>
              <w:spacing w:after="0"/>
              <w:rPr>
                <w:sz w:val="20"/>
                <w:szCs w:val="20"/>
                <w:color w:val="auto"/>
              </w:rPr>
            </w:pPr>
            <w:r>
              <w:rPr>
                <w:rFonts w:ascii="Arial" w:cs="Arial" w:eastAsia="Arial" w:hAnsi="Arial"/>
                <w:sz w:val="11"/>
                <w:szCs w:val="11"/>
                <w:b w:val="1"/>
                <w:bCs w:val="1"/>
                <w:color w:val="auto"/>
                <w:w w:val="91"/>
              </w:rPr>
              <w:t>(Address of principal executive offices)</w:t>
            </w:r>
          </w:p>
        </w:tc>
        <w:tc>
          <w:tcPr>
            <w:tcW w:w="3860" w:type="dxa"/>
            <w:vAlign w:val="bottom"/>
            <w:gridSpan w:val="3"/>
          </w:tcPr>
          <w:p>
            <w:pPr>
              <w:jc w:val="center"/>
              <w:ind w:right="2540"/>
              <w:spacing w:after="0"/>
              <w:rPr>
                <w:sz w:val="20"/>
                <w:szCs w:val="20"/>
                <w:color w:val="auto"/>
              </w:rPr>
            </w:pPr>
            <w:r>
              <w:rPr>
                <w:rFonts w:ascii="Arial" w:cs="Arial" w:eastAsia="Arial" w:hAnsi="Arial"/>
                <w:sz w:val="11"/>
                <w:szCs w:val="11"/>
                <w:b w:val="1"/>
                <w:bCs w:val="1"/>
                <w:color w:val="auto"/>
                <w:w w:val="95"/>
              </w:rPr>
              <w:t>(Zip Code)</w:t>
            </w:r>
          </w:p>
        </w:tc>
      </w:tr>
      <w:tr>
        <w:trPr>
          <w:trHeight w:val="575"/>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340" w:type="dxa"/>
            <w:vAlign w:val="bottom"/>
            <w:gridSpan w:val="2"/>
          </w:tcPr>
          <w:p>
            <w:pPr>
              <w:jc w:val="center"/>
              <w:ind w:right="79"/>
              <w:spacing w:after="0"/>
              <w:rPr>
                <w:sz w:val="20"/>
                <w:szCs w:val="20"/>
                <w:color w:val="auto"/>
              </w:rPr>
            </w:pPr>
            <w:r>
              <w:rPr>
                <w:rFonts w:ascii="Arial" w:cs="Arial" w:eastAsia="Arial" w:hAnsi="Arial"/>
                <w:sz w:val="14"/>
                <w:szCs w:val="14"/>
                <w:b w:val="1"/>
                <w:bCs w:val="1"/>
                <w:color w:val="auto"/>
                <w:w w:val="91"/>
              </w:rPr>
              <w:t>(702) 770-7555</w:t>
            </w:r>
          </w:p>
        </w:tc>
        <w:tc>
          <w:tcPr>
            <w:tcW w:w="5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47"/>
        </w:trPr>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340" w:type="dxa"/>
            <w:vAlign w:val="bottom"/>
            <w:gridSpan w:val="2"/>
          </w:tcPr>
          <w:p>
            <w:pPr>
              <w:jc w:val="center"/>
              <w:ind w:right="79"/>
              <w:spacing w:after="0"/>
              <w:rPr>
                <w:sz w:val="20"/>
                <w:szCs w:val="20"/>
                <w:color w:val="auto"/>
              </w:rPr>
            </w:pPr>
            <w:r>
              <w:rPr>
                <w:rFonts w:ascii="Arial" w:cs="Arial" w:eastAsia="Arial" w:hAnsi="Arial"/>
                <w:sz w:val="11"/>
                <w:szCs w:val="11"/>
                <w:b w:val="1"/>
                <w:bCs w:val="1"/>
                <w:color w:val="auto"/>
                <w:w w:val="91"/>
              </w:rPr>
              <w:t>(Registrant’s telephone number, including area code)</w:t>
            </w:r>
          </w:p>
        </w:tc>
        <w:tc>
          <w:tcPr>
            <w:tcW w:w="5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320"/>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20" w:type="dxa"/>
            <w:vAlign w:val="bottom"/>
          </w:tcPr>
          <w:p>
            <w:pPr>
              <w:jc w:val="center"/>
              <w:ind w:right="1179"/>
              <w:spacing w:after="0"/>
              <w:rPr>
                <w:sz w:val="20"/>
                <w:szCs w:val="20"/>
                <w:color w:val="auto"/>
              </w:rPr>
            </w:pPr>
            <w:r>
              <w:rPr>
                <w:rFonts w:ascii="Arial" w:cs="Arial" w:eastAsia="Arial" w:hAnsi="Arial"/>
                <w:sz w:val="14"/>
                <w:szCs w:val="14"/>
                <w:b w:val="1"/>
                <w:bCs w:val="1"/>
                <w:color w:val="auto"/>
                <w:w w:val="91"/>
              </w:rPr>
              <w:t>Not Applicable</w:t>
            </w:r>
          </w:p>
        </w:tc>
        <w:tc>
          <w:tcPr>
            <w:tcW w:w="5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47"/>
        </w:trPr>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340" w:type="dxa"/>
            <w:vAlign w:val="bottom"/>
            <w:gridSpan w:val="2"/>
          </w:tcPr>
          <w:p>
            <w:pPr>
              <w:jc w:val="center"/>
              <w:ind w:right="79"/>
              <w:spacing w:after="0"/>
              <w:rPr>
                <w:sz w:val="20"/>
                <w:szCs w:val="20"/>
                <w:color w:val="auto"/>
              </w:rPr>
            </w:pPr>
            <w:r>
              <w:rPr>
                <w:rFonts w:ascii="Arial" w:cs="Arial" w:eastAsia="Arial" w:hAnsi="Arial"/>
                <w:sz w:val="11"/>
                <w:szCs w:val="11"/>
                <w:b w:val="1"/>
                <w:bCs w:val="1"/>
                <w:color w:val="auto"/>
                <w:w w:val="92"/>
              </w:rPr>
              <w:t>(Former name or former address, if changed since last report)</w:t>
            </w:r>
          </w:p>
        </w:tc>
        <w:tc>
          <w:tcPr>
            <w:tcW w:w="5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93"/>
        </w:trPr>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446"/>
        </w:trPr>
        <w:tc>
          <w:tcPr>
            <w:tcW w:w="4040" w:type="dxa"/>
            <w:vAlign w:val="bottom"/>
            <w:gridSpan w:val="5"/>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5"/>
        </w:trPr>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0" w:type="dxa"/>
            <w:vAlign w:val="bottom"/>
            <w:gridSpan w:val="3"/>
          </w:tcPr>
          <w:p>
            <w:pPr>
              <w:jc w:val="center"/>
              <w:ind w:right="1940"/>
              <w:spacing w:after="0"/>
              <w:rPr>
                <w:sz w:val="20"/>
                <w:szCs w:val="20"/>
                <w:color w:val="auto"/>
              </w:rPr>
            </w:pPr>
            <w:r>
              <w:rPr>
                <w:rFonts w:ascii="Arial" w:cs="Arial" w:eastAsia="Arial" w:hAnsi="Arial"/>
                <w:sz w:val="14"/>
                <w:szCs w:val="14"/>
                <w:b w:val="1"/>
                <w:bCs w:val="1"/>
                <w:color w:val="auto"/>
                <w:w w:val="87"/>
              </w:rPr>
              <w:t>Title of each class</w:t>
            </w:r>
          </w:p>
        </w:tc>
        <w:tc>
          <w:tcPr>
            <w:tcW w:w="3340" w:type="dxa"/>
            <w:vAlign w:val="bottom"/>
            <w:gridSpan w:val="2"/>
          </w:tcPr>
          <w:p>
            <w:pPr>
              <w:jc w:val="center"/>
              <w:ind w:right="2159"/>
              <w:spacing w:after="0"/>
              <w:rPr>
                <w:sz w:val="20"/>
                <w:szCs w:val="20"/>
                <w:color w:val="auto"/>
              </w:rPr>
            </w:pPr>
            <w:r>
              <w:rPr>
                <w:rFonts w:ascii="Arial" w:cs="Arial" w:eastAsia="Arial" w:hAnsi="Arial"/>
                <w:sz w:val="14"/>
                <w:szCs w:val="14"/>
                <w:b w:val="1"/>
                <w:bCs w:val="1"/>
                <w:color w:val="auto"/>
                <w:w w:val="91"/>
              </w:rPr>
              <w:t>Trading Symbol(s)</w:t>
            </w:r>
          </w:p>
        </w:tc>
        <w:tc>
          <w:tcPr>
            <w:tcW w:w="3860" w:type="dxa"/>
            <w:vAlign w:val="bottom"/>
            <w:gridSpan w:val="3"/>
          </w:tcPr>
          <w:p>
            <w:pPr>
              <w:jc w:val="center"/>
              <w:ind w:right="1240"/>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20" w:type="dxa"/>
            <w:vAlign w:val="bottom"/>
            <w:gridSpan w:val="2"/>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4"/>
        </w:trPr>
        <w:tc>
          <w:tcPr>
            <w:tcW w:w="60" w:type="dxa"/>
            <w:vAlign w:val="bottom"/>
          </w:tcPr>
          <w:p>
            <w:pPr>
              <w:spacing w:after="0"/>
              <w:rPr>
                <w:sz w:val="19"/>
                <w:szCs w:val="19"/>
                <w:color w:val="auto"/>
              </w:rPr>
            </w:pPr>
          </w:p>
        </w:tc>
        <w:tc>
          <w:tcPr>
            <w:tcW w:w="3980" w:type="dxa"/>
            <w:vAlign w:val="bottom"/>
            <w:gridSpan w:val="4"/>
          </w:tcPr>
          <w:p>
            <w:pPr>
              <w:jc w:val="center"/>
              <w:ind w:right="940"/>
              <w:spacing w:after="0"/>
              <w:rPr>
                <w:sz w:val="20"/>
                <w:szCs w:val="20"/>
                <w:color w:val="auto"/>
              </w:rPr>
            </w:pPr>
            <w:r>
              <w:rPr>
                <w:rFonts w:ascii="Arial" w:cs="Arial" w:eastAsia="Arial" w:hAnsi="Arial"/>
                <w:sz w:val="14"/>
                <w:szCs w:val="14"/>
                <w:color w:val="auto"/>
                <w:w w:val="91"/>
              </w:rPr>
              <w:t>Common stock, par value $0.01</w:t>
            </w:r>
          </w:p>
        </w:tc>
        <w:tc>
          <w:tcPr>
            <w:tcW w:w="3340" w:type="dxa"/>
            <w:vAlign w:val="bottom"/>
            <w:gridSpan w:val="2"/>
          </w:tcPr>
          <w:p>
            <w:pPr>
              <w:jc w:val="center"/>
              <w:ind w:right="2159"/>
              <w:spacing w:after="0"/>
              <w:rPr>
                <w:sz w:val="20"/>
                <w:szCs w:val="20"/>
                <w:color w:val="auto"/>
              </w:rPr>
            </w:pPr>
            <w:r>
              <w:rPr>
                <w:rFonts w:ascii="Arial" w:cs="Arial" w:eastAsia="Arial" w:hAnsi="Arial"/>
                <w:sz w:val="14"/>
                <w:szCs w:val="14"/>
                <w:color w:val="auto"/>
              </w:rPr>
              <w:t>WYNN</w:t>
            </w:r>
          </w:p>
        </w:tc>
        <w:tc>
          <w:tcPr>
            <w:tcW w:w="3860" w:type="dxa"/>
            <w:vAlign w:val="bottom"/>
            <w:gridSpan w:val="3"/>
          </w:tcPr>
          <w:p>
            <w:pPr>
              <w:jc w:val="center"/>
              <w:ind w:right="1260"/>
              <w:spacing w:after="0"/>
              <w:rPr>
                <w:sz w:val="20"/>
                <w:szCs w:val="20"/>
                <w:color w:val="auto"/>
              </w:rPr>
            </w:pPr>
            <w:r>
              <w:rPr>
                <w:rFonts w:ascii="Arial" w:cs="Arial" w:eastAsia="Arial" w:hAnsi="Arial"/>
                <w:sz w:val="14"/>
                <w:szCs w:val="14"/>
                <w:color w:val="auto"/>
                <w:w w:val="92"/>
              </w:rPr>
              <w:t>Nasdaq Global Select Market</w:t>
            </w:r>
          </w:p>
        </w:tc>
      </w:tr>
      <w:tr>
        <w:trPr>
          <w:trHeight w:val="182"/>
        </w:trPr>
        <w:tc>
          <w:tcPr>
            <w:tcW w:w="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bl>
    <w:p>
      <w:pPr>
        <w:spacing w:after="0" w:line="255"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9" w:lineRule="exact"/>
        <w:rPr>
          <w:sz w:val="24"/>
          <w:szCs w:val="24"/>
          <w:color w:val="auto"/>
        </w:rPr>
      </w:pPr>
    </w:p>
    <w:p>
      <w:pPr>
        <w:ind w:left="180" w:hanging="175"/>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20" w:lineRule="exact"/>
        <w:rPr>
          <w:rFonts w:ascii="MS PGothic" w:cs="MS PGothic" w:eastAsia="MS PGothic" w:hAnsi="MS PGothic"/>
          <w:sz w:val="14"/>
          <w:szCs w:val="14"/>
          <w:color w:val="auto"/>
        </w:rPr>
      </w:pPr>
    </w:p>
    <w:p>
      <w:pPr>
        <w:ind w:left="180" w:hanging="175"/>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9" w:lineRule="exact"/>
        <w:rPr>
          <w:rFonts w:ascii="MS PGothic" w:cs="MS PGothic" w:eastAsia="MS PGothic" w:hAnsi="MS PGothic"/>
          <w:sz w:val="14"/>
          <w:szCs w:val="14"/>
          <w:color w:val="auto"/>
        </w:rPr>
      </w:pPr>
    </w:p>
    <w:p>
      <w:pPr>
        <w:ind w:left="180" w:hanging="175"/>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8" w:lineRule="exact"/>
        <w:rPr>
          <w:rFonts w:ascii="MS PGothic" w:cs="MS PGothic" w:eastAsia="MS PGothic" w:hAnsi="MS PGothic"/>
          <w:sz w:val="14"/>
          <w:szCs w:val="14"/>
          <w:color w:val="auto"/>
        </w:rPr>
      </w:pPr>
    </w:p>
    <w:p>
      <w:pPr>
        <w:ind w:left="180" w:hanging="175"/>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9" w:lineRule="exact"/>
        <w:rPr>
          <w:sz w:val="24"/>
          <w:szCs w:val="24"/>
          <w:color w:val="auto"/>
        </w:rPr>
      </w:pPr>
    </w:p>
    <w:p>
      <w:pPr>
        <w:spacing w:after="0" w:line="251"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1" w:lineRule="exact"/>
        <w:rPr>
          <w:sz w:val="24"/>
          <w:szCs w:val="24"/>
          <w:color w:val="auto"/>
        </w:rPr>
      </w:pPr>
    </w:p>
    <w:p>
      <w:pPr>
        <w:spacing w:after="0" w:line="17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435610</wp:posOffset>
            </wp:positionV>
            <wp:extent cx="716153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1" w:name="page2"/>
    <w:bookmarkEnd w:id="1"/>
    <w:p>
      <w:pPr>
        <w:ind w:left="20"/>
        <w:spacing w:after="0"/>
        <w:tabs>
          <w:tab w:leader="none" w:pos="1340" w:val="left"/>
        </w:tabs>
        <w:rPr>
          <w:sz w:val="20"/>
          <w:szCs w:val="20"/>
          <w:color w:val="auto"/>
        </w:rPr>
      </w:pPr>
      <w:r>
        <w:rPr>
          <w:rFonts w:ascii="Arial" w:cs="Arial" w:eastAsia="Arial" w:hAnsi="Arial"/>
          <w:sz w:val="14"/>
          <w:szCs w:val="14"/>
          <w:b w:val="1"/>
          <w:bCs w:val="1"/>
          <w:color w:val="auto"/>
        </w:rPr>
        <w:t>Item 7.01</w:t>
      </w:r>
      <w:r>
        <w:rPr>
          <w:sz w:val="20"/>
          <w:szCs w:val="20"/>
          <w:color w:val="auto"/>
        </w:rPr>
        <w:tab/>
      </w:r>
      <w:r>
        <w:rPr>
          <w:rFonts w:ascii="Arial" w:cs="Arial" w:eastAsia="Arial" w:hAnsi="Arial"/>
          <w:sz w:val="12"/>
          <w:szCs w:val="12"/>
          <w:b w:val="1"/>
          <w:bCs w:val="1"/>
          <w:color w:val="auto"/>
        </w:rPr>
        <w:t>Regulation FD Disclosure.</w:t>
      </w:r>
    </w:p>
    <w:p>
      <w:pPr>
        <w:spacing w:after="0" w:line="204" w:lineRule="exact"/>
        <w:rPr>
          <w:sz w:val="20"/>
          <w:szCs w:val="20"/>
          <w:color w:val="auto"/>
        </w:rPr>
      </w:pPr>
    </w:p>
    <w:p>
      <w:pPr>
        <w:ind w:firstLine="382"/>
        <w:spacing w:after="0" w:line="260" w:lineRule="auto"/>
        <w:rPr>
          <w:sz w:val="20"/>
          <w:szCs w:val="20"/>
          <w:color w:val="auto"/>
        </w:rPr>
      </w:pPr>
      <w:r>
        <w:rPr>
          <w:rFonts w:ascii="Arial" w:cs="Arial" w:eastAsia="Arial" w:hAnsi="Arial"/>
          <w:sz w:val="14"/>
          <w:szCs w:val="14"/>
          <w:color w:val="auto"/>
        </w:rPr>
        <w:t>On June 14, 2020 (Hong Kong time), Wynn Macau, Limited (“Wynn Macau”), an indirect subsidiary of Wynn Resorts, Limited (“Wynn Resorts” or the “Company”) with its ordinary shares of common stock listed on The Stock Exchange of Hong Kong Limited (the “HKSE”), filed with the HKSE an announcement (the “Pricing Announcement”) that on June 12, 2020, Wynn Macau entered into a purchase agreement with certain Initial Purchasers, as defined in the purchase agreement, in connection with the issuance by Wynn Macau of $750.0 million aggregate principal amount of 5.500% senior notes due 2026, which issuance is expected to occur on June 19, 2020. Wynn Resorts owns approximately 72% of Wynn Macau’s ordinary shares of common stock. The Pricing Announcement is furnished herewith as Exhibit 99.1.</w:t>
      </w:r>
    </w:p>
    <w:p>
      <w:pPr>
        <w:spacing w:after="0" w:line="146" w:lineRule="exact"/>
        <w:rPr>
          <w:sz w:val="20"/>
          <w:szCs w:val="20"/>
          <w:color w:val="auto"/>
        </w:rPr>
      </w:pPr>
    </w:p>
    <w:p>
      <w:pPr>
        <w:ind w:right="100" w:firstLine="382"/>
        <w:spacing w:after="0" w:line="267" w:lineRule="auto"/>
        <w:rPr>
          <w:sz w:val="20"/>
          <w:szCs w:val="20"/>
          <w:color w:val="auto"/>
        </w:rPr>
      </w:pPr>
      <w:r>
        <w:rPr>
          <w:rFonts w:ascii="Arial" w:cs="Arial" w:eastAsia="Arial" w:hAnsi="Arial"/>
          <w:sz w:val="14"/>
          <w:szCs w:val="14"/>
          <w:color w:val="auto"/>
        </w:rPr>
        <w:t>The information furnished pursuant to this Item 7.01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74"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4"/>
          <w:szCs w:val="14"/>
          <w:b w:val="1"/>
          <w:bCs w:val="1"/>
          <w:color w:val="auto"/>
        </w:rPr>
        <w:t>Item 9.01</w:t>
      </w:r>
      <w:r>
        <w:rPr>
          <w:sz w:val="20"/>
          <w:szCs w:val="20"/>
          <w:color w:val="auto"/>
        </w:rPr>
        <w:tab/>
      </w:r>
      <w:r>
        <w:rPr>
          <w:rFonts w:ascii="Arial" w:cs="Arial" w:eastAsia="Arial" w:hAnsi="Arial"/>
          <w:sz w:val="12"/>
          <w:szCs w:val="12"/>
          <w:b w:val="1"/>
          <w:bCs w:val="1"/>
          <w:color w:val="auto"/>
        </w:rPr>
        <w:t>Financial Statements and Exhibits.</w:t>
      </w:r>
    </w:p>
    <w:p>
      <w:pPr>
        <w:spacing w:after="0" w:line="204" w:lineRule="exact"/>
        <w:rPr>
          <w:sz w:val="20"/>
          <w:szCs w:val="20"/>
          <w:color w:val="auto"/>
        </w:rPr>
      </w:pPr>
    </w:p>
    <w:p>
      <w:pPr>
        <w:ind w:left="460" w:hanging="429"/>
        <w:spacing w:after="0"/>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Exhibits.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w w:val="93"/>
              </w:rPr>
              <w:t>Exhibit No.</w:t>
            </w:r>
          </w:p>
        </w:tc>
        <w:tc>
          <w:tcPr>
            <w:tcW w:w="780" w:type="dxa"/>
            <w:vAlign w:val="bottom"/>
          </w:tcPr>
          <w:p>
            <w:pPr>
              <w:spacing w:after="0"/>
              <w:rPr>
                <w:sz w:val="10"/>
                <w:szCs w:val="10"/>
                <w:color w:val="auto"/>
              </w:rPr>
            </w:pPr>
          </w:p>
        </w:tc>
        <w:tc>
          <w:tcPr>
            <w:tcW w:w="9920" w:type="dxa"/>
            <w:vAlign w:val="bottom"/>
            <w:gridSpan w:val="2"/>
          </w:tcPr>
          <w:p>
            <w:pPr>
              <w:spacing w:after="0"/>
              <w:rPr>
                <w:sz w:val="20"/>
                <w:szCs w:val="20"/>
                <w:color w:val="auto"/>
              </w:rPr>
            </w:pPr>
            <w:r>
              <w:rPr>
                <w:rFonts w:ascii="Arial" w:cs="Arial" w:eastAsia="Arial" w:hAnsi="Arial"/>
                <w:sz w:val="11"/>
                <w:szCs w:val="11"/>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r>
      <w:tr>
        <w:trPr>
          <w:trHeight w:val="266"/>
        </w:trPr>
        <w:tc>
          <w:tcPr>
            <w:tcW w:w="580" w:type="dxa"/>
            <w:vAlign w:val="bottom"/>
            <w:gridSpan w:val="2"/>
          </w:tcPr>
          <w:p>
            <w:pPr>
              <w:ind w:left="20"/>
              <w:spacing w:after="0"/>
              <w:rPr>
                <w:sz w:val="20"/>
                <w:szCs w:val="20"/>
                <w:color w:val="auto"/>
              </w:rPr>
            </w:pPr>
            <w:r>
              <w:rPr>
                <w:rFonts w:ascii="Arial" w:cs="Arial" w:eastAsia="Arial" w:hAnsi="Arial"/>
                <w:sz w:val="14"/>
                <w:szCs w:val="14"/>
                <w:color w:val="auto"/>
              </w:rPr>
              <w:t>99.1</w:t>
            </w:r>
          </w:p>
        </w:tc>
        <w:tc>
          <w:tcPr>
            <w:tcW w:w="10700" w:type="dxa"/>
            <w:vAlign w:val="bottom"/>
            <w:gridSpan w:val="3"/>
          </w:tcPr>
          <w:p>
            <w:pPr>
              <w:ind w:left="780"/>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Pricing Announcement of Wynn Macau, Limited, dated June 12, 2020</w:t>
              </w:r>
            </w:hyperlink>
          </w:p>
        </w:tc>
      </w:tr>
      <w:tr>
        <w:trPr>
          <w:trHeight w:val="946"/>
        </w:trPr>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 w:name="page3"/>
    <w:bookmarkEnd w:id="2"/>
    <w:p>
      <w:pPr>
        <w:jc w:val="center"/>
        <w:ind w:right="-579"/>
        <w:spacing w:after="0"/>
        <w:rPr>
          <w:sz w:val="20"/>
          <w:szCs w:val="20"/>
          <w:color w:val="auto"/>
        </w:rPr>
      </w:pPr>
      <w:r>
        <w:rPr>
          <w:rFonts w:ascii="Arial" w:cs="Arial" w:eastAsia="Arial" w:hAnsi="Arial"/>
          <w:sz w:val="14"/>
          <w:szCs w:val="14"/>
          <w:b w:val="1"/>
          <w:bCs w:val="1"/>
          <w:color w:val="auto"/>
        </w:rPr>
        <w:t>SIGNATURES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44" w:lineRule="exact"/>
        <w:rPr>
          <w:sz w:val="20"/>
          <w:szCs w:val="20"/>
          <w:color w:val="auto"/>
        </w:rPr>
      </w:pPr>
    </w:p>
    <w:p>
      <w:pPr>
        <w:ind w:left="7180"/>
        <w:spacing w:after="0"/>
        <w:rPr>
          <w:sz w:val="20"/>
          <w:szCs w:val="20"/>
          <w:color w:val="auto"/>
        </w:rPr>
      </w:pPr>
      <w:r>
        <w:rPr>
          <w:rFonts w:ascii="Arial" w:cs="Arial" w:eastAsia="Arial" w:hAnsi="Arial"/>
          <w:sz w:val="14"/>
          <w:szCs w:val="14"/>
          <w:b w:val="1"/>
          <w:bCs w:val="1"/>
          <w:color w:val="auto"/>
        </w:rPr>
        <w:t>WYNN RESORTS, LIMITED</w:t>
      </w:r>
    </w:p>
    <w:p>
      <w:pPr>
        <w:sectPr>
          <w:pgSz w:w="11900" w:h="16838" w:orient="portrait"/>
          <w:cols w:equalWidth="0" w:num="1">
            <w:col w:w="10660"/>
          </w:cols>
          <w:pgMar w:left="320" w:top="730" w:right="919" w:bottom="1440" w:gutter="0" w:footer="0" w:header="0"/>
        </w:sectPr>
      </w:pP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color w:val="auto"/>
        </w:rPr>
        <w:t>Dated: June 15, 2020</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tabs>
          <w:tab w:leader="none" w:pos="6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33020</wp:posOffset>
            </wp:positionV>
            <wp:extent cx="26276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27630" cy="6985"/>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5780" w:space="720"/>
            <w:col w:w="4160"/>
          </w:cols>
          <w:pgMar w:left="320" w:top="730" w:right="919" w:bottom="1440" w:gutter="0" w:footer="0" w:header="0"/>
          <w:type w:val="continuous"/>
        </w:sectPr>
      </w:pPr>
    </w:p>
    <w:p>
      <w:pPr>
        <w:ind w:left="6580"/>
        <w:spacing w:after="0"/>
        <w:rPr>
          <w:sz w:val="20"/>
          <w:szCs w:val="20"/>
          <w:color w:val="auto"/>
        </w:rPr>
      </w:pPr>
      <w:r>
        <w:rPr>
          <w:rFonts w:ascii="Arial" w:cs="Arial" w:eastAsia="Arial" w:hAnsi="Arial"/>
          <w:sz w:val="14"/>
          <w:szCs w:val="14"/>
          <w:color w:val="auto"/>
        </w:rPr>
        <w:t>Craig S. Billings</w:t>
      </w:r>
    </w:p>
    <w:p>
      <w:pPr>
        <w:spacing w:after="0" w:line="51" w:lineRule="exact"/>
        <w:rPr>
          <w:sz w:val="20"/>
          <w:szCs w:val="20"/>
          <w:color w:val="auto"/>
        </w:rPr>
      </w:pPr>
    </w:p>
    <w:p>
      <w:pPr>
        <w:ind w:left="6580"/>
        <w:spacing w:after="0"/>
        <w:rPr>
          <w:sz w:val="20"/>
          <w:szCs w:val="20"/>
          <w:color w:val="auto"/>
        </w:rPr>
      </w:pPr>
      <w:r>
        <w:rPr>
          <w:rFonts w:ascii="Arial" w:cs="Arial" w:eastAsia="Arial" w:hAnsi="Arial"/>
          <w:sz w:val="12"/>
          <w:szCs w:val="12"/>
          <w:color w:val="auto"/>
        </w:rPr>
        <w:t>President, Chief Financial Officer and Treasurer</w:t>
      </w:r>
    </w:p>
    <w:p>
      <w:pPr>
        <w:spacing w:after="0" w:line="74" w:lineRule="exact"/>
        <w:rPr>
          <w:sz w:val="20"/>
          <w:szCs w:val="20"/>
          <w:color w:val="auto"/>
        </w:rPr>
      </w:pPr>
    </w:p>
    <w:p>
      <w:pPr>
        <w:ind w:left="6580"/>
        <w:spacing w:after="0"/>
        <w:rPr>
          <w:sz w:val="20"/>
          <w:szCs w:val="20"/>
          <w:color w:val="auto"/>
        </w:rPr>
      </w:pPr>
      <w:r>
        <w:rPr>
          <w:rFonts w:ascii="Arial" w:cs="Arial" w:eastAsia="Arial" w:hAnsi="Arial"/>
          <w:sz w:val="14"/>
          <w:szCs w:val="14"/>
          <w:color w:val="auto"/>
        </w:rPr>
        <w:t>(Principal Financial and Accounting Officer)</w:t>
      </w:r>
    </w:p>
    <w:p>
      <w:pPr>
        <w:sectPr>
          <w:pgSz w:w="11900" w:h="16838" w:orient="portrait"/>
          <w:cols w:equalWidth="0" w:num="1">
            <w:col w:w="10660"/>
          </w:cols>
          <w:pgMar w:left="320" w:top="730" w:right="919" w:bottom="1440" w:gutter="0" w:footer="0" w:header="0"/>
          <w:type w:val="continuous"/>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2020-06-15T07:37:23Z</dcterms:created>
  <dcterms:modified xsi:type="dcterms:W3CDTF">2020-06-15T07:37:23Z</dcterms:modified>
</cp:coreProperties>
</file>