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840" w:space="620"/>
            <w:col w:w="79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13"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5"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Class</w:t>
            </w:r>
          </w:p>
        </w:tc>
        <w:tc>
          <w:tcPr>
            <w:tcW w:w="484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at April 30, 2008</w:t>
            </w:r>
          </w:p>
        </w:tc>
        <w:tc>
          <w:tcPr>
            <w:tcW w:w="1760" w:type="dxa"/>
            <w:vAlign w:val="bottom"/>
          </w:tcPr>
          <w:p>
            <w:pPr>
              <w:spacing w:after="0"/>
              <w:rPr>
                <w:sz w:val="14"/>
                <w:szCs w:val="14"/>
                <w:color w:val="auto"/>
              </w:rPr>
            </w:pPr>
          </w:p>
        </w:tc>
      </w:tr>
      <w:tr>
        <w:trPr>
          <w:trHeight w:val="216"/>
        </w:trPr>
        <w:tc>
          <w:tcPr>
            <w:tcW w:w="2980" w:type="dxa"/>
            <w:vAlign w:val="bottom"/>
            <w:gridSpan w:val="2"/>
          </w:tcPr>
          <w:p>
            <w:pPr>
              <w:ind w:left="1680"/>
              <w:spacing w:after="0"/>
              <w:rPr>
                <w:sz w:val="20"/>
                <w:szCs w:val="20"/>
                <w:color w:val="auto"/>
              </w:rPr>
            </w:pPr>
            <w:r>
              <w:rPr>
                <w:rFonts w:ascii="Arial" w:cs="Arial" w:eastAsia="Arial" w:hAnsi="Arial"/>
                <w:sz w:val="18"/>
                <w:szCs w:val="18"/>
                <w:color w:val="auto"/>
                <w:w w:val="91"/>
              </w:rPr>
              <w:t>Common stock, $</w:t>
            </w:r>
          </w:p>
        </w:tc>
        <w:tc>
          <w:tcPr>
            <w:tcW w:w="4840" w:type="dxa"/>
            <w:vAlign w:val="bottom"/>
          </w:tcPr>
          <w:p>
            <w:pPr>
              <w:spacing w:after="0"/>
              <w:rPr>
                <w:sz w:val="20"/>
                <w:szCs w:val="20"/>
                <w:color w:val="auto"/>
              </w:rPr>
            </w:pPr>
            <w:r>
              <w:rPr>
                <w:rFonts w:ascii="Arial" w:cs="Arial" w:eastAsia="Arial" w:hAnsi="Arial"/>
                <w:sz w:val="18"/>
                <w:szCs w:val="18"/>
                <w:color w:val="auto"/>
              </w:rPr>
              <w:t>0.01 par value</w:t>
            </w:r>
          </w:p>
        </w:tc>
        <w:tc>
          <w:tcPr>
            <w:tcW w:w="1840" w:type="dxa"/>
            <w:vAlign w:val="bottom"/>
          </w:tcPr>
          <w:p>
            <w:pPr>
              <w:jc w:val="right"/>
              <w:ind w:right="402"/>
              <w:spacing w:after="0"/>
              <w:rPr>
                <w:sz w:val="20"/>
                <w:szCs w:val="20"/>
                <w:color w:val="auto"/>
              </w:rPr>
            </w:pPr>
            <w:r>
              <w:rPr>
                <w:rFonts w:ascii="Arial" w:cs="Arial" w:eastAsia="Arial" w:hAnsi="Arial"/>
                <w:sz w:val="18"/>
                <w:szCs w:val="18"/>
                <w:color w:val="auto"/>
              </w:rPr>
              <w:t>111,834,048</w:t>
            </w:r>
          </w:p>
        </w:tc>
        <w:tc>
          <w:tcPr>
            <w:tcW w:w="1760" w:type="dxa"/>
            <w:vAlign w:val="bottom"/>
          </w:tcPr>
          <w:p>
            <w:pPr>
              <w:spacing w:after="0"/>
              <w:rPr>
                <w:sz w:val="18"/>
                <w:szCs w:val="18"/>
                <w:color w:val="auto"/>
              </w:rPr>
            </w:pPr>
          </w:p>
        </w:tc>
      </w:tr>
      <w:tr>
        <w:trPr>
          <w:trHeight w:val="75"/>
        </w:trPr>
        <w:tc>
          <w:tcPr>
            <w:tcW w:w="26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Pr>
          <w:p>
            <w:pPr>
              <w:spacing w:after="0"/>
              <w:rPr>
                <w:sz w:val="19"/>
                <w:szCs w:val="19"/>
                <w:color w:val="auto"/>
              </w:rPr>
            </w:pP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24"/>
                <w:szCs w:val="24"/>
                <w:color w:val="auto"/>
              </w:rPr>
            </w:pPr>
          </w:p>
        </w:tc>
      </w:tr>
      <w:tr>
        <w:trPr>
          <w:trHeight w:val="286"/>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Sheets—March 31, 2008 (unaudited) and December 31, 2007</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20" w:type="dxa"/>
            <w:vAlign w:val="bottom"/>
            <w:tcBorders>
              <w:top w:val="single" w:sz="8" w:color="0000EE"/>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(unaudited)—Three months ended</w:t>
              </w:r>
            </w:hyperlink>
          </w:p>
        </w:tc>
        <w:tc>
          <w:tcPr>
            <w:tcW w:w="214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March 31, 2008 and 2007</w:t>
              </w:r>
            </w:hyperlink>
          </w:p>
        </w:tc>
        <w:tc>
          <w:tcPr>
            <w:tcW w:w="3760" w:type="dxa"/>
            <w:vAlign w:val="bottom"/>
            <w:tcBorders>
              <w:top w:val="single" w:sz="8" w:color="0000EE"/>
            </w:tcBorders>
            <w:gridSpan w:val="3"/>
          </w:tcPr>
          <w:p>
            <w:pPr>
              <w:spacing w:after="0"/>
              <w:rPr>
                <w:sz w:val="17"/>
                <w:szCs w:val="17"/>
                <w:color w:val="auto"/>
              </w:rPr>
            </w:pPr>
          </w:p>
        </w:tc>
        <w:tc>
          <w:tcPr>
            <w:tcW w:w="3080" w:type="dxa"/>
            <w:vAlign w:val="bottom"/>
            <w:gridSpan w:val="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(unaudited)—Three months ended March 31, 2008 and 2007</w:t>
              </w:r>
            </w:hyperlink>
          </w:p>
        </w:tc>
        <w:tc>
          <w:tcPr>
            <w:tcW w:w="9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6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000" w:type="dxa"/>
            <w:vAlign w:val="bottom"/>
            <w:gridSpan w:val="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3"/>
          </w:tcPr>
          <w:p>
            <w:pPr>
              <w:spacing w:after="0"/>
              <w:rPr>
                <w:rFonts w:ascii="Arial" w:cs="Arial" w:eastAsia="Arial" w:hAnsi="Arial"/>
                <w:sz w:val="18"/>
                <w:szCs w:val="18"/>
                <w:b w:val="1"/>
                <w:bCs w:val="1"/>
                <w:color w:val="0000EE"/>
                <w:w w:val="92"/>
              </w:rPr>
            </w:pPr>
            <w:hyperlink w:anchor="page33">
              <w:r>
                <w:rPr>
                  <w:rFonts w:ascii="Arial" w:cs="Arial" w:eastAsia="Arial" w:hAnsi="Arial"/>
                  <w:sz w:val="18"/>
                  <w:szCs w:val="18"/>
                  <w:b w:val="1"/>
                  <w:bCs w:val="1"/>
                  <w:color w:val="0000EE"/>
                  <w:w w:val="92"/>
                </w:rPr>
                <w:t>Other Information</w:t>
              </w:r>
            </w:hyperlink>
          </w:p>
        </w:tc>
        <w:tc>
          <w:tcPr>
            <w:tcW w:w="3020" w:type="dxa"/>
            <w:vAlign w:val="bottom"/>
            <w:gridSpan w:val="2"/>
          </w:tcPr>
          <w:p>
            <w:pPr>
              <w:spacing w:after="0"/>
              <w:rPr>
                <w:sz w:val="17"/>
                <w:szCs w:val="17"/>
                <w:color w:val="auto"/>
              </w:rPr>
            </w:pPr>
          </w:p>
        </w:tc>
        <w:tc>
          <w:tcPr>
            <w:tcW w:w="5960" w:type="dxa"/>
            <w:vAlign w:val="bottom"/>
          </w:tcPr>
          <w:p>
            <w:pPr>
              <w:spacing w:after="0"/>
              <w:rPr>
                <w:sz w:val="17"/>
                <w:szCs w:val="17"/>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444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440" w:type="dxa"/>
            <w:vAlign w:val="bottom"/>
            <w:gridSpan w:val="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Unregistered Sales of Equity Securities and Use of Proceeds</w:t>
              </w:r>
            </w:hyperlink>
          </w:p>
        </w:tc>
        <w:tc>
          <w:tcPr>
            <w:tcW w:w="5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6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1,239,269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1,275,120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156,224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1,528,174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1,581,991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4,156,650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3,939,979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83,087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6,205,535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6,299,282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173,953</w:t>
            </w:r>
          </w:p>
        </w:tc>
        <w:tc>
          <w:tcPr>
            <w:tcW w:w="28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182,718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40,308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141,046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563,485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3,658,789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3,533,339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145,768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4,448,054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4,351,123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Common stock, par value $0.01; 400,000,000 shares authorized;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116,186,661 and 116,259,411 shares issued;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111,832,798 and 114,370,090 shares 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4,353,863 and 1,889,321 shares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(423,412)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2,276,879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2,273,078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(96,275)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(143,899)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1,757,481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1,948,159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6,205,535</w:t>
            </w:r>
          </w:p>
        </w:tc>
        <w:tc>
          <w:tcPr>
            <w:tcW w:w="280" w:type="dxa"/>
            <w:vAlign w:val="bottom"/>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6,299,282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591,771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457,192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87,883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52,205</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836,252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682,571</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(57,546)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(47,254)</w:t>
            </w:r>
          </w:p>
        </w:tc>
      </w:tr>
      <w:tr>
        <w:trPr>
          <w:trHeight w:val="230"/>
        </w:trPr>
        <w:tc>
          <w:tcPr>
            <w:tcW w:w="20" w:type="dxa"/>
            <w:vAlign w:val="bottom"/>
          </w:tcPr>
          <w:p>
            <w:pPr>
              <w:spacing w:after="0"/>
              <w:rPr>
                <w:sz w:val="20"/>
                <w:szCs w:val="20"/>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778,706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635,317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388,378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264,725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688,103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527,593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108,179</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(45,268)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(37,673)</w:t>
            </w: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(15,212)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20" w:type="dxa"/>
            <w:vAlign w:val="bottom"/>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(49,406)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(26,205)</w:t>
            </w: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42,005</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81,974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(23,569)</w:t>
            </w: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101,402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113,648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112,348</w:t>
            </w:r>
          </w:p>
        </w:tc>
        <w:tc>
          <w:tcPr>
            <w:tcW w:w="60" w:type="dxa"/>
            <w:vAlign w:val="bottom"/>
            <w:shd w:val="clear" w:color="auto" w:fill="CCEEFF"/>
          </w:tcPr>
          <w:p>
            <w:pPr>
              <w:spacing w:after="0"/>
              <w:rPr>
                <w:sz w:val="18"/>
                <w:szCs w:val="18"/>
                <w:color w:val="auto"/>
              </w:rPr>
            </w:pP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46,717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62,732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24,267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15,212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11,405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(29,300)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138,342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(283,390)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(293,881)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(93,152)</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Cash and investments restricted for stock repurchases</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240,899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(244,135)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deferred financing costs and other</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117,899</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(68,393)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(35,851)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1,275,120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789,407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1,239,269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801,633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currently owns and operates two casino hotel resort properties, Wynn Las Vegas, which opened on April 28, 2005 and Wynn Macau, which opened on September 6, 2006. In addition, the Company is constructing Encore at Wynn Las Vegas and Encore at Wynn Macau (previously known as Wynn Diamond). Encore at Wynn Las Vegas is expected to open in December 2008. Encore at Wynn Macau is expected to open in the first half of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2008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2007.</w:t>
      </w:r>
    </w:p>
    <w:p>
      <w:pPr>
        <w:spacing w:after="0" w:line="193" w:lineRule="exact"/>
        <w:rPr>
          <w:sz w:val="20"/>
          <w:szCs w:val="20"/>
          <w:color w:val="auto"/>
        </w:rPr>
      </w:pPr>
    </w:p>
    <w:p>
      <w:pPr>
        <w:ind w:left="240" w:right="7900" w:hanging="232"/>
        <w:spacing w:after="0" w:line="417" w:lineRule="auto"/>
        <w:tabs>
          <w:tab w:leader="none" w:pos="187"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2008 and December 31, 2007, approximately 70% and 65%,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r>
      <w:tr>
        <w:trPr>
          <w:trHeight w:val="16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20" w:type="dxa"/>
            <w:vAlign w:val="bottom"/>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21,146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17,285</w:t>
            </w:r>
          </w:p>
        </w:tc>
        <w:tc>
          <w:tcPr>
            <w:tcW w:w="2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18"/>
                <w:szCs w:val="18"/>
                <w:color w:val="auto"/>
              </w:rPr>
            </w:pPr>
          </w:p>
        </w:tc>
      </w:tr>
      <w:tr>
        <w:trPr>
          <w:trHeight w:val="222"/>
        </w:trPr>
        <w:tc>
          <w:tcPr>
            <w:tcW w:w="88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32,196</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26,711</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For the three months ended March 31, 2008 and 2007, advertising costs totaled approximately $7.4 million and $7.8 million,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September 2006, the Financial Accounting Standards Board (the “FASB”) issued Statement of Financial Accounting Standards (“SFAS”) No. 157, “Fair Value Measurements”. This statement defines fair value, establishes a framework for measuring fair value, and expands disclosures about fair value measurements 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other accounting pronouncements that require or permit fair value measurements. Accordingly, this statement does not require any new fair value measurements. This statement is effective for fiscal years beginning after November 15, 2007. The adoption of this statement on January 1, 2008, did not have a material impact the Company’s consolidated financial statements.</w:t>
      </w:r>
    </w:p>
    <w:p>
      <w:pPr>
        <w:spacing w:after="0" w:line="14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on January 1, 2008, did not have a material impact on the Company’s consolidated financial statements.</w:t>
      </w:r>
    </w:p>
    <w:p>
      <w:pPr>
        <w:spacing w:after="0" w:line="9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which for the Company include: stock options, nonvested stock, and the 6% Convertible Subordinated Debentures due 2015 (the “Debentures”) which were all converted in July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112,413</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101,402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nonvested stock, and the Debentures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1,235</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10,946</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common and common equivalent shares outstanding (used in calculation of diluted earnings per</w:t>
            </w: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113,648</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112,348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calculation of diluted EPS for the three months ended March 31, 2007 also includes an addition to net income of $2.3 million to reflect the interest expense, net of related tax effects, that would not have been incurred on the Debentures had they been converted as of January 1,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$ 46,717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$ 58,405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2,032</w:t>
            </w:r>
          </w:p>
        </w:tc>
        <w:tc>
          <w:tcPr>
            <w:tcW w:w="4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(3,643)</w:t>
            </w: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$ 48,749</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$ 54,762</w:t>
            </w:r>
          </w:p>
        </w:tc>
      </w:tr>
      <w:tr>
        <w:trPr>
          <w:trHeight w:val="20"/>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2008 and December 31, 2007, accumulated other comprehensive income consisted solely of currency translation adjustments.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paid for the three months ended March 31, 2008 and 2007 totaled approximately $29.6 million and $23.1 million, respectively. Interest capitalized for the three months ended March 31, 2008 and 2007 totaled approximately $16.9 million and $6.9 million, respectively.</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three months ended March 31, 2008 and 2007, capital expenditures include a decrease of $2.3 million and an increase of $17.1 million, respectively, in construction payables and retention.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5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$202,216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w:t>
            </w:r>
          </w:p>
        </w:tc>
        <w:tc>
          <w:tcPr>
            <w:tcW w:w="5440" w:type="dxa"/>
            <w:vAlign w:val="bottom"/>
            <w:gridSpan w:val="3"/>
          </w:tcPr>
          <w:p>
            <w:pPr>
              <w:jc w:val="right"/>
              <w:ind w:right="320"/>
              <w:spacing w:after="0"/>
              <w:rPr>
                <w:sz w:val="20"/>
                <w:szCs w:val="20"/>
                <w:color w:val="auto"/>
              </w:rPr>
            </w:pPr>
            <w:r>
              <w:rPr>
                <w:rFonts w:ascii="Arial" w:cs="Arial" w:eastAsia="Arial" w:hAnsi="Arial"/>
                <w:sz w:val="18"/>
                <w:szCs w:val="18"/>
                <w:color w:val="auto"/>
              </w:rPr>
              <w:t>21,161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5440" w:type="dxa"/>
            <w:vAlign w:val="bottom"/>
            <w:gridSpan w:val="3"/>
          </w:tcPr>
          <w:p>
            <w:pPr>
              <w:jc w:val="right"/>
              <w:ind w:right="320"/>
              <w:spacing w:after="0"/>
              <w:rPr>
                <w:sz w:val="20"/>
                <w:szCs w:val="20"/>
                <w:color w:val="auto"/>
              </w:rPr>
            </w:pPr>
            <w:r>
              <w:rPr>
                <w:rFonts w:ascii="Arial" w:cs="Arial" w:eastAsia="Arial" w:hAnsi="Arial"/>
                <w:sz w:val="18"/>
                <w:szCs w:val="18"/>
                <w:color w:val="auto"/>
              </w:rPr>
              <w:t>233,539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(77,315)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(66,146)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156,224</w:t>
            </w:r>
          </w:p>
        </w:tc>
        <w:tc>
          <w:tcPr>
            <w:tcW w:w="32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179,059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440" w:type="dxa"/>
            <w:vAlign w:val="bottom"/>
            <w:vMerge w:val="restart"/>
          </w:tcPr>
          <w:p>
            <w:pPr>
              <w:jc w:val="right"/>
              <w:ind w:right="2992"/>
              <w:spacing w:after="0"/>
              <w:rPr>
                <w:sz w:val="20"/>
                <w:szCs w:val="20"/>
                <w:color w:val="auto"/>
              </w:rPr>
            </w:pPr>
            <w:r>
              <w:rPr>
                <w:rFonts w:ascii="Arial" w:cs="Arial" w:eastAsia="Arial" w:hAnsi="Arial"/>
                <w:sz w:val="18"/>
                <w:szCs w:val="18"/>
                <w:color w:val="auto"/>
              </w:rPr>
              <w:t>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5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3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615,894</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615,894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1,797,721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1,799,321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77,326</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910,654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896,060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66,983</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1,183,049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921,747</w:t>
            </w:r>
          </w:p>
        </w:tc>
        <w:tc>
          <w:tcPr>
            <w:tcW w:w="80" w:type="dxa"/>
            <w:vAlign w:val="bottom"/>
          </w:tcPr>
          <w:p>
            <w:pPr>
              <w:spacing w:after="0"/>
              <w:rPr>
                <w:sz w:val="19"/>
                <w:szCs w:val="19"/>
                <w:color w:val="auto"/>
              </w:rPr>
            </w:pPr>
          </w:p>
        </w:tc>
      </w:tr>
      <w:tr>
        <w:trPr>
          <w:trHeight w:val="216"/>
        </w:trPr>
        <w:tc>
          <w:tcPr>
            <w:tcW w:w="52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4,651,760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4,377,331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(495,110)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(437,352)</w:t>
            </w:r>
          </w:p>
        </w:tc>
      </w:tr>
      <w:tr>
        <w:trPr>
          <w:trHeight w:val="27"/>
        </w:trPr>
        <w:tc>
          <w:tcPr>
            <w:tcW w:w="52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4,156,650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3,939,979</w:t>
            </w:r>
          </w:p>
        </w:tc>
      </w:tr>
      <w:tr>
        <w:trPr>
          <w:trHeight w:val="20"/>
        </w:trPr>
        <w:tc>
          <w:tcPr>
            <w:tcW w:w="5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March 31, 2008 and December 31, 2007, construction in progress includes costs capitalized in conjunction with the development and construction of Encore at Wynn Las Vegas and Encore at Wynn Macau.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906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w w:val="94"/>
              </w:rPr>
              <w:t xml:space="preserve">6 </w:t>
            </w:r>
            <w:r>
              <w:rPr>
                <w:rFonts w:ascii="Arial" w:cs="Arial" w:eastAsia="Arial" w:hAnsi="Arial"/>
                <w:sz w:val="22"/>
                <w:szCs w:val="22"/>
                <w:color w:val="auto"/>
                <w:w w:val="94"/>
                <w:vertAlign w:val="superscript"/>
              </w:rPr>
              <w:t>5</w:t>
            </w:r>
            <w:r>
              <w:rPr>
                <w:rFonts w:ascii="Arial" w:cs="Arial" w:eastAsia="Arial" w:hAnsi="Arial"/>
                <w:sz w:val="18"/>
                <w:szCs w:val="18"/>
                <w:color w:val="auto"/>
                <w:w w:val="94"/>
              </w:rPr>
              <w:t>/</w:t>
            </w:r>
            <w:r>
              <w:rPr>
                <w:rFonts w:ascii="Arial" w:cs="Arial" w:eastAsia="Arial" w:hAnsi="Arial"/>
                <w:sz w:val="13"/>
                <w:szCs w:val="13"/>
                <w:color w:val="auto"/>
                <w:w w:val="94"/>
              </w:rPr>
              <w:t>8</w:t>
            </w:r>
            <w:r>
              <w:rPr>
                <w:rFonts w:ascii="Arial" w:cs="Arial" w:eastAsia="Arial" w:hAnsi="Arial"/>
                <w:sz w:val="18"/>
                <w:szCs w:val="18"/>
                <w:color w:val="auto"/>
                <w:w w:val="94"/>
              </w:rPr>
              <w:t>% First Mortgage Notes, due December 1, 2014, net of original issue discount of $10,373 and $10,816, respectively</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$ 1,689,627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$ 1,689,184</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$1 billion Term Loan Facility, due June 21, 2010; interest at LIBOR plus 2.25%</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1,000,000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1,000,000</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$900 million Wynn Las Vegas Revolving Credit Facility; due August 15, 2011; interest at LIBOR plus 1.625%</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9060" w:type="dxa"/>
            <w:vAlign w:val="bottom"/>
          </w:tcPr>
          <w:p>
            <w:pPr>
              <w:spacing w:after="0"/>
              <w:rPr>
                <w:sz w:val="20"/>
                <w:szCs w:val="20"/>
                <w:color w:val="auto"/>
              </w:rPr>
            </w:pPr>
            <w:r>
              <w:rPr>
                <w:rFonts w:ascii="Arial" w:cs="Arial" w:eastAsia="Arial" w:hAnsi="Arial"/>
                <w:sz w:val="18"/>
                <w:szCs w:val="18"/>
                <w:color w:val="auto"/>
                <w:w w:val="91"/>
              </w:rPr>
              <w:t>$225 million Wynn Las Vegas Term Loan Facility; $112.5 million due September 30, 2012 with remaining $112.5 million due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060" w:type="dxa"/>
            <w:vAlign w:val="bottom"/>
          </w:tcPr>
          <w:p>
            <w:pPr>
              <w:ind w:left="220"/>
              <w:spacing w:after="0"/>
              <w:rPr>
                <w:sz w:val="20"/>
                <w:szCs w:val="20"/>
                <w:color w:val="auto"/>
              </w:rPr>
            </w:pPr>
            <w:r>
              <w:rPr>
                <w:rFonts w:ascii="Arial" w:cs="Arial" w:eastAsia="Arial" w:hAnsi="Arial"/>
                <w:sz w:val="18"/>
                <w:szCs w:val="18"/>
                <w:color w:val="auto"/>
              </w:rPr>
              <w:t>August 15, 2013; interest at LIBOR plus 1.875%</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225,000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225,000</w:t>
            </w:r>
          </w:p>
        </w:tc>
      </w:tr>
      <w:tr>
        <w:trPr>
          <w:trHeight w:val="218"/>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8"/>
              </w:rPr>
              <w:t>$550 million Wynn Macau Senior Term Loan Facilities; due June 27, 2014; interest at LIBOR or HIBOR plus 1.75%</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550,904</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549,995</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40,950</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40,950</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30,333</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31,417</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r>
      <w:tr>
        <w:trPr>
          <w:trHeight w:val="27"/>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3,661,867</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3,536,612</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(3,078)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(3,273)</w:t>
            </w:r>
          </w:p>
        </w:tc>
      </w:tr>
      <w:tr>
        <w:trPr>
          <w:trHeight w:val="27"/>
        </w:trPr>
        <w:tc>
          <w:tcPr>
            <w:tcW w:w="9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$ 3,658,789</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$ 3,533,339</w:t>
            </w:r>
          </w:p>
        </w:tc>
      </w:tr>
      <w:tr>
        <w:trPr>
          <w:trHeight w:val="20"/>
        </w:trPr>
        <w:tc>
          <w:tcPr>
            <w:tcW w:w="9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2008, management believes the Company was in compliance with all debt covenants.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916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household employees, construction work and other personal services. Mr. Wynn and other officers have deposits with the Company to prepay any such items, which are replenished on an ongoing basis as needed. As of March 31, 2008 and December 31, 2007, Mr. Wynn and the other officers had a credit balance with the Company of approximately $382,475 and $357,145,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Property charges and other for the three months ended March 31, 2008 and 2007 were $24.3 million and $13.3 million, respectively. Property charges generally include costs related to the retirement of assets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remodels and asset abandonments. Property charges and other for the three months ended March 31, 2008 include $17.8 million of costs associated with Spamalot at Wynn Las Vegas which will close in July 2008. The costs included the production rights that were included in intangible assets, show production costs that were included in other assets and certain other property and equipment. In March 2008, the Company, together with the producers, elected to end the show’s run at Wynn Las Vegas in July 2008, pursuant to their contract. The remaining property charges were related to renovations and abandonments at both Wynn Las Vegas and Wynn Macau. Property charges and other for the three months ended March 31, 2007 include a $10 million charge related to the abandonment of a parking garage at Wynn Macau. In January 2007, the Company decided to abandon this parking garage to make room for Encore at Wynn Macau. The remaining property charges for the three months ended March 31, 2007 were related to the renovations to portions of the Le Rêve Theater at Wynn Las Vegas and the remodeling of certain areas in the food court at Wynn Macau.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relating to certain of its debt facilities.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increase/decrease in swap fair value in the accompanying Condensed Consolidated Statements of Income, as the interest rate swaps do not qualify for hedge accounting.</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SFAS No. 157.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represents the historical asset (liability) fair values as of March 31, 2008 and December 31, 2007.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Asset/(Liability) fair value at:</w:t>
            </w:r>
          </w:p>
        </w:tc>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Wynn</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Net Total</w:t>
            </w:r>
          </w:p>
        </w:tc>
        <w:tc>
          <w:tcPr>
            <w:tcW w:w="0" w:type="dxa"/>
            <w:vAlign w:val="bottom"/>
          </w:tcPr>
          <w:p>
            <w:pPr>
              <w:spacing w:after="0"/>
              <w:rPr>
                <w:sz w:val="1"/>
                <w:szCs w:val="1"/>
                <w:color w:val="auto"/>
              </w:rPr>
            </w:pPr>
          </w:p>
        </w:tc>
      </w:tr>
      <w:tr>
        <w:trPr>
          <w:trHeight w:val="135"/>
        </w:trPr>
        <w:tc>
          <w:tcPr>
            <w:tcW w:w="1800" w:type="dxa"/>
            <w:vAlign w:val="bottom"/>
            <w:gridSpan w:val="3"/>
            <w:vMerge w:val="continue"/>
          </w:tcPr>
          <w:p>
            <w:pPr>
              <w:spacing w:after="0"/>
              <w:rPr>
                <w:sz w:val="11"/>
                <w:szCs w:val="11"/>
                <w:color w:val="auto"/>
              </w:rPr>
            </w:pPr>
          </w:p>
        </w:tc>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Wynn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2"/>
              </w:rPr>
              <w:t>Las</w:t>
            </w:r>
          </w:p>
        </w:tc>
        <w:tc>
          <w:tcPr>
            <w:tcW w:w="180" w:type="dxa"/>
            <w:vAlign w:val="bottom"/>
          </w:tcPr>
          <w:p>
            <w:pPr>
              <w:spacing w:after="0"/>
              <w:rPr>
                <w:sz w:val="11"/>
                <w:szCs w:val="11"/>
                <w:color w:val="auto"/>
              </w:rPr>
            </w:pPr>
          </w:p>
        </w:tc>
        <w:tc>
          <w:tcPr>
            <w:tcW w:w="96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rPr>
              <w:t>Wynn</w:t>
            </w: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4"/>
                <w:szCs w:val="14"/>
                <w:b w:val="1"/>
                <w:bCs w:val="1"/>
                <w:color w:val="auto"/>
                <w:w w:val="86"/>
              </w:rPr>
              <w:t>Interest</w:t>
            </w:r>
          </w:p>
        </w:tc>
        <w:tc>
          <w:tcPr>
            <w:tcW w:w="0" w:type="dxa"/>
            <w:vAlign w:val="bottom"/>
          </w:tcPr>
          <w:p>
            <w:pPr>
              <w:spacing w:after="0"/>
              <w:rPr>
                <w:sz w:val="1"/>
                <w:szCs w:val="1"/>
                <w:color w:val="auto"/>
              </w:rPr>
            </w:pPr>
          </w:p>
        </w:tc>
      </w:tr>
      <w:tr>
        <w:trPr>
          <w:trHeight w:val="161"/>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60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Resorts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Vegas</w:t>
            </w:r>
          </w:p>
        </w:tc>
        <w:tc>
          <w:tcPr>
            <w:tcW w:w="1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Macau</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1"/>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31,</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w:t>
            </w:r>
          </w:p>
        </w:tc>
        <w:tc>
          <w:tcPr>
            <w:tcW w:w="6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(2,225)</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(17,891)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1040" w:type="dxa"/>
            <w:vAlign w:val="bottom"/>
          </w:tcPr>
          <w:p>
            <w:pPr>
              <w:ind w:left="20"/>
              <w:spacing w:after="0"/>
              <w:rPr>
                <w:sz w:val="20"/>
                <w:szCs w:val="20"/>
                <w:color w:val="auto"/>
              </w:rPr>
            </w:pPr>
            <w:r>
              <w:rPr>
                <w:rFonts w:ascii="Arial" w:cs="Arial" w:eastAsia="Arial" w:hAnsi="Arial"/>
                <w:sz w:val="18"/>
                <w:szCs w:val="18"/>
                <w:color w:val="auto"/>
              </w:rPr>
              <w:t>31, 2007</w:t>
            </w:r>
          </w:p>
        </w:tc>
        <w:tc>
          <w:tcPr>
            <w:tcW w:w="6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February 1, 2008, the Company entered into an interest rate swap to hedge the underlying interest rate risk on all of the borrowings under the $1 billion Term Loan Facility. Pursuant to the terms of this interest rate swap, the Company pays a fixed rate of 2.836% on the $1 billion notional amount and receives payments based on LIBOR. This swap fixes the interest rate at approximately 5.09%. This swap terminates in June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currently has one $200 million notional amount interest rate swap to essentially fix the interest rate on $200 million of the $225 million of Term Loan borrowings. Pursuant to the terms of this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rate swap, the Company pays a fixed rate of 3.793% on the $200 million notional amount and receives payments based on LIBOR. This swap fixes the interest rate at approximately 5.7% on $200 million of the outstanding $225 million term loan. This swap terminates in December 2008.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entered into two interest rate swap agreements to hedge a portion of the underlying interest rate risk on current and future borrowings under the Wynn Macau credit facility. Under the first swap agreement, the Company pays a fixed interest rate of 4.84% on borrowings incurred under the Wynn Macau credit facility up to a maximum of approximately $198.2 million, in exchange for receipts on the same amounts at a variable interest rate based on the applicable LIBOR at the time of payment. Under the second swap agreement, the Company pays a fixed interest rate of 4.77% on borrowings incurred under the Wynn Macau credit facility up to a maximum of approximately HK$1.1 billion (approximately U.S.$140 million), in exchange for receipts on the same amounts at a variable interest rate based on the applicable Hong Kong Interbank Offered Rate (“HIBOR”) at the time of payment. Both swap agreements terminate on November 28, 2008.</w:t>
      </w:r>
    </w:p>
    <w:p>
      <w:pPr>
        <w:spacing w:after="0" w:line="14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interest rate swaps fix the interest rates on the current U.S. dollar and the Hong Kong dollar borrowings under the Wynn Macau credit facility at approximately 6.59% and 6.52%,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Three Months Ended</w:t>
            </w:r>
          </w:p>
        </w:tc>
      </w:tr>
      <w:tr>
        <w:trPr>
          <w:trHeight w:val="161"/>
        </w:trPr>
        <w:tc>
          <w:tcPr>
            <w:tcW w:w="8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9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2008</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2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1,765</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2,656</w:t>
            </w:r>
          </w:p>
        </w:tc>
        <w:tc>
          <w:tcPr>
            <w:tcW w:w="20" w:type="dxa"/>
            <w:vAlign w:val="bottom"/>
          </w:tcPr>
          <w:p>
            <w:pPr>
              <w:spacing w:after="0"/>
              <w:rPr>
                <w:sz w:val="18"/>
                <w:szCs w:val="18"/>
                <w:color w:val="auto"/>
              </w:rPr>
            </w:pPr>
          </w:p>
        </w:tc>
      </w:tr>
      <w:tr>
        <w:trPr>
          <w:trHeight w:val="221"/>
        </w:trPr>
        <w:tc>
          <w:tcPr>
            <w:tcW w:w="892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3,418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4,460</w:t>
            </w:r>
          </w:p>
        </w:tc>
      </w:tr>
      <w:tr>
        <w:trPr>
          <w:trHeight w:val="218"/>
        </w:trPr>
        <w:tc>
          <w:tcPr>
            <w:tcW w:w="8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r>
      <w:tr>
        <w:trPr>
          <w:trHeight w:val="222"/>
        </w:trPr>
        <w:tc>
          <w:tcPr>
            <w:tcW w:w="892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3,586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4,672</w:t>
            </w:r>
          </w:p>
        </w:tc>
      </w:tr>
      <w:tr>
        <w:trPr>
          <w:trHeight w:val="20"/>
        </w:trPr>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the three months ended March 31, 2008, the Company repurchased 2,464,542 shares of the Company’s common stock for a net cost of $244.1 million. Total shares purchased to date pursuant to the Board authorized equity repurchase program of up to $1.2 billion is 4,353,863 shares at a cost of $423.4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Encore at Wynn Las Vegas Construction and Development. </w:t>
      </w:r>
      <w:r>
        <w:rPr>
          <w:rFonts w:ascii="Arial" w:cs="Arial" w:eastAsia="Arial" w:hAnsi="Arial"/>
          <w:sz w:val="16"/>
          <w:szCs w:val="16"/>
          <w:color w:val="auto"/>
        </w:rPr>
        <w:t>Encore at Wynn Las Vegas will include a 2,034 all-suite hotel tower, an approximately 72,000</w:t>
      </w:r>
      <w:r>
        <w:rPr>
          <w:rFonts w:ascii="Arial" w:cs="Arial" w:eastAsia="Arial" w:hAnsi="Arial"/>
          <w:sz w:val="16"/>
          <w:szCs w:val="16"/>
          <w:i w:val="1"/>
          <w:iCs w:val="1"/>
          <w:color w:val="auto"/>
        </w:rPr>
        <w:t xml:space="preserve"> </w:t>
      </w:r>
      <w:r>
        <w:rPr>
          <w:rFonts w:ascii="Arial" w:cs="Arial" w:eastAsia="Arial" w:hAnsi="Arial"/>
          <w:sz w:val="16"/>
          <w:szCs w:val="16"/>
          <w:color w:val="auto"/>
        </w:rPr>
        <w:t>square foot casino, additional convention and meeting space, as well as restaurants, a nightclub, swimming pools, a spa and salon and retail outlets. The Company commenced construction of Encore at Wynn Las Vegas on April 28, 2006 and expects to open it to the public in December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project budget is currently estimated at approximately $2.2 billion for Encore at Wynn Las Vegas and related capital improvements. The project is currently being funded from the Company’s existing Credit Facilities and operating cash flow from Wynn Las Vegas. To the extent additional funds are required, the Company will provide these amounts with additional debt and equity contributions by Wynn Resorts or additional indebtedness to be incurred by Wynn Las Vegas.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at Wynn Las Vegas. The Contract sets forth all of the terms and conditions pursuant to which Tutor is designing and constructing Encore at Wynn Las Vegas. In June 2007, the Company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Through March 31, 2008, the Company had incurred approximately $1.2 billion of project costs related to the development and construction of Encore at Wynn Las Vegas and related capital improvements.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 xml:space="preserve">Construction and Enhancements. </w:t>
      </w:r>
      <w:r>
        <w:rPr>
          <w:rFonts w:ascii="Arial" w:cs="Arial" w:eastAsia="Arial" w:hAnsi="Arial"/>
          <w:sz w:val="16"/>
          <w:szCs w:val="16"/>
          <w:color w:val="auto"/>
        </w:rPr>
        <w:t>The Company has made and continues to make certain enhancements and refinements to Wynn Macau.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incurred and will continue to incur capital expenditures related to these enhancements and refinements.</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Encore at Wynn Macau Construction and Development. </w:t>
      </w:r>
      <w:r>
        <w:rPr>
          <w:rFonts w:ascii="Arial" w:cs="Arial" w:eastAsia="Arial" w:hAnsi="Arial"/>
          <w:sz w:val="18"/>
          <w:szCs w:val="18"/>
          <w:color w:val="auto"/>
        </w:rPr>
        <w:t>Construction has commenced on a further expansion of Wynn Macau. Encore at Wynn Macau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open in the first half of 2010 adding a fully-integrated resort hotel to Wynn Macau with approximately 400 luxury suites and four villas, along with restaurants and additional retail and gaming space.</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Encore at Wynn Macau. The current project budget is approximately $600 million.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Through March 31, 2008, the Company had incurred approximately $75.8 million of project costs related to the development and construction of Encore at Wynn Macau.</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with government approval. Wynn Macau, S.A. has made eight payments to the Macau government under the land concession contract and is required to make three additional semi-annual payments (including interest) for total payments of approximately $42.7 million. Wynn Macau, S.A. also paid approximately $18 million to an unrelated third party for its relinquishment of rights to a portion of the land. During the term of the land concession contract, Wynn Macau, S.A. is also required to make annual lease payments of up to $400,000.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March 31, 2008, the Company recorded a tax benefit of $4.7 million. The Company’s effective tax rate/(benefit)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(11.2%) was 46.2 percentage points lower than the U.S. Federal rate of 35% primarily due to the tax holiday applicable to the earnings of Wynn Macau, S.A.,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below and U.S. tax deductions resulting from Encore at Wynn Las Vegas pre-opening expenses. There is no U.S. provision for taxes on our Macau</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earnings as such earnings are considered permanently invested abroad.</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$8.3 million in such taxes during the three months ended March 31, 2008. The Company’s non-gaming profits remain subject to the Macau Complementary Tax and casino winnings remain subject to the Macau Special Gaming tax (at a rate equal to 39%) and other levies in accordance with its concession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The Company’s total assets by segment are as follows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Wynn Las Vegas (including Encore at Wynn Las Vegas)</w:t>
            </w:r>
          </w:p>
        </w:tc>
        <w:tc>
          <w:tcPr>
            <w:tcW w:w="4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3,671,653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3,558,877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(including Encore at Wynn Macau)</w:t>
            </w:r>
          </w:p>
        </w:tc>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1,790,818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1,724,039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743,064</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1,016,366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6,205,535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6,299,282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40" w:type="dxa"/>
            <w:vAlign w:val="bottom"/>
            <w:vMerge w:val="restart"/>
          </w:tcPr>
          <w:p>
            <w:pPr>
              <w:jc w:val="right"/>
              <w:ind w:right="335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For the Three Months</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287,160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330,735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491,546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304,582</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778,706</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635,317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line="211" w:lineRule="exact"/>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22"/>
                <w:szCs w:val="22"/>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68,438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111,227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129,395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197,833</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190,237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8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106,422</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108,179</w:t>
            </w:r>
          </w:p>
        </w:tc>
        <w:tc>
          <w:tcPr>
            <w:tcW w:w="60" w:type="dxa"/>
            <w:vAlign w:val="bottom"/>
            <w:shd w:val="clear" w:color="auto" w:fill="CCEEFF"/>
          </w:tcPr>
          <w:p>
            <w:pPr>
              <w:spacing w:after="0"/>
              <w:rPr>
                <w:sz w:val="18"/>
                <w:szCs w:val="18"/>
                <w:color w:val="auto"/>
              </w:rPr>
            </w:pPr>
          </w:p>
        </w:tc>
      </w:tr>
      <w:tr>
        <w:trPr>
          <w:trHeight w:val="222"/>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Non-operating costs and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(45,268)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(37,673)</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(15,212)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(49,406)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(26,205)</w:t>
            </w:r>
          </w:p>
        </w:tc>
      </w:tr>
      <w:tr>
        <w:trPr>
          <w:trHeight w:val="222"/>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Income before benefit/provision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42,005</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81,974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Benefit/(provision)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(23,569)</w:t>
            </w:r>
          </w:p>
        </w:tc>
      </w:tr>
      <w:tr>
        <w:trPr>
          <w:trHeight w:val="222"/>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306"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“Adjusted Property EBITDA” is earnings before interest, taxes, depreciation, amortization, pre-opening costs, property charges and other, corporate expenses, stock-based compensation,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comparative tools, together with GAAP measurements, to assist in the evaluation of operating performance. Such GAAP measurements include operating income,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the Wynn Las Vegas Credit Facilities and the Wynn Macau Credit Facilities;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Encore at Wynn Las Vegas on time and within budget;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at Wynn Las Vegas adjacent to Wynn Las Vegas. We are also currently constructing Encore at Wynn Macau (previously known as Wynn Diamond) as an addition to Wynn Macau which consists of an additional hotel tower and related amenities, including gaming space.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April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ind w:right="24"/>
              <w:spacing w:after="0"/>
              <w:rPr>
                <w:sz w:val="20"/>
                <w:szCs w:val="20"/>
                <w:color w:val="auto"/>
              </w:rPr>
            </w:pPr>
            <w:r>
              <w:rPr>
                <w:rFonts w:ascii="Arial" w:cs="Arial" w:eastAsia="Arial" w:hAnsi="Arial"/>
                <w:sz w:val="14"/>
                <w:szCs w:val="14"/>
                <w:b w:val="1"/>
                <w:bCs w:val="1"/>
                <w:color w:val="auto"/>
              </w:rPr>
              <w:t>Approximate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9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2"/>
                <w:szCs w:val="12"/>
                <w:color w:val="auto"/>
              </w:rPr>
            </w:pPr>
          </w:p>
        </w:tc>
        <w:tc>
          <w:tcPr>
            <w:tcW w:w="20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r>
      <w:tr>
        <w:trPr>
          <w:trHeight w:val="161"/>
        </w:trPr>
        <w:tc>
          <w:tcPr>
            <w:tcW w:w="496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111,000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Wynn 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900" w:right="2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22 food and beverage outlets featuring signature chefs, including the AAA Five Diamond, Mobil Five 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showrooms, two nightclubs and lounges.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The Tower Suites at Wynn Las Vegas is the only casino resort in the world that has been awarded both the Mobil five star and AAA five diamond distinctions. In addition, Wynn Las Vegas was recognized in November 2007 by Michelin, the esteemed European restaurant rating system.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Additionally, Wynn Las Vegas received five red pavilions, the highest honor for Michelin rated accommodations.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began to make enhancements and refinements to the property after its opening in 2005 and continued such enhancements through March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constructing Encore at Wynn Las Vegas on approximately 20 acres on the Las Vegas Strip, adjacent to Wynn Las Vegas. Encore at Wynn Las Vegas will include a 2,034 all-suite hotel tower, an approximately 72,000 square foot casino, additional convention and meeting space, as well as restaurants, a nightclub, swimming pools, a spa and salon and retail outlets. Encore at Wynn Las Vegas is expected to open to the public in December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currently features: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205,000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Approximately 46,000 square feet of high-end, brand-name retail shopping, including stores and boutiques by Bvlgari, Chanel, Dior, Dunhill, Fendi, Ferrari, Giorgio Armani, Gucci, Hermes, Hugo Boss, Louis Vuitton, Piaget, Prada, Rolex, Tiffany, Van Cleef &amp; Arpels, Versace, Vertu, and Zegna;</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commenced construction on a further expansion of Wynn Macau, which was first announced in November 2006 as Wynn Diamond and is now known as Encore at Wynn Macau. This further expansion will add a fully-integrated resort hotel with approximately 400 luxury suites and four villas, along with restaurants and additional retail and gaming space. We expect Encore at Wynn Macau to open in the first half of 2010.</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began to make enhancements and refinements to the property after its opening in 2006 and continued such enhancements through March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owns approximately 147 acres immediately adjacent to both Wynn Las Vegas and Encore at Wynn Las Vegas, which is currently improved with a golf course. We are in the process of developing our plans for its further development. Conceptual plans at this point in time include additional resorts and a convention center. No construction timeline or budget has been prepared.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Company has applied to the government of Macau for a land concession for approximately 52 acres on Cotai and is awaiting final governmental approval of this concession. Our plans for this site currently contain a single casino resort property. No construction timeline or budget has been prepared.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Our operations currently consist of Wynn Las Vegas and Wynn Macau. The reliance for our operating cash flow on only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8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48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287,160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330,735</w:t>
            </w:r>
          </w:p>
        </w:tc>
      </w:tr>
      <w:tr>
        <w:trPr>
          <w:trHeight w:val="216"/>
        </w:trPr>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491,546</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304,582</w:t>
            </w:r>
          </w:p>
        </w:tc>
      </w:tr>
      <w:tr>
        <w:trPr>
          <w:trHeight w:val="222"/>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778,706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635,317</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Casinos generally record win as a percentage of either drop or turnover.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Statement of Income is presented. Below are definitions of the statistics discussed:</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Rolling Chips are physically identifiable chips that are used to track VIP wagering volume for purposes of calculating incentives.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ind w:right="4280"/>
        <w:spacing w:after="0" w:line="268" w:lineRule="auto"/>
        <w:rPr>
          <w:sz w:val="20"/>
          <w:szCs w:val="20"/>
          <w:color w:val="auto"/>
        </w:rPr>
      </w:pPr>
      <w:r>
        <w:rPr>
          <w:rFonts w:ascii="Arial" w:cs="Arial" w:eastAsia="Arial" w:hAnsi="Arial"/>
          <w:sz w:val="18"/>
          <w:szCs w:val="18"/>
          <w:b w:val="1"/>
          <w:bCs w:val="1"/>
          <w:i w:val="1"/>
          <w:iCs w:val="1"/>
          <w:color w:val="auto"/>
        </w:rPr>
        <w:t>Financial results for the three months ended March 31, 2008 compared to the three months ended March 31, 2007.</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Net revenues for the three months ended March 31, 2008 are comprised of $591.8 million in casino revenues (76% of total net revenues) and $186.9 million of net non-casino revenues (24% of total net revenues).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Net revenues for the first quarter of 2007 were comprised of $457.2 million in casino revenues (72% of total net revenues) and $178.1 million of net non-casino revenues (28% of total net revenues). The quality of our resorts’ non-casino amenities, combined with providing guests an unparalleled total resort experience, has driven a premium in the two properties’ ADR and other non-gaming revenues as well as increased the length of play in our casinos.</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three months ended March 31, 2008 of approximately $591.8 million represents a $134.6 million (or 29%) increase from casino revenues of $457.2 million for the three months ended March 31, 2007. At Wynn Las Vegas, we experienced a $48 million decrease in casino revenues compared to the prior year due to a 3% decrease in drop and a decrease in our average table games win percentage. Our average table games win percentage (before discounts) for the three months ended March 31, 2008 was 19.9%, which was below the expected range of 21% to 24% and compares to 27.6% for the prior year quarter. Slot handle at Wynn Las Vegas decreased 2.8% during the three months ended March 31, 2008 as compared to 2007, and the slot win percentage was slightly below the expected range of 4.5% to 5.5%. Casino revenues at Wynn Macau increased $182.5 million during the three months ended March 31, 2008, compared to the prior year quarter. At Wynn Macau, we experienced a 105% increase in turnover in the VIP casino segment and our win as a percent of turnover was 3%, which is within the expected range of 2.7% to 3.0% compared to 3.3% in the prior year quarter. Our VIP casino segment win as a percent of turnover includes a nominal beneficial effect attributable to non-rolling chip play. In our general casino at Wynn Macau, drop increased 16.9% when compared to the prior year quarter and the average table games win percentage was 19.7%, which is within the expected range of 18% to 20%. The average table game win percentage at Wynn Macau for the three months ended March 31, 2007 was 18.2%. Slot handle at Wynn Macau increased 105% compared to the prior year quarter and the slot win percentage was within the expected range of 4.5% to 5.5%. The increase in casino revenue at Wynn Macau is a result of growth in the Macau market as well as our casino expansion which opened in December 2007.</w:t>
      </w:r>
    </w:p>
    <w:p>
      <w:pPr>
        <w:spacing w:after="0" w:line="12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the three months ended March 31, 2008, room revenues were approximately $85.3 million, which was flat with room revenues for the three months ended March 31, 2007. Room revenue at Wynn Las Vegas decreased approximately $2.3 million compared to the prior year quarter due to lower occupancy and lower rates, while room revenue at Wynn Macau increased due to increased occupancy and increased rates. See the table below for key operating measures related to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4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Daily Rate</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Occupancy</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84.8%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REVPAR</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3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non-casino revenues for the three months ended March 31, 2008 included food and beverage revenues of approximately $91.1 million, retail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of approximately $35.8 million, entertainment revenues of approximately $19.2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$13.2 million. Other non-gaming revenues for the three months ended March 31, 2007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$87.9 million, retail revenues of approximately $27.4 million, entertainment revenues of approximately $10.9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$13.9 million. The increase in food and beverage revenues and retail revenues were primarily driven by our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Macau operations. General growth in the Macau market and our expansion, which opened in December 2007 (including additional retail outlets), were primarily responsible for the increases. Entertainment revenues increased over the prior year quarter due to Spamalot at Wynn Las Vegas, which opened in late March 2007, and a full quarter of Le Rêve in 2008 versus only two months during the three months ended March 31, 2007, due to a remodeling of the Le Rêve showroom in March 2007. In March 2008, together with the producers, we elected to end Spamalot’s run at Wynn Las Vegas in July 2008 pursuant to the terms of our contract.</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three months ended March 31, 2008, departmental expenses included casino expenses of $388.4 million, rooms expenses of $20.3 million, food and beverage expenses of $51.7 million, and entertainment, retail and other expenses of $44.6 million. Also included are general and administrative expenses of approximately $79.3 million and approximately $11.5 million charged as a provision for doubtful accounts receivable. During the three months ended March 31, 2007, departmental expenses included casino expenses of $264.7 million, room expenses of $21 million, food and beverage expenses of $54.3 million, and entertainment, retail and other expenses of $35.1 million, general and administrative expenses of approximately $78.2 million and approximately $7.7 million charged as a provision for doubtful accounts receivable. Casino expenses have increased over the prior year quarter primarily related to the increased revenue at Wynn Macau as noted above, including the 39 percent gross win tax on casino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Pre-opening costs for the three months ended March 31, 2008 were $5.3 million compared to $1.8 million for the three months ended March 31, 2007. Pre-opening costs incurred during the three months ended March 31, 2008 related to Encore at Wynn Las Vegas. We expect that pre-opening costs will increase as the opening of Encore at Wynn Las Vegas in December 2008 approaches.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Depreciation and amortization for the three months ended March 31, 2008 of $62.7 million increased by $11.2 million when compared to the three months ended March 31, 2007, primarily due to depreciation expense associated with the expansion of Wynn Macau, a portion of which opened in September 2007 and the remainder which opened in December 2007. In addition, we shortened the estimated lives of certain hotel room furniture, fixtures and equipment at Wynn Las Vegas due to an anticipated ordinary course room renovation.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circumstances require.</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Property charges and other for the three months ended March 31, 2008 were $24.3 million compared to approximately $13.3 million for the three months ended March 31, 2007. Property charges and other for the three months ended March 31, 2008 include $17.8 million of costs associated with Spamalot at Wynn Las Vegas which will close in July 2008. The charge includes production rights that were included in intangible assets, show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production costs that were included in other assets and certain other property and equipment. In March 2008, the Company, together with the producers, elected to end the show’s run at Wynn Las Vegas in July 2008, pursuant to the contract. The remaining property charges were related to renovations and abandonments at both Wynn Las Vegas and Wynn Macau. Property charges and other for the three months ended March 31, 2007 included a $10 million charge for the abandonment of our parking garage at Wynn Macau. In January 2007, we decided to abandon this parking garage to make way for Encore at Wynn Macau.</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response to our evaluation of our properties and the reactions of our guests, we continue to remodel and make enhancements at both Wynn Las Vegas and Wynn Macau. Costs of $2.7 million relating to assets abandoned as a result of these enhancement and remodel efforts at Wynn Las Vegas were expensed as property charges during the three months ended March 31, 2008. During the three months ended March 31, 2008, we incurred approximately $3.7 million of such charges at Wynn Macau. We expect that property charges may continue in future periods as additional enhancements to our properties are made.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Interest income and other decreased by $1 million to $11.1 million for the three months ended March 31, 2008 compared to $12.1 million for the three months ended March 31, 2007. Interest income increased $1 million due to an increase in our invested cash balances which was offset by a decrease in interest earned on such balances compared to the prior year quarter. Further offsetting this increase was a loss recorded in connection with the remeasurement of assets and liabilities in Macau denominated in U.S. dollars.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Interest expense was $45.3 million, net of capitalized interest of $16.9 million, for the three months ended March 31, 2008, compared to $37.7 million, net of capitalized interest of $6.9 million, for the three months ended March 31, 2007. Interest costs increased approximately $15.6 million due to the $1 billion Wynn Resorts term loan and approximately $7.2 million related to the additional $400 million first mortgage notes issued in November 2007. These increases were offset by approximately $3.6 million less interest due to the conversion of the Debentures in July 2007, an increase of $10 million in capitalized interest related to our construction activities, and approximately $1.6 million less interest on our Wynn Las Vegas and Wynn Macau credit facilities.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an expense of approximately $15.2 million for the three months ended March 31, 2008 resulting from the decrease in the fair value of our interest rate swaps from December 31, 2007 to March 31, 2008. During the three months ended March 31, 2007 we recorded an expense of $0.5 million resulting from the decrease in the fair value of interest rate swaps between December 31, 2006 and March 31, 2007. For further information on our interest rate swaps, see Item 3—“Quantitative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three months ended March 31, 2008, we recorded a tax benefit of $4.7 million. Our effective tax rate/(benefit) of (11.2%) was 46.2 percentage points lower than the U.S. Federal rate of 35%, primarily due to the tax holiday applicable to the earnings of Wynn Macau, S.A., as described below and U.S. tax deductions resulting from Encore at Wynn Las Vegas pre-opening expenses. There is no U.S. provision for taxes on our Macau earnings as such earnings are considered permanently invested abroad.</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$8.3 million in such taxes for the three months ended March 31, 2008. Our non-gaming profits remain subject to the Macau Complementary Tax and casino winnings remain subject to the Macau Special Gaming tax (at a rate equal to 39%) and other levies in accordance with its concession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Net cash provided from operations for the three months ended March 31, 2008 was $138.3 million compared to $175.4 million provided by operations for the three months ended March 31, 2007. This decrease is primarily due to the decrease in operating income at Wynn Las Vegas as a result of the decline in casino department profit.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require a certain amount of cash on hand for operations. Our cash balances at March 31, 2008 included approximately $500 million remaining from the $900 million cash received from the sale of our subconcession on September 11, 2006 and $350 million borrowed under the Wynn Resorts Term Loan Facility on December 31, 2007. At March 31, 2008, we had approximately $1.2 billion of cash and cash equivalents available for operations, new development activities, general corporate purposes, enhancements to Wynn Las Vegas and Wynn Macau, and to support the development and construction of Encore at Wynn Las Vegas and Encore at Wynn Macau. Of this amount, approximately $381.6 million is held by Wynn Resorts, Limited, which is not a guarantor of the debt of its subsidiaries, including Wynn Las Vegas, LLC and Wynn Macau, S.A. In addition, we have availability under our Wynn Las Vegas and Wynn Macau credit facilities as noted below under Financing Activities.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2008, we had approximately $290.5 million in restricted cash and investments which is restricted for the following:</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$31.3 million restricted for the Encore at Wynn Las Vegas completion guarantee;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$259.2 million restricted for repurchases of our common stock.</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Cash equivalents include investments in U.S. Treasury Bills and overnight money market funds. Restricted investments are kept in money market funds or relatively short-term, government-backed, marketable debt securities as required by agreements governing our debt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April 28, 2006, we commenced construction on Encore at Wynn Las Vegas. We expect to open Encore at Wynn Las Vegas in December 2008. Design and construction is progressing as expected. Current construction activities include the following: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concrete floor slabs and structural steel are complete for the hotel tower and low-rise casino;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Exterior glass installation is 100% complete and the tower’s illuminated “Encore” sign is operational;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Furniture and equipment installation is in progress;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Drywall is 95% complete in the convention area, 50% complete in the casino, 80% complete at the spa level, and 85% complete in the back of house area;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Taxi and valet tunnels are complete and exterior enclosure of the entire low rise is 60% complete.</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project budget is currently estimated at approximately $2.2 billion for Encore at Wynn Las Vegas and related capital improvements. The project is currently being funded from our Wynn Las Vegas Credit Facilities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27, 2007, we entered into a Design Build Architectural, Engineering and Construction Services Agreement (the “Contract”) with Tutor-Saliba Corporation (“Tutor”) for the design and construction of Encore at Wynn Las Vegas. The Contract sets forth all of the terms and conditions pursuant to which Tutor will design and construct Encore at Wynn Las Vegas. In June 2007, we executed the first amendment to the Contract which set the guaranteed maximum price for work under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4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March 31, 2008, we had incurred approximately $1.2 billion of project costs related to the development and construction of Encore at Wynn Las Vegas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at Wynn Las Vegas will be paid with funds from the following sources and in the following order of priority:</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Second, by using the proceeds of borrowings under the Wynn Las Vegas Credit Facilities;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response to our evaluation of Wynn Las Vegas and the reactions of our guests, we continue to make certain enhancements and refinements to the property. As a result, we have incurred and will continue to incur capital expenditures relating to these enhancements and refinements.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As at Wynn Las Vegas, in response to our evaluation of Wynn Macau and the reactions of our guests, we continue to make certain enhancements and refinements to this property. As a result, we have incurred and will continue to incur capital expenditures relating to these enhancements and refinements.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June 2007, we commenced construction on Encore at Wynn Macau, a further expansion of Wynn Macau. We expect Encore at Wynn Macau to open in the first half of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include the following: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ground floor and first floor slabs are complete;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third floor slab construction has commenced;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basement garage level 1 is fully excavated. Levels 2 and 3 are in progress;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tower cranes have been erected;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roof top central plant construction is ongoing.</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expect total development and construction costs to be approximately $600 million. The project budget will be funded from our existing Wynn Macau Credit Facilities and cash flow from operations at Wynn Macau.</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July 2007, Wynn Macau S.A. issued a notice to proceed and on November 8, 2007, executed a guaranteed maximum price contract for $347.8 million with Leighton Contractors (Asia) Limited, China State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Construction Engineering (Hong Kong) Limited and China Construction Engineering (Macau) Company Limited, acting together as the general contractor for the construction of the Encore at Wynn Macau.</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March 31, 2008, we had incurred approximately $75.8 million of project costs related to the development and construction of Encore at Wynn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June 7, 2007, our Board of Directors authorized an equity repurchase program of up to $1.2 billion. The repurchase program may include repurchases from time to time through open market purchases, in privately negotiated transactions, and under plans complying with Rules 10b5-1 and 10b-18 under the Exchange Act. During the three months ended March 31, 2008, we repurchased 2,464,542 shares at a net cost of $244.1 million. As of March 31, 2008, we had repurchased a total of 4,353,863 shares of our common stock for a net cost of $423.4 million, and an average price of $97.25 per share.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 at Wynn Las Vegas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March 31, 2008, our Wynn Las Vegas credit facilities consist of a $900 million revolving credit facility (the “Wynn Las Vegas Revolver”) and $225 million term loan facility (the “Wynn Las Vegas Term Loan”) ( together the “Wynn Las Vegas Credit Facilities”). For borrowings under the Wynn Las Vegas Term Loan we have elected, and expect to continue to elect, Eurodollar loans which bear interest at the 1-month LIBOR and include a margin of 1.875% on that outstanding balance. We have a $200 million notional amount interest rate swap to essentially fix the interest on $200 million of the Wynn Las Vegas Term Loan at the rate of 5.7% per annum. (For further information, see Item 3. “Quantitative and Qualitative Discussions about Market Risk”.)</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three months ended March 31, 2008, we borrowed $125 million under the Wynn Las Vegas Revolver. We also have $16.7 million of outstanding letters of credit that reduce our availability under the Wynn Las Vegas Revolver. Consequently, $758.3 million remains available under the Wynn Las Vegas Revolver for future borrowings for the construction of Encore at Wynn Las Vegas or for other uses as necessary. For borrowings under the Wynn Las Vegas Revolver, we have elected, and expect to continue to elect, Eurodollar loans, which bear interest at the 1-month LIBOR and currently include a margin of 1.625% on the outstanding balance. After opening Encore at Wynn Las Vegas, the margin will fluctuate between a range of 1 to 1.75%, depending on our leverage ratio. In addition to interest, we also pay quarterly in arrears, an annual rate of 0.375% on the daily average of unborrowed availability. After the opening of Encore at Wynn Las Vegas, the annual fee that we will be required to pay for unborrowed availability based on our leverage ratio and will range from an annual rate of 0.25% to 0.50%.</w:t>
      </w:r>
    </w:p>
    <w:p>
      <w:pPr>
        <w:spacing w:after="0" w:line="14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$900 million Wynn Las Vegas Revolver will terminate and be payable in full on August 15, 2011. The Wynn Las Vegas Term Loan will mature in two installments: $112.5 million will be payable on September 30, 2012 and the remaining $112.5 million will be payable on August 15, 2013.</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and Encore at Wynn Macau</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27, 2007, Wynn Resorts (Macau) S.A., amended its credit facilities, dated September 14, 2005 (“Amended Common Terms Agreement”), and entered into other related amendments and agreements with a syndicate of lenders. The Amended Common Terms Agreement and related agreements took effect on June 29, 2007 and expand availability under Wynn Macau, S.A.’s existing senior bank facility from $764 million to $1.550 billion, in a combination of Hong Kong and U.S. dollars, including a $550 million equivalent fully funded senior term loan facility (“the “Wynn Macau Term Loan”), and a $1 billion senior revolving credit facility (the “Wynn Macau Revolver”) (together the “Wynn Macau Credit Facilities”). Wynn Macau, S.A. also has the ability to upsize the total facilities by an additional $50 million pursuant to the terms and provisions of the Amended Common Terms Agreement.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three months ended March 31, 2008, we made no borrowings under the Wynn Macau Credit Facilities, and our outstanding balance was $550.9 million, with remaining availability of $1 billion. Future borrowings under the Wynn Macau Credit Facilities will be used to complete Encore at Wynn Macau, make investments in other projects in and around Macau and for general corporate purposes.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March 31, 2008, we had outstanding letters of credit totaling $16.7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 balance sheet arrangements as disclosed in our Annual Report on Form 10-K for the year ended December 31,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 Further, the Wynn Resorts $1 billion term loan places various restrictions on our ability to pay dividends with the proceeds of certain dispositions and certain funds drawn from such term loan.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completion of Encore at Wynn Las Vegas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4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2007. There has been no material change to these policies for the three months ended March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Our adoption of SFAS No. 157 on January 1, 2008 did not have a material impact on our financial position, results of operations or cash flows.</w:t>
      </w:r>
    </w:p>
    <w:p>
      <w:pPr>
        <w:spacing w:after="0" w:line="9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SFAS No. 159 on January 1, 2008, did not have a material impact on our consolidated financial statements.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February 1, 2008, the Company entered into an interest rate swap to hedge the underlying interest rate risk on all of the borrowings under the $1 billion Term Loan Facility. Pursuant to the terms of this interest rate swap, the Company pays a fixed rate of 2.836% on the $1 billion notional amount and receives payment based on LIBOR. This swap fixes the interest rate at approximately 5.09%. This swap terminates in June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As of March 31, 2008, we have one interest rate swap arrangement to hedge the underlying interest rate risk on a total of $200 million of borrowings under the current Wynn Las Vegas, LLC term loan facility,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new term loan facility at approximately 5.7%, changes in fair value of our interest rate swaps for each reporting period are, and will continue to be, recorded as an increase/(decrease) in swap fair value in our Condensed Consolidated Statements of Income, as the swap does not qualify for hedge accounting.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31, 2008, we have two interest rate swaps to hedge a portion of the underlying interest rate risk on borrowings under the Wynn Macau Term Loan. Under the first swap agreement, we pay a fixed interest rate of 4.84% on borrowings incurred under the Wynn Macau Term Loan up to a maximum of approximately $198.2 million, in exchange for receipts on the same amounts at a variable interest rate based on the applicable LIBOR at the time of payment. Under the second swap agreement, we pay a fixed interest rate of 4.77% on borrowings incurred under the Wynn Macau Term Loan up to a maximum of approximately HK$1.1 billion (approximately U.S.$140 million), in exchange for receipts on the same amounts at a variable interest rate based on the applicable HIBOR at the time of payment. The term of both swap agreements is from November 28, 2005 through November 28, 2008.</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These interest rate swaps fix the interest rates on the current U.S. dollar and Hong Kong dollar borrowings under the Wynn Macau Term Loan at approximately 6.59% and 6.52%, respectively. However, changes in the fair values of these interest rate swaps for each reporting period recorded are, and will continue to be, recognized as an increase/(decrease) in swap fair value in our Condensed Consolidated Statements of Income, as the swaps do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historical asset or (liability) fair values of our interest rate swap arrangements as of March 31, 2008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 (all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Net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Wynn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Wynn Las</w:t>
            </w:r>
          </w:p>
        </w:tc>
        <w:tc>
          <w:tcPr>
            <w:tcW w:w="160" w:type="dxa"/>
            <w:vAlign w:val="bottom"/>
          </w:tcPr>
          <w:p>
            <w:pPr>
              <w:spacing w:after="0"/>
              <w:rPr>
                <w:sz w:val="12"/>
                <w:szCs w:val="12"/>
                <w:color w:val="auto"/>
              </w:rPr>
            </w:pPr>
          </w:p>
        </w:tc>
        <w:tc>
          <w:tcPr>
            <w:tcW w:w="9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Wynn</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61"/>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3"/>
              </w:rPr>
              <w:t>Asset/(Liability) fair value at:</w:t>
            </w:r>
          </w:p>
        </w:tc>
        <w:tc>
          <w:tcPr>
            <w:tcW w:w="590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Resorts</w:t>
            </w:r>
          </w:p>
        </w:tc>
        <w:tc>
          <w:tcPr>
            <w:tcW w:w="10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Vegas</w:t>
            </w:r>
          </w:p>
        </w:tc>
        <w:tc>
          <w:tcPr>
            <w:tcW w:w="1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Macau</w:t>
            </w: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Swaps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31,</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2008</w:t>
            </w:r>
          </w:p>
        </w:tc>
        <w:tc>
          <w:tcPr>
            <w:tcW w:w="5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(9,607)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(2,225)</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1040" w:type="dxa"/>
            <w:vAlign w:val="bottom"/>
          </w:tcPr>
          <w:p>
            <w:pPr>
              <w:ind w:left="20"/>
              <w:spacing w:after="0"/>
              <w:rPr>
                <w:sz w:val="20"/>
                <w:szCs w:val="20"/>
                <w:color w:val="auto"/>
              </w:rPr>
            </w:pPr>
            <w:r>
              <w:rPr>
                <w:rFonts w:ascii="Arial" w:cs="Arial" w:eastAsia="Arial" w:hAnsi="Arial"/>
                <w:sz w:val="18"/>
                <w:szCs w:val="18"/>
                <w:color w:val="auto"/>
              </w:rPr>
              <w:t>31, 2007</w:t>
            </w: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pay/receive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2008, approximately 60%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2008, an assumed 1% change in variable rates would cause our annual interest cost to change by $14.8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currency delineated in Wynn Macau’s concession agreement with the government of Macau is the Macau pataca. The Macau pataca, which is not a freely convertible currency, is linked to the Hong Kong dollar,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4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the Hong Kong dollar and the Macau pataca are not linked to the U.S. dollar in the future, severe fluctuations in the exchange rate for these currencies may result. We cannot assure you that the current rate of exchange fixed by the applicable monetary authorities for these currencies will remain at the same level.</w:t>
      </w:r>
    </w:p>
    <w:p>
      <w:pPr>
        <w:spacing w:after="0" w:line="6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80" w:firstLine="464"/>
        <w:spacing w:after="0" w:line="286" w:lineRule="auto"/>
        <w:tabs>
          <w:tab w:leader="none" w:pos="695"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2007. There were no material changes to those risk factors during the three months ended March 31,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not adopted a policy regarding the payment of dividends, however we plan to evaluate the payment of dividends from time to time.</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our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 Further, the Wynn Resorts $1 billion term loan places various restrictions on our ability to pay dividends with the proceeds of certain dispositions and certain funds drawn from such term loan.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$1.2 billion Equity Repurchase Program</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June 7, 2007, the Board of Directors of Wynn Resorts, Limited authorized an equity repurchase program of up to $1.2 billion which may include purchases of both its common stock and its 6% Convertible Debentures due 2015. The repurchase program may include repurchases from time to time through open market purchases or negotiated transactions, depending upon market conditions. As of March 31, 2008, the Company had repurchased a cumulative total of 4,353,863 shares of its common stock through open market purchases for net costs of $423.4 million, and an average price of $97.25 per share. Purchases during the three months ended March 31, 2008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Total Number of</w:t>
            </w:r>
          </w:p>
        </w:tc>
        <w:tc>
          <w:tcPr>
            <w:tcW w:w="5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 Dollar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5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Total Number</w:t>
            </w:r>
          </w:p>
        </w:tc>
        <w:tc>
          <w:tcPr>
            <w:tcW w:w="580" w:type="dxa"/>
            <w:vAlign w:val="bottom"/>
          </w:tcPr>
          <w:p>
            <w:pPr>
              <w:spacing w:after="0"/>
              <w:rPr>
                <w:sz w:val="12"/>
                <w:szCs w:val="12"/>
                <w:color w:val="auto"/>
              </w:rPr>
            </w:pPr>
          </w:p>
        </w:tc>
        <w:tc>
          <w:tcPr>
            <w:tcW w:w="11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4"/>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a</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5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61"/>
        </w:trPr>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4"/>
              </w:rPr>
              <w:t>Purchased</w:t>
            </w:r>
          </w:p>
        </w:tc>
        <w:tc>
          <w:tcPr>
            <w:tcW w:w="580" w:type="dxa"/>
            <w:vAlign w:val="bottom"/>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per Share</w:t>
            </w:r>
          </w:p>
        </w:tc>
        <w:tc>
          <w:tcPr>
            <w:tcW w:w="5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88"/>
              </w:rPr>
              <w:t>the Plan</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January 2008</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1,409,157</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102.29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1,409,157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February 2008</w:t>
            </w:r>
          </w:p>
        </w:tc>
        <w:tc>
          <w:tcPr>
            <w:tcW w:w="27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March 2008</w:t>
            </w:r>
          </w:p>
        </w:tc>
        <w:tc>
          <w:tcPr>
            <w:tcW w:w="27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1,055,385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94.75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1,055,385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40" w:type="dxa"/>
            <w:vAlign w:val="bottom"/>
            <w:vMerge w:val="continue"/>
          </w:tcPr>
          <w:p>
            <w:pPr>
              <w:spacing w:after="0"/>
              <w:rPr>
                <w:sz w:val="19"/>
                <w:szCs w:val="19"/>
                <w:color w:val="auto"/>
              </w:rPr>
            </w:pPr>
          </w:p>
        </w:tc>
        <w:tc>
          <w:tcPr>
            <w:tcW w:w="27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2,464,542</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99.06</w:t>
            </w:r>
          </w:p>
        </w:tc>
        <w:tc>
          <w:tcPr>
            <w:tcW w:w="1040" w:type="dxa"/>
            <w:vAlign w:val="bottom"/>
          </w:tcPr>
          <w:p>
            <w:pPr>
              <w:jc w:val="right"/>
              <w:spacing w:after="0"/>
              <w:rPr>
                <w:sz w:val="20"/>
                <w:szCs w:val="20"/>
                <w:color w:val="auto"/>
              </w:rPr>
            </w:pPr>
            <w:r>
              <w:rPr>
                <w:rFonts w:ascii="Arial" w:cs="Arial" w:eastAsia="Arial" w:hAnsi="Arial"/>
                <w:sz w:val="18"/>
                <w:szCs w:val="18"/>
                <w:color w:val="auto"/>
              </w:rPr>
              <w:t>2,464,542</w:t>
            </w: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776,588,082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760" w:type="dxa"/>
            <w:vAlign w:val="bottom"/>
            <w:vMerge w:val="restart"/>
          </w:tcPr>
          <w:p>
            <w:pPr>
              <w:jc w:val="right"/>
              <w:ind w:right="212"/>
              <w:spacing w:after="0"/>
              <w:rPr>
                <w:sz w:val="20"/>
                <w:szCs w:val="20"/>
                <w:color w:val="auto"/>
              </w:rPr>
            </w:pPr>
            <w:r>
              <w:rPr>
                <w:rFonts w:ascii="Arial" w:cs="Arial" w:eastAsia="Arial" w:hAnsi="Arial"/>
                <w:sz w:val="18"/>
                <w:szCs w:val="18"/>
                <w:color w:val="auto"/>
              </w:rPr>
              <w:t>33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29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color w:val="auto"/>
              </w:rPr>
              <w:t>(a)</w:t>
            </w:r>
          </w:p>
        </w:tc>
        <w:tc>
          <w:tcPr>
            <w:tcW w:w="9320" w:type="dxa"/>
            <w:vAlign w:val="bottom"/>
            <w:gridSpan w:val="3"/>
          </w:tcPr>
          <w:p>
            <w:pPr>
              <w:ind w:left="180"/>
              <w:spacing w:after="0"/>
              <w:rPr>
                <w:sz w:val="20"/>
                <w:szCs w:val="20"/>
                <w:color w:val="auto"/>
              </w:rPr>
            </w:pPr>
            <w:r>
              <w:rPr>
                <w:rFonts w:ascii="Arial" w:cs="Arial" w:eastAsia="Arial" w:hAnsi="Arial"/>
                <w:sz w:val="18"/>
                <w:szCs w:val="18"/>
                <w:color w:val="auto"/>
              </w:rPr>
              <w:t>Exhibits</w:t>
            </w:r>
          </w:p>
        </w:tc>
      </w:tr>
      <w:tr>
        <w:trPr>
          <w:trHeight w:val="5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20" w:type="dxa"/>
            <w:vAlign w:val="bottom"/>
          </w:tcPr>
          <w:p>
            <w:pPr>
              <w:ind w:left="274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84"/>
        </w:trPr>
        <w:tc>
          <w:tcPr>
            <w:tcW w:w="2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Second</w:t>
            </w:r>
          </w:p>
        </w:tc>
        <w:tc>
          <w:tcPr>
            <w:tcW w:w="8320" w:type="dxa"/>
            <w:vAlign w:val="bottom"/>
          </w:tcPr>
          <w:p>
            <w:pPr>
              <w:spacing w:after="0"/>
              <w:rPr>
                <w:sz w:val="20"/>
                <w:szCs w:val="20"/>
                <w:color w:val="auto"/>
              </w:rPr>
            </w:pPr>
            <w:r>
              <w:rPr>
                <w:rFonts w:ascii="Arial" w:cs="Arial" w:eastAsia="Arial" w:hAnsi="Arial"/>
                <w:sz w:val="18"/>
                <w:szCs w:val="18"/>
                <w:color w:val="auto"/>
              </w:rPr>
              <w:t>Amended and Restated Articles of Incorporation of the Registrant.</w:t>
            </w:r>
            <w:r>
              <w:rPr>
                <w:rFonts w:ascii="Arial" w:cs="Arial" w:eastAsia="Arial" w:hAnsi="Arial"/>
                <w:sz w:val="22"/>
                <w:szCs w:val="22"/>
                <w:color w:val="auto"/>
                <w:vertAlign w:val="superscript"/>
              </w:rPr>
              <w:t>(1)</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Fourth Amended and Restated Bylaws of the Registrant, as amended.</w:t>
            </w:r>
            <w:r>
              <w:rPr>
                <w:rFonts w:ascii="Arial" w:cs="Arial" w:eastAsia="Arial" w:hAnsi="Arial"/>
                <w:sz w:val="22"/>
                <w:szCs w:val="22"/>
                <w:color w:val="auto"/>
                <w:vertAlign w:val="superscript"/>
              </w:rPr>
              <w:t>(2)</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8"/>
              </w:rPr>
              <w:t>Employment Agreement, dated as of March 4, 2008, by and between Wynn Resorts Limited and Marc D. Schorr.</w:t>
            </w:r>
            <w:r>
              <w:rPr>
                <w:rFonts w:ascii="Arial" w:cs="Arial" w:eastAsia="Arial" w:hAnsi="Arial"/>
                <w:sz w:val="22"/>
                <w:szCs w:val="22"/>
                <w:color w:val="auto"/>
                <w:w w:val="98"/>
                <w:vertAlign w:val="superscript"/>
              </w:rPr>
              <w:t>(3)</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88"/>
              </w:rPr>
              <w:t>First Amendment to Employment Agreement, dated as of March 26, 2008, between Wynn Resorts, Limited and John Strzemp.</w:t>
            </w:r>
            <w:r>
              <w:rPr>
                <w:rFonts w:ascii="Arial" w:cs="Arial" w:eastAsia="Arial" w:hAnsi="Arial"/>
                <w:sz w:val="22"/>
                <w:szCs w:val="22"/>
                <w:color w:val="auto"/>
                <w:w w:val="88"/>
                <w:vertAlign w:val="superscript"/>
              </w:rPr>
              <w:t>(4)</w:t>
            </w:r>
          </w:p>
        </w:tc>
      </w:tr>
      <w:tr>
        <w:trPr>
          <w:trHeight w:val="248"/>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of Periodic Report Pursuant to Rule 13a—14(a) and Rule 15d—14(a).</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of Periodic Report Pursuant to Rule 13a—14(a) and Rule 15d—14(a).</w:t>
            </w:r>
          </w:p>
        </w:tc>
      </w:tr>
      <w:tr>
        <w:trPr>
          <w:trHeight w:val="324"/>
        </w:trPr>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08"/>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March 4, 2008 and incorporated herein by reference.</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March 28, 2008 and incorporated herein by reference</w:t>
      </w:r>
    </w:p>
    <w:p>
      <w:pPr>
        <w:spacing w:after="0" w:line="18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240" w:top="459" w:right="7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560" w:val="left"/>
          <w:tab w:leader="none" w:pos="7780" w:val="left"/>
          <w:tab w:leader="none" w:pos="8120" w:val="left"/>
        </w:tabs>
        <w:rPr>
          <w:sz w:val="20"/>
          <w:szCs w:val="20"/>
          <w:color w:val="auto"/>
        </w:rPr>
      </w:pPr>
      <w:r>
        <w:rPr>
          <w:rFonts w:ascii="Arial" w:cs="Arial" w:eastAsia="Arial" w:hAnsi="Arial"/>
          <w:sz w:val="18"/>
          <w:szCs w:val="18"/>
          <w:color w:val="auto"/>
        </w:rPr>
        <w:t>Dated: May 9,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Matt Maddox</w:t>
      </w:r>
    </w:p>
    <w:p>
      <w:pPr>
        <w:jc w:val="center"/>
        <w:ind w:left="594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40"/>
          </w:cols>
          <w:pgMar w:left="240" w:top="459" w:right="11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580" w:val="left"/>
          <w:tab w:leader="none" w:pos="7940" w:val="left"/>
        </w:tabs>
        <w:rPr>
          <w:sz w:val="20"/>
          <w:szCs w:val="20"/>
          <w:color w:val="auto"/>
        </w:rPr>
      </w:pPr>
      <w:r>
        <w:rPr>
          <w:rFonts w:ascii="Arial" w:cs="Arial" w:eastAsia="Arial" w:hAnsi="Arial"/>
          <w:sz w:val="18"/>
          <w:szCs w:val="18"/>
          <w:color w:val="auto"/>
        </w:rPr>
        <w:t>Date: May 9, 2008</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Stephen A. Wynn</w:t>
      </w:r>
    </w:p>
    <w:p>
      <w:pPr>
        <w:jc w:val="center"/>
        <w:ind w:left="582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58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20" w:val="left"/>
          <w:tab w:leader="none" w:pos="8060" w:val="left"/>
        </w:tabs>
        <w:rPr>
          <w:sz w:val="20"/>
          <w:szCs w:val="20"/>
          <w:color w:val="auto"/>
        </w:rPr>
      </w:pPr>
      <w:r>
        <w:rPr>
          <w:rFonts w:ascii="Arial" w:cs="Arial" w:eastAsia="Arial" w:hAnsi="Arial"/>
          <w:sz w:val="18"/>
          <w:szCs w:val="18"/>
          <w:color w:val="auto"/>
        </w:rPr>
        <w:t>Date: May 9, 2008</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Matt Maddox</w:t>
      </w:r>
    </w:p>
    <w:p>
      <w:pPr>
        <w:jc w:val="center"/>
        <w:ind w:left="582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8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2008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19"/>
                <w:szCs w:val="19"/>
                <w:color w:val="auto"/>
              </w:rPr>
            </w:pPr>
          </w:p>
        </w:tc>
        <w:tc>
          <w:tcPr>
            <w:tcW w:w="13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12"/>
                <w:szCs w:val="12"/>
                <w:color w:val="auto"/>
              </w:rPr>
            </w:pPr>
          </w:p>
        </w:tc>
        <w:tc>
          <w:tcPr>
            <w:tcW w:w="2700" w:type="dxa"/>
            <w:vAlign w:val="bottom"/>
          </w:tcPr>
          <w:p>
            <w:pPr>
              <w:jc w:val="center"/>
              <w:ind w:right="1242"/>
              <w:spacing w:after="0" w:line="145" w:lineRule="exact"/>
              <w:rPr>
                <w:sz w:val="20"/>
                <w:szCs w:val="20"/>
                <w:color w:val="auto"/>
              </w:rPr>
            </w:pPr>
            <w:r>
              <w:rPr>
                <w:rFonts w:ascii="Arial" w:cs="Arial" w:eastAsia="Arial" w:hAnsi="Arial"/>
                <w:sz w:val="14"/>
                <w:szCs w:val="14"/>
                <w:b w:val="1"/>
                <w:bCs w:val="1"/>
                <w:color w:val="auto"/>
                <w:w w:val="88"/>
              </w:rPr>
              <w:t>Stephen A. Wynn</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Chairman and Chief Executive Officer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320" w:type="dxa"/>
            <w:vAlign w:val="bottom"/>
          </w:tcPr>
          <w:p>
            <w:pPr>
              <w:spacing w:after="0"/>
              <w:rPr>
                <w:sz w:val="20"/>
                <w:szCs w:val="20"/>
                <w:color w:val="auto"/>
              </w:rPr>
            </w:pPr>
            <w:r>
              <w:rPr>
                <w:rFonts w:ascii="Arial" w:cs="Arial" w:eastAsia="Arial" w:hAnsi="Arial"/>
                <w:sz w:val="18"/>
                <w:szCs w:val="18"/>
                <w:color w:val="auto"/>
              </w:rPr>
              <w:t>May 9, 2008</w:t>
            </w:r>
          </w:p>
        </w:tc>
        <w:tc>
          <w:tcPr>
            <w:tcW w:w="2700" w:type="dxa"/>
            <w:vAlign w:val="bottom"/>
          </w:tcPr>
          <w:p>
            <w:pPr>
              <w:spacing w:after="0"/>
              <w:rPr>
                <w:sz w:val="24"/>
                <w:szCs w:val="24"/>
                <w:color w:val="auto"/>
              </w:rPr>
            </w:pPr>
          </w:p>
        </w:tc>
      </w:tr>
      <w:tr>
        <w:trPr>
          <w:trHeight w:val="419"/>
        </w:trPr>
        <w:tc>
          <w:tcPr>
            <w:tcW w:w="560" w:type="dxa"/>
            <w:vAlign w:val="bottom"/>
          </w:tcPr>
          <w:p>
            <w:pPr>
              <w:spacing w:after="0"/>
              <w:rPr>
                <w:sz w:val="24"/>
                <w:szCs w:val="24"/>
                <w:color w:val="auto"/>
              </w:rPr>
            </w:pP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tcPr>
          <w:p>
            <w:pPr>
              <w:jc w:val="center"/>
              <w:ind w:right="118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12"/>
                <w:szCs w:val="12"/>
                <w:color w:val="auto"/>
              </w:rPr>
            </w:pPr>
          </w:p>
        </w:tc>
        <w:tc>
          <w:tcPr>
            <w:tcW w:w="2700" w:type="dxa"/>
            <w:vAlign w:val="bottom"/>
          </w:tcPr>
          <w:p>
            <w:pPr>
              <w:jc w:val="center"/>
              <w:ind w:right="1262"/>
              <w:spacing w:after="0" w:line="145" w:lineRule="exact"/>
              <w:rPr>
                <w:sz w:val="20"/>
                <w:szCs w:val="20"/>
                <w:color w:val="auto"/>
              </w:rPr>
            </w:pPr>
            <w:r>
              <w:rPr>
                <w:rFonts w:ascii="Arial" w:cs="Arial" w:eastAsia="Arial" w:hAnsi="Arial"/>
                <w:sz w:val="14"/>
                <w:szCs w:val="14"/>
                <w:b w:val="1"/>
                <w:bCs w:val="1"/>
                <w:color w:val="auto"/>
                <w:w w:val="93"/>
              </w:rPr>
              <w:t>Matt Maddox</w:t>
            </w:r>
          </w:p>
        </w:tc>
      </w:tr>
      <w:tr>
        <w:trPr>
          <w:trHeight w:val="149"/>
        </w:trPr>
        <w:tc>
          <w:tcPr>
            <w:tcW w:w="56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4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Chief Financial Officer and Treasurer</w:t>
            </w:r>
          </w:p>
        </w:tc>
      </w:tr>
      <w:tr>
        <w:trPr>
          <w:trHeight w:val="174"/>
        </w:trPr>
        <w:tc>
          <w:tcPr>
            <w:tcW w:w="560" w:type="dxa"/>
            <w:vAlign w:val="bottom"/>
          </w:tcPr>
          <w:p>
            <w:pPr>
              <w:spacing w:after="0"/>
              <w:rPr>
                <w:sz w:val="15"/>
                <w:szCs w:val="15"/>
                <w:color w:val="auto"/>
              </w:rPr>
            </w:pPr>
          </w:p>
        </w:tc>
        <w:tc>
          <w:tcPr>
            <w:tcW w:w="4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(Principal Financial Officer)</w:t>
            </w:r>
          </w:p>
        </w:tc>
      </w:tr>
      <w:tr>
        <w:trPr>
          <w:trHeight w:val="41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320" w:type="dxa"/>
            <w:vAlign w:val="bottom"/>
          </w:tcPr>
          <w:p>
            <w:pPr>
              <w:spacing w:after="0"/>
              <w:rPr>
                <w:sz w:val="20"/>
                <w:szCs w:val="20"/>
                <w:color w:val="auto"/>
              </w:rPr>
            </w:pPr>
            <w:r>
              <w:rPr>
                <w:rFonts w:ascii="Arial" w:cs="Arial" w:eastAsia="Arial" w:hAnsi="Arial"/>
                <w:sz w:val="18"/>
                <w:szCs w:val="18"/>
                <w:color w:val="auto"/>
              </w:rPr>
              <w:t>May 9, 2008</w:t>
            </w:r>
          </w:p>
        </w:tc>
        <w:tc>
          <w:tcPr>
            <w:tcW w:w="2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2019-12-15T07:18:09Z</dcterms:created>
  <dcterms:modified xsi:type="dcterms:W3CDTF">2019-12-15T07:18:09Z</dcterms:modified>
</cp:coreProperties>
</file>