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94"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230" w:right="339" w:bottom="1440" w:gutter="0" w:footer="0" w:header="0"/>
        </w:sectPr>
      </w:pPr>
    </w:p>
    <w:p>
      <w:pPr>
        <w:spacing w:after="0" w:line="175"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600" w:space="720"/>
            <w:col w:w="3000"/>
          </w:cols>
          <w:pgMar w:left="240" w:top="2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10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196850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920"/>
        <w:spacing w:after="0" w:line="207" w:lineRule="exact"/>
        <w:tabs>
          <w:tab w:leader="none" w:pos="390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13"/>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2010 and December 31, 2009</w:t>
              </w:r>
            </w:hyperlink>
          </w:p>
        </w:tc>
        <w:tc>
          <w:tcPr>
            <w:tcW w:w="272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six months ended June 30, 2010 and 2009</w:t>
              </w:r>
            </w:hyperlink>
          </w:p>
        </w:tc>
        <w:tc>
          <w:tcPr>
            <w:tcW w:w="1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Six months ended June 30, 2010 and 2009</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2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7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02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06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540" w:type="dxa"/>
            <w:vAlign w:val="bottom"/>
            <w:gridSpan w:val="12"/>
          </w:tcPr>
          <w:p>
            <w:pPr>
              <w:ind w:left="60"/>
              <w:spacing w:after="0"/>
              <w:rPr>
                <w:sz w:val="20"/>
                <w:szCs w:val="20"/>
                <w:color w:val="auto"/>
              </w:rPr>
            </w:pPr>
            <w:r>
              <w:rPr>
                <w:rFonts w:ascii="Arial" w:cs="Arial" w:eastAsia="Arial" w:hAnsi="Arial"/>
                <w:sz w:val="18"/>
                <w:szCs w:val="18"/>
                <w:b w:val="1"/>
                <w:bCs w:val="1"/>
                <w:color w:val="auto"/>
              </w:rPr>
              <w:t>Other Information</w:t>
            </w:r>
          </w:p>
        </w:tc>
        <w:tc>
          <w:tcPr>
            <w:tcW w:w="120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08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8740" w:type="dxa"/>
            <w:vAlign w:val="bottom"/>
            <w:gridSpan w:val="10"/>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520" w:type="dxa"/>
            <w:vAlign w:val="bottom"/>
            <w:gridSpan w:val="8"/>
          </w:tcPr>
          <w:p>
            <w:pPr>
              <w:jc w:val="right"/>
              <w:ind w:right="14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3,778,961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206,358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2,590,756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2,897,793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2,868,771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(677,032)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7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$ 117,190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$124,343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256,700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78,841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156,436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111,477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99,945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207,420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53,901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105,528</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361,409</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356,228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726,084</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(43,088)</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(89,156)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318,321</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312,959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636,928</w:t>
            </w:r>
          </w:p>
        </w:tc>
        <w:tc>
          <w:tcPr>
            <w:tcW w:w="5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68,585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60,704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145,412</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30,852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26,658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68,384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61,801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126,370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33,564</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33,554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57,074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57,609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116,895</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2,642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4,787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9,561</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1,590</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67,583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78,425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146,509</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482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335,543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321,305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688,635</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(17,222)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(51,707)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89</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(46,208)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(37,661)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(91,284)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(2,277)</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(4,555)</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(3,152)</w:t>
            </w:r>
          </w:p>
        </w:tc>
        <w:tc>
          <w:tcPr>
            <w:tcW w:w="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(51,525)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(37,837)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(98,732)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(68,747)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 (46,183)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(150,439)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(150,439)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(84,053)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(77,357)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(165,039)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(289,040)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85,542</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328,451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(10,202)</w:t>
            </w: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114,751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(51,609)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50,318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71,706</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2010 and December 31, 2009, approximately 67%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20" w:type="dxa"/>
            <w:vAlign w:val="bottom"/>
          </w:tcPr>
          <w:p>
            <w:pPr>
              <w:spacing w:after="0"/>
              <w:rPr>
                <w:sz w:val="14"/>
                <w:szCs w:val="14"/>
                <w:color w:val="auto"/>
              </w:rPr>
            </w:pPr>
          </w:p>
        </w:tc>
        <w:tc>
          <w:tcPr>
            <w:tcW w:w="166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7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$ 10,028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$ 24,717</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tcPr>
          <w:p>
            <w:pPr>
              <w:jc w:val="right"/>
              <w:spacing w:after="0"/>
              <w:rPr>
                <w:sz w:val="20"/>
                <w:szCs w:val="20"/>
                <w:color w:val="auto"/>
              </w:rPr>
            </w:pPr>
            <w:r>
              <w:rPr>
                <w:rFonts w:ascii="Arial" w:cs="Arial" w:eastAsia="Arial" w:hAnsi="Arial"/>
                <w:sz w:val="18"/>
                <w:szCs w:val="18"/>
                <w:color w:val="auto"/>
              </w:rPr>
              <w:t>13,819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30,985</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$ 28,897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$ 26,395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$ 60,312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$ 60,607</w:t>
            </w:r>
          </w:p>
        </w:tc>
      </w:tr>
      <w:tr>
        <w:trPr>
          <w:trHeight w:val="20"/>
        </w:trPr>
        <w:tc>
          <w:tcPr>
            <w:tcW w:w="6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$8.1 million and $8.8 million for the three months ended June 30, 2010 and 2009, respectively. For the six months ended June 30, 2010 and 2009, these taxes totaled approximately $17.8 million and $17.5 million,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2010 and 2009, advertising costs totaled approximately $2.8 million and $3.5 million, respectively. For the six months ended June 30, 2010 and 2009, advertising costs totaled approximately $6.3 million and $10.5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2010 and 2009, the Company recorded $6 million and $4.6 million, respectively, in share 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Interest paid for the six months ended June 30, 2010 and 2009 totaled approximately $84.4 million and $69.5 million, respectively. Interest capitalized for the six months ended June 30, 2010 totaled approximately $0.6 million. There was no interest capitalized during the six months ended June 30, 2009.</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six months ended June 30, 2010 and 2009, capital expenditures include a decrease of approximately $13.9 million and approximately $146.9 million, respectively, in construction payables and retention recorded through amounts due to affiliates.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$143,851</w:t>
            </w: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149,786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Hotel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17,022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17,490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171,085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178,266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4"/>
            <w:shd w:val="clear" w:color="auto" w:fill="CCEEFF"/>
          </w:tcPr>
          <w:p>
            <w:pPr>
              <w:jc w:val="right"/>
              <w:ind w:right="454"/>
              <w:spacing w:after="0"/>
              <w:rPr>
                <w:sz w:val="20"/>
                <w:szCs w:val="20"/>
                <w:color w:val="auto"/>
              </w:rPr>
            </w:pPr>
            <w:r>
              <w:rPr>
                <w:rFonts w:ascii="Arial" w:cs="Arial" w:eastAsia="Arial" w:hAnsi="Arial"/>
                <w:sz w:val="18"/>
                <w:szCs w:val="18"/>
                <w:color w:val="auto"/>
              </w:rPr>
              <w:t>(70,931)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(67,406)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100,154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24"/>
                <w:szCs w:val="24"/>
                <w:color w:val="auto"/>
              </w:rPr>
            </w:pPr>
          </w:p>
        </w:tc>
        <w:tc>
          <w:tcPr>
            <w:tcW w:w="13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81"/>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706,658</w:t>
            </w:r>
          </w:p>
        </w:tc>
        <w:tc>
          <w:tcPr>
            <w:tcW w:w="7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692,677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2,597,623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2,554,224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44,349</w:t>
            </w: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1,348,998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1,325,677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4,703,338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4,640,805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4"/>
            <w:shd w:val="clear" w:color="auto" w:fill="CCEEFF"/>
          </w:tcPr>
          <w:p>
            <w:pPr>
              <w:jc w:val="right"/>
              <w:ind w:right="434"/>
              <w:spacing w:after="0"/>
              <w:rPr>
                <w:sz w:val="20"/>
                <w:szCs w:val="20"/>
                <w:color w:val="auto"/>
              </w:rPr>
            </w:pPr>
            <w:r>
              <w:rPr>
                <w:rFonts w:ascii="Arial" w:cs="Arial" w:eastAsia="Arial" w:hAnsi="Arial"/>
                <w:sz w:val="18"/>
                <w:szCs w:val="18"/>
                <w:color w:val="auto"/>
                <w:w w:val="95"/>
              </w:rPr>
              <w:t>(924,377)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(789,137)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$ 3,778,961</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$ 3,851,668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88"/>
              </w:rPr>
              <w:t xml:space="preserve">6 </w:t>
            </w:r>
            <w:r>
              <w:rPr>
                <w:rFonts w:ascii="Arial" w:cs="Arial" w:eastAsia="Arial" w:hAnsi="Arial"/>
                <w:sz w:val="11"/>
                <w:szCs w:val="11"/>
                <w:color w:val="auto"/>
                <w:w w:val="88"/>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xml:space="preserve"> % First Mortgage Notes, due December 1, 2014, net of original issue discount of $4,982 at June 30, 2010 and $8,214 at</w:t>
            </w:r>
          </w:p>
        </w:tc>
        <w:tc>
          <w:tcPr>
            <w:tcW w:w="4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2009</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$1,277,238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760" w:type="dxa"/>
            <w:vAlign w:val="bottom"/>
            <w:gridSpan w:val="4"/>
          </w:tcPr>
          <w:p>
            <w:pPr>
              <w:spacing w:after="0"/>
              <w:rPr>
                <w:sz w:val="20"/>
                <w:szCs w:val="20"/>
                <w:color w:val="auto"/>
              </w:rPr>
            </w:pPr>
            <w:r>
              <w:rPr>
                <w:rFonts w:ascii="Arial" w:cs="Arial" w:eastAsia="Arial" w:hAnsi="Arial"/>
                <w:sz w:val="18"/>
                <w:szCs w:val="18"/>
                <w:color w:val="auto"/>
                <w:w w:val="88"/>
              </w:rPr>
              <w:t xml:space="preserve">7 </w:t>
            </w:r>
            <w:r>
              <w:rPr>
                <w:rFonts w:ascii="Arial" w:cs="Arial" w:eastAsia="Arial" w:hAnsi="Arial"/>
                <w:sz w:val="11"/>
                <w:szCs w:val="11"/>
                <w:color w:val="auto"/>
                <w:w w:val="88"/>
              </w:rPr>
              <w:t>7</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xml:space="preserve"> % First Mortgage Notes, due November 1, 2017, net of original issue discount of $10,196 at June 30, 2010 and $10,529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at December 31, 2009</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489,804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xml:space="preserve"> % First Mortgage Notes, due May 1, 2020, net of original issue discount of $2,576 at June 30, 2010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349,434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LIBOR plus 1.875%</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2,591,806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2,552,570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2,590,756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2,551,520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568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and are included in payable to affiliate in the table above. The exchange offer closed on April 28, 2010.</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 The direct costs of the exchange offer incurred with third parties of $3.2 million were expensed.</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During the six months ended June 30, 2009, Wynn Resorts purchased $65.8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$65.8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net book value of the 2014 Notes, the 2017 Notes and the 2020 Notes at June 30, 2010 and December 31, 2009, was approximately $ 2.2 billion. The estimated fair value of the First Mortgage Notes based upon most recent trades at June 30, 2010 and December 31, 2009, was approximately $2.2 billion. The net book value of the Company’s other debt instruments was $410 million and $371 million at June 30, 2010 and December 31, 2009, respectively. The approximate fair value of such debt was approximately $396 million and $351 million at June 30, 2010 and December 31, 2009,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June 30, 2010 and December 31, 2009, the fair value of this interest rate swap was a liability of $ 8.8 million and $4.2 million, respectively.</w:t>
      </w:r>
    </w:p>
    <w:p>
      <w:pPr>
        <w:spacing w:after="0" w:line="191" w:lineRule="exact"/>
        <w:rPr>
          <w:sz w:val="20"/>
          <w:szCs w:val="20"/>
          <w:color w:val="auto"/>
        </w:rPr>
      </w:pPr>
    </w:p>
    <w:p>
      <w:pPr>
        <w:ind w:left="240" w:right="88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2010, the Company’s current Due to affiliates was primarily comprised of construction payables of approximately $6.1 million, construction retention of approximately $3.2 million and other net amounts due to affiliates totaling $17.6 million (including corporate allocations discussed below). The long-term Due to affiliates is management fees of approximately $91.9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from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six months ended June 30, 2010 and 2009, approximately $12 million and $10.5 million, respectively, were charged to the Company for such corporate allocations.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June 30, 2010, and December 31, 2009, Wynn Resorts owed Mr. Wynn and the other officers and directors approximately $367,238 and $789,095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months ended June 30, 2010 and 2009 were $0.5 million and a net gain of $6.6 million, respectively. Property charges and other for the three months ended June 30, 2010, related to miscellaneous renovations and abandonments at Wynn Las Vegas and Encore. Property charges and other for the three months ended June 30, 2009, include the return of $8.1 million of aircraft deposits written off in the first quarter of 2009. On February 19, 2009, the Company cancelled an agreement to purchase an aircraft. The deposit was refundable to the extent another buyer was found. Due to the uncertainty as to the recoverability of this deposit, the Company wrote off the deposit in the first quarter of 2009. In the second quarter of 2009 another buyer was found and the Company recovered a portion of the original deposit. The remaining property charges for the three months ended June 30, 2009 were related to miscellaneous renovations and abandonments at Wynn Las Vegas and Encore.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Property charges and other for the six months ended June 30, 2010 and 2009 were $1.7 million and $7.3 million respectively. Property charges and other for the six months ended June 30, 2010 were for miscellaneous renovations and abandonments at Wynn Las Vegas and Encore. Property charges and other for the six months ended June 30, 2009, include the net write-off of $5.3 million of an aircraft purchase deposit noted above. The remaining property charges for the six months ended June 30, 2009 were related to miscellaneous renovations and abandonments at Wynn Las Vegas and Encore.</w:t>
      </w:r>
    </w:p>
    <w:p>
      <w:pPr>
        <w:spacing w:after="0" w:line="188"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June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June 30, 2010, the Company had not recorded a receivable related to this matter.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August 4, 2010, the Issuers issued a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The Company plans to use the net proceeds of the offering along with the proceeds of a capital contribution from Wynn Resorts, Limited to purchase, and, as applicable, make consent payments for, any and all of the Issuers’ 2014 Notes that are validly tendered and accepted for payment pursuant to Wynn Las Vegas, LLC’s concurrent offer to purchase and consent solicitation with respect to the 2014 Notes and to redeem any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in the amount of $30.00 for each $1,000 principal amount of 2014 Notes. The consent solicitation expired on August 3, 2010 and the tender offer expires August 18, 2010.</w:t>
      </w:r>
    </w:p>
    <w:p>
      <w:pPr>
        <w:spacing w:after="0" w:line="12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On August 4, 2010, the Trustee, at the request of the Issuers, gave notice of redemption of any and all of the outstanding 2014 Notes. The redemption price shall be equal to 103.313% of the aggregate principal amount of the 2014 Notes redeemed plus accrued and unpaid interest thereon to September 3, 2010.</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the Company’s credit facilities, the 2014 Notes, the 2017 Notes and existing 2020 Notes. The New 2020 Notes are senior secured obligations of the Issuers, guaranteed by certain of Wynn Las Vegas, LLC’s subsidiaries and are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the Company, all of which is the same collateral that secures borrowings under the credit facilities, the 2014 Notes, the 2017 Notes and the existing 2020 Notes.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Concurrently with the issuance of the New 2020 Notes, the Company entered into a seventh amendment dated August 4, 2010, to the Wynn Las Vegas Amended and Restated Credit Agreement. After giving effect to this amendment, the maturity date with respect to a portion on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2010 and December 31, 2009, and for the six months ended June 30, 2010 and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50,312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100,154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244,323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3,583,173</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195,788</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41,650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56,267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19,706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56,947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(158,357)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195,334</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2,554,356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91,900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2,673,940</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231,734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1,918,124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(677,032)</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(38,492)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30,606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(677,032)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(25,962)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4,029,408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$ 117,190</w:t>
            </w:r>
          </w:p>
        </w:tc>
        <w:tc>
          <w:tcPr>
            <w:tcW w:w="32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111,477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361,409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318,339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318,321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68,585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68,384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57,475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4,787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66,561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334,917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335,543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330"/>
        </w:trPr>
        <w:tc>
          <w:tcPr>
            <w:tcW w:w="5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(46,053)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(52,169)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(68,747)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80" w:type="dxa"/>
            <w:vAlign w:val="bottom"/>
          </w:tcPr>
          <w:p>
            <w:pPr>
              <w:jc w:val="right"/>
              <w:ind w:right="333"/>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$124,343</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99,945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356,050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356,228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312,781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312,959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60,704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61,801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58,063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4,703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77,238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328,660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321,305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(15,879)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(37,387)</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(30,304)</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(46,183)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gridSpan w:val="2"/>
          </w:tcPr>
          <w:p>
            <w:pPr>
              <w:jc w:val="right"/>
              <w:ind w:right="394"/>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$ 256,700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$ 256,700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207,420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726,121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726,084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(89,156)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636,965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636,928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rPr>
              <w:t>145,412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126,370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117,744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40" w:type="dxa"/>
            <w:vAlign w:val="bottom"/>
          </w:tcPr>
          <w:p>
            <w:pPr>
              <w:jc w:val="right"/>
              <w:spacing w:after="0"/>
              <w:rPr>
                <w:sz w:val="20"/>
                <w:szCs w:val="20"/>
                <w:color w:val="auto"/>
              </w:rPr>
            </w:pPr>
            <w:r>
              <w:rPr>
                <w:rFonts w:ascii="Arial" w:cs="Arial" w:eastAsia="Arial" w:hAnsi="Arial"/>
                <w:sz w:val="18"/>
                <w:szCs w:val="18"/>
                <w:color w:val="auto"/>
              </w:rPr>
              <w:t>9,561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144,340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687,273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688,635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(50,308)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(51,707)</w:t>
            </w:r>
          </w:p>
        </w:tc>
        <w:tc>
          <w:tcPr>
            <w:tcW w:w="0" w:type="dxa"/>
            <w:vAlign w:val="bottom"/>
          </w:tcPr>
          <w:p>
            <w:pPr>
              <w:spacing w:after="0"/>
              <w:rPr>
                <w:sz w:val="1"/>
                <w:szCs w:val="1"/>
                <w:color w:val="auto"/>
              </w:rPr>
            </w:pPr>
          </w:p>
        </w:tc>
      </w:tr>
      <w:tr>
        <w:trPr>
          <w:trHeight w:val="330"/>
        </w:trPr>
        <w:tc>
          <w:tcPr>
            <w:tcW w:w="5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(90,969)</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(4,555)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(3,152)</w:t>
            </w: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(100,131)</w:t>
            </w: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$ 241,824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196,854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701,631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604,052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136,688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118,942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123,190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9,057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153,498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664,497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330"/>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(73,935)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(81,202)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40" w:type="dxa"/>
            <w:vAlign w:val="bottom"/>
            <w:gridSpan w:val="2"/>
          </w:tcPr>
          <w:p>
            <w:pPr>
              <w:jc w:val="right"/>
              <w:ind w:right="314"/>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(150,439)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144,340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8,374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9,282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(83,978)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7,525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(80,204)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351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93"/>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(141,647)</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7,281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153,498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11,560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(67,668)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(172,151)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(167,770)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(165,039)</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(288,340)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85,542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328,451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114,751</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71,712</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93"/>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459"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of a natural disaster may have on the travel and leisure industry;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features: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will be temporarily removing floors from service which will reduce our total number of rooms available during the construction period.</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half of 2010. Based on our experience over this past year and current market conditions, we believe that our operations will continue to experience lower than historical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our operating results for the six months ended June 30, 2010 were adversely impacted by the weakened global economy and significant new supply that was added to the Las Vegas market in late 2009. Disruptions in the global financial and stock markets, reduced levels of consumer spending and additional supply have and may continue to adversely impact our financial results.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quarter ended June 30, 2010 of $68.7 million compared to a net loss of $46.2 million recorded during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2009. For the six months ended June 30, 2010 we recorded a net loss of $150.4 million compared to a net loss of $141.6 million for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2009. See below for a more detailed discussion regarding our results.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2010 compared to the three months ended June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Net revenues for the three months ended June 30, 2010 are comprised of $117.2 million in casino revenues (36.8% of total net revenues) and $201.1 million of net non-casino revenues (63.2% of total net revenues). Net revenues for the three months ended June 30, 2009 were comprised of $124.3 million in casino revenues (39.7% of total net revenues) and $188.7 million of net non-casino revenues (60.3% of total net revenues).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$7.1 million (or 5.8%) to $117.2 million for the three months ended June 30, 2010, compared to $124.3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2009. During the three months ended June 30, 2010, we experienced a 1.8% decrease in drop and a decrease in the average table games win percentage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compared to the prior year quarter. Our average table games win percentage (before discounts) of 20% was below the expected range of 21% to 24% for the three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2010. For the three months ended June 30, 2009, our average table games win percentage (before discounts) was 20.7%. Slot handle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19.7% during the three months ended June 30, 2010 compared to the prior year quarter; however slot win declined only 1.6% as more play shifted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hold machines.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June 30, 2010, room revenues were approximately $78.8 million, which represents a $2.6 million (or 3.2%) decrease over the $81.5 million generated in the three months ended June 30, 2009. We continued to experience a decrease in room rates during the three months ended June 30, 2010, compared to the three months ended June 30,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92.6%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non-casino revenues for the three months ended June 30, 2010 include: food and beverage revenues of approximately $111.5 million, retail revenues of approximately $21.5 million, entertainment revenues of approximately $15.6 million, and other revenues from outlets such as the spa and salon, of approximately $16.8 million. Other non-gaming revenues for the three months ended June 30, 2009 included food and beverage revenues of approximately $99.9 million, retail revenues of approximately $22.1 million, entertainment revenues of approximately $12.3 million, and other revenues from outlets, including the spa and salon, of approximately $16.1 million. The increase in food and beverage revenue is due primarily to business in our nightclubs including the opening of the Encore Beach Club and Surrender nightclub in May 2010. Entertainment revenues increased over the prior year quarter primarily due to performances by Garth Brooks in the Encore Theater which started in December 2009, as well as increased revenue from our Le Rêve show.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three months ended June 30, 2010, departmental expenses included casino expenses of $68.6 million, room expenses of $30.9 million, food and beverage expenses of $68.4 million, and entertainment, retail and other expenses of $33.6 million. Also included are general and administrative expenses of approximately $57.1 million and approximately $2.6 million charged as a provision for doubtful accounts receivable. During the three months ended June 30, 2009, departmental expenses included casino expenses of $60.7 million, room expenses of $26.7 million, food and beverage expenses of $61.8 million, and entertainment, retail and other expenses of $33.6 million. Also included are general and administrative expenses of approximately $57.6 million and approximately $4.5 million charged as a provision for doubtful accounts receivable. The increase in casino and room expenses were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Entertainment, retail and other expenses in aggregate remained constant compared to the prior year quarter. Entertainment expenses increased primarily as a result of performances by Garth Brooks but were offset by lower expenses associated with our retail operations. General and administrative expenses decreased as a result of lower advertising expenses offset partially by higher repairs and replacement expenses associated with general property maintenance. Our provision for doubtful accounts receivable decreased during the three months ended June 30, 2010, compared to the prior year’s quarter.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indentures. Management fees were $4.8 million for the quarter ended June 30, 2010, compared to $4.7 million for the quarter ended June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During the three months ended June 30, 2010, we incurred $1.6 million of pre-opening costs. We incurred no preopening costs for the three months ended June 30, 2009. Pre-opening costs incurred during the three months ended June 30, 2010, were related the Encore Beach Club which opened in May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2010 was $67.6 million compared to $78.4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 This decrease is primarily due to assets with a 5-year life being fully depreciated as of April 2010 at Wynn Las Vegas.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2010, were $0.5 million compared to a net gain of $6.6 million for the three months ended June 30, 2009. Property charges and other for the three months ended June 30, 2010 related to miscellaneous renovations and abandonments at Wynn Las Vegas and Encore.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three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expense was $46.2 million, net of capitalized interest of $0.4 million, for the three months ended June 30, 2010, compared to $37.7 million for the three months ended June 30, 2009. There was no interest capitalized during the three months ended June 30, 2009. Interest expense increased approximately $8.5 million primarily due to increased interest related to the $500 million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issued in October 2009, offset by lower average borrowings outstanding on the Wynn Las Vegas credit facilities.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June 30, 2010, resulting from the decrease in the fair value of our interest rate swap from March 31, 2010 to June 30, 2010. We had no interest rate swaps during the prior year quarter.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As described in Note 6 to our Condensed Consolidated Financial Statements in this Quarterly Report on Form 10-Q we completed an exchange offer for a portion of our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 April 2010. In connection with that exchange offer, the direct costs incurred with third parties of $3.2 million were expensed.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2010 compared to the six months ended June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2010 are comprised of $256.7 million in casino revenues (40.3% of total net revenues) and $380.2 million of net non-casino revenues (59.7% of total net revenues). Net revenues for the six months ended June 30, 2009 were comprised of $241.8 million in casino revenues (40% of total net revenues) and $362.7 million of net non-casino revenues (60% of total net revenues).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$14.9 million (or 6.2%) to $256.7 million for the six months ended June 30, 2010, compared to $241.8 million for the six months ended June 30, 2009. During the six months ended June 30, 2010, we experienced a 2.8% increase in drop and an increase in the average table games win percentage compared to the prior year. Our average table games win percentage (before discounts) of 21.7% was within the expected range of 21% to 24% for the six months ended June 30, 2010. For the six months ended June 30, 2009, our average table games win percentage (before discounts) was 19.2%. Slot handle decreased 23.3% during the six months ended June 30, 2010 as compared to 2009; however slot win decreased only 12.8% compared to the prior year.</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six months ended June 30, 2010, room revenues were approximately $156.4 million, which represents a $10.1 million (or 6.1%) decrease over the $166.5 million generated in the six months ended June 30, 2009. We continued to experience a decrease in room rates during the six months ended June 30, 2010, compared to the six months ended June 30, 2009. We believe this is due to the current economic conditions in which we operate in the U.S. and the increased capacity in the Las Vegas market including the opening of a new large scale casino hotel in Las Vegas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2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2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91.0%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420" w:type="dxa"/>
            <w:vAlign w:val="bottom"/>
          </w:tcPr>
          <w:p>
            <w:pPr>
              <w:jc w:val="right"/>
              <w:ind w:right="3272"/>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six months ended June 30, 2010 include: food and beverage revenues of approximately $207.4 million, retail revenues of approximately $40.4 million, entertainment revenues of approximately $33.7 million, and other revenues from outlets such as the spa and salon, of approximately $31.4 million. Other non-gaming revenues for the six months ended June 30, 2009 included food and beverage revenues of approximately $196.9 million, retail revenues of approximately $41.7 million, entertainment revenues of approximately $25 million, and other revenues from outlets, including the spa and salon, of approximately $30.1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six months ended June 30, 2010, departmental expenses included casino expenses of $145.4 million, room expenses of $61.5 million, food and beverage expenses of $126.4 million, and entertainment, retail and other expenses of $69.5 million. Also included are general and administrative expenses of approximately $116.9 million and approximately $9.3 million charged as a provision for doubtful accounts receivable. During the six months ended June 30, 2009, departmental expenses included casino expenses of $136.7 million, room expenses of $53 million, food and beverage expenses of $118.9 million, and entertainment, retail and other expenses of $63 million. Also included are general and administrative expenses of approximately $122.3 million and approximately $5.1 million charged as a provision for doubtful accounts receivable. The increase in casino and room expenses was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Entertainment, retail and other expenses increased primarily as a result of performances by Garth Brooks. General and administrative expenses decreased as a result of lower advertising expenses and our cost savings initiatives offset partially by higher repairs and replacement expenses associated with general property maintenance. Our provision for doubtful accounts receivable increased during the six months ended June 30, 2010, compared to the prior year. This increase is primarily due to a reduction in the bad debt reserve taken in the first half of 2009 as a result of strong collection trends.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indentures. Management fees were $9.6 million for the six months ended June 30, 2010, compared to $9.1 million for the six months ended June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During the six months ended June 30, 2010, we incurred $2 million of pre-opening costs. We incurred no preopening costs for the six months ended June 30, 2009. Pre-opening costs incurred during the six months ended June 30, 2010, were related the Encore Beach Club which opened in May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Depreciation and amortization for the six months ended June 30, 2010 was $146.5 million compared to $155.9 million for the six months ended June 30, 2009. This decrease is primarily due to assets with a 5-year life being fully depreciated as of April 2010 at Wynn Las Vegas, off set by depreciation of the assets of the Encore Beach Club which were placed into service in May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2010, were $1.7 million compared to approximately $7.3 million for the six months ended June 30, 2009. Property charges and other for the six months ended June 30, 2010 related to miscellaneous renovations and abandonments at Wynn Las Vegas and Encore.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Property charges and other for the six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Interest expense was $91.3 million, net of capitalized interest of $0.6 million, for the six months ended June 30, 2010, compared to $74.5 million for the six months ended June 30, 2009. There was no interest capitalized during the six months ended June 30, 2009. Interest expense increased approximately $16.8 million primarily due to increased interest related to the $500 million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issued in October 2009, offset by lower average borrowings outstanding on the Wynn Las Vegas credit facilities.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$4.6 million for the six months ended June 30, 2010, resulting from the decrease in the fair value of our interest rate swap from December 31, 2009 to June 30, 2010. We had no interest rate swaps during the prior year.</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As described in Note 6 to our Condensed Consolidated Financial Statements we completed an exchange offer for a portion of our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in April 2010. In connection with that exchange offer, the direct costs incurred with third parties of $3.2 million were expensed.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that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2010 was $27.1 million compared to $1.3 million used in operations for the six months ended June 30, 2009. Operating cash flows were positively impacted by an improvement in our operating loss and benefits from ordinary working capital changes.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At June 30, 2010, we had approximately $50.3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June 30, 2010, we had approximately $146.3 million available to draw under our Wynn Las Vegas credit facilities. Except for scheduled quarterly payments on one note payable, we have no debt maturities until September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were approximately $84.1 million for the six months ended June 30, 2010, and related primarily to the Encore Beach Club.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June 30, 2010, we had borrowed $291.7 million under the Wynn Las Vegas Revolver. We also had $19.9 million of outstanding letters of credit that reduce our availability under the Wynn Las Vegas Revolver. We have availability of approximately $146.3 million under the Wynn Las Vegas Revolver as of June 30, 2010.</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 xml:space="preserve">In August 2010, Wynn Las Vegas issued $1.32 billion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First Mortgage Notes due 2020 (the “New 2020 Notes”) and concurrently tendered for all of its 2014 Notes. For a description of this transaction see Note 11 to the Condensed Consolidated Financial Statements in this Quarterly Report on Form 10-Q.</w:t>
      </w:r>
    </w:p>
    <w:p>
      <w:pPr>
        <w:spacing w:after="0" w:line="6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During the six months ended June 30, 2009, Wynn Resorts made capital contributions to us in the amount of $328.5 million. The proceeds from these contributions were used to fund construction costs of Encore paid during the six months ended June 30, 2009 and to fund paydowns on the Wynn Las Vegas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for the exchange offer described in Note 6 to the Condensed Consolidated Financial Statements in this quarterly Report on Form 10-Q, there have been no material changes during the quarter to our contractual obligations or off-balance sheet arrangements as disclosed in our Annual Report on Form 10-K for the year ended December 31,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Las Vegas, LLC intends to fund its operations and capital requirements from operating cash flow and availability under our credit facilities. We cannot be sure that Wynn Las Vegas, LLC will generate sufficient cash flow from operations or that future borrowings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have been no material changes to these policies for the six months ended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2010, our interest rate swap had an approximate liability fair value of $8.8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right="700" w:firstLine="456"/>
        <w:spacing w:after="0" w:line="370" w:lineRule="auto"/>
        <w:rPr>
          <w:sz w:val="20"/>
          <w:szCs w:val="20"/>
          <w:color w:val="auto"/>
        </w:rPr>
      </w:pPr>
      <w:r>
        <w:rPr>
          <w:rFonts w:ascii="Arial" w:cs="Arial" w:eastAsia="Arial" w:hAnsi="Arial"/>
          <w:sz w:val="15"/>
          <w:szCs w:val="15"/>
          <w:color w:val="auto"/>
        </w:rPr>
        <w:t>As of June 30, 2010, approximately 94% of our long-term debt was based on fixed rates including the notional amount of our swap. Based on our borrowings as of June 30, 2010, an assumed 1% change in variable rates would cause our annual interest cost to change by approximately $1.6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59"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0" w:lineRule="exact"/>
        <w:rPr>
          <w:sz w:val="20"/>
          <w:szCs w:val="20"/>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three months ended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Restrictions imposed by our debt instruments significantly restrict us, subject to certain exceptions for payment of allocable corporate overhead, from declaring or paying dividends or distributions. Specifically, we are restricted under the indentures governing the 6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240" w:top="459"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2"/>
              </w:rPr>
              <w:t>Indenture, dated as of April 28, 2010, by and among Wynn Las Vegas, LLC, Wynn Las Vegas Capital Corp., the Guarantors set forth</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therein and U.S. Bank National Association, as trustee. (2)</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1"/>
              </w:rPr>
              <w:t>Registration Rights Agreement, dated as of April 28, 2010, by and among Wynn Las Vegas, LLC, Wynn Las Vegas Capital Corp., the</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5"/>
              </w:rPr>
              <w:t>Guarantors set forth therein, Deutsche Bank Securities Inc., Banc of America Securities LLC and J.P. Morgan Securities Inc. (2)</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Agent. (2)</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88"/>
              </w:rPr>
              <w:t>Sixth Amendment to Amended and Restated Credit Agreement dated as of April 28, 2010 among Wynn Las Vegas, LLC, Wynn Las Vegas</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w w:val="90"/>
              </w:rPr>
              <w:t>LLC, Wynn Resorts Holdings, LLC, Wynn Completion Guarantor, LLC and Deutsche Bank Trust Company Americas, as Administrative</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Agent.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20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April 28, 2010, and incorporated herein by reference.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240" w:top="459" w:right="11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2010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August 6, 2010</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August 6,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8"/>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2019-12-10T22:38:56Z</dcterms:created>
  <dcterms:modified xsi:type="dcterms:W3CDTF">2019-12-10T22:38:56Z</dcterms:modified>
</cp:coreProperties>
</file>