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Chen Linda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Pres, Wynn Int'l Marketing</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par value $0.01</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11/24/2010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55,311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103.568</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259,689</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par value $0.01</w:t>
            </w: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11/24/2010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152"/>
              <w:spacing w:after="0"/>
              <w:rPr>
                <w:sz w:val="20"/>
                <w:szCs w:val="20"/>
                <w:color w:val="auto"/>
              </w:rPr>
            </w:pPr>
            <w:r>
              <w:rPr>
                <w:rFonts w:ascii="Arial" w:cs="Arial" w:eastAsia="Arial" w:hAnsi="Arial"/>
                <w:sz w:val="18"/>
                <w:szCs w:val="18"/>
                <w:color w:val="0000FF"/>
              </w:rPr>
              <w:t>6,659</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104.02</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253,030</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$103.00 and $103.80. The reporting person, upon request by the staff of the SEC, Wynn Resorts, Limited or any security holder of Wynn Resorts, Limited, undertakes to provide further information regarding the number of securities sold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11/26/2010</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Linda Chen</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948"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2019-12-18T01:08:36Z</dcterms:created>
  <dcterms:modified xsi:type="dcterms:W3CDTF">2019-12-18T01:08:36Z</dcterms:modified>
</cp:coreProperties>
</file>