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80" w:right="600" w:hanging="472"/>
        <w:spacing w:after="0" w:line="276"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-2629535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-2166620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-1840865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-1548765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-794385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-468630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497205</wp:posOffset>
            </wp:positionV>
            <wp:extent cx="2958465" cy="128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7, 2013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Debussy Room at Encore, 3121 Las Vegas Boulevard South, Las Vegas, Nevada, on May 7, 2013, at 11:00 a.m. (local time), for the following purposes (which are more fully described in the proxy statement, which is attached and made a part of this Notice):</w:t>
      </w:r>
    </w:p>
    <w:p>
      <w:pPr>
        <w:spacing w:after="0" w:line="26" w:lineRule="exact"/>
        <w:rPr>
          <w:sz w:val="20"/>
          <w:szCs w:val="20"/>
          <w:color w:val="auto"/>
        </w:rPr>
      </w:pPr>
    </w:p>
    <w:p>
      <w:pPr>
        <w:ind w:left="900" w:right="1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four directors named in the proxy statement, each to serve until the 2016 Annual Meeting of Stockholders and until his or her successor is elected and qualified, or until such director’s; earlier death, resignation or removal;</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Audit Committee’s appointment of Ernst &amp; Young LLP as the independent public accountants for the Company and all of its subsidiaries for 2013;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stockholders are cordially invited to attend the Annual Meeting in person. Stockholders of record at the close of business on March 13, 2013, the record date fixed by the Executive Committee of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or about March 28, 2013, we mailed to our stockholders a notice containing instructions on how to access the proxy statement for our 2013 Annual Meeting, our 2012 annual report and how to vote online. The notice also contains instructions on how you can receive a paper copy of your annual meeting materials, including this Notice, proxy statement and proxy card, should you wish.</w:t>
      </w:r>
    </w:p>
    <w:p>
      <w:pPr>
        <w:spacing w:after="0" w:line="3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Whether or not you plan to attend the Annual Meeting, you are encouraged to read the proxy statement and then cast your vote as promptly as possible in accordance with the instructions in the notice you received. Even if you have given your proxy, you may still vote in person if you attend the Annual Meeting.</w:t>
      </w:r>
    </w:p>
    <w:p>
      <w:pPr>
        <w:spacing w:after="0" w:line="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Unless you provide voting instruction to any bank, broker or other nominee that holds your shares, your shares may not be voted on most matters being considered at the Annual Meeting. Therefore, if your shares are held in the name of your broker, bank or other nominee, your vote is especially important.</w:t>
      </w:r>
    </w:p>
    <w:p>
      <w:pPr>
        <w:spacing w:after="0" w:line="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Executive Committee of the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58420</wp:posOffset>
            </wp:positionV>
            <wp:extent cx="212661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2013</w:t>
      </w:r>
    </w:p>
    <w:p>
      <w:pPr>
        <w:spacing w:after="0" w:line="78" w:lineRule="exact"/>
        <w:rPr>
          <w:sz w:val="20"/>
          <w:szCs w:val="20"/>
          <w:color w:val="auto"/>
        </w:rPr>
      </w:pPr>
    </w:p>
    <w:p>
      <w:pPr>
        <w:jc w:val="center"/>
        <w:ind w:left="28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 FOR THE ANNUAL MEETING OF STOCKHOLDERS TO BE HELD ON MAY 7, 2013</w:t>
      </w:r>
    </w:p>
    <w:p>
      <w:pPr>
        <w:spacing w:after="0" w:line="45" w:lineRule="exact"/>
        <w:rPr>
          <w:sz w:val="20"/>
          <w:szCs w:val="20"/>
          <w:color w:val="auto"/>
        </w:rPr>
      </w:pPr>
    </w:p>
    <w:p>
      <w:pPr>
        <w:jc w:val="center"/>
        <w:ind w:left="260" w:right="140"/>
        <w:spacing w:after="0" w:line="268" w:lineRule="auto"/>
        <w:rPr>
          <w:sz w:val="20"/>
          <w:szCs w:val="20"/>
          <w:color w:val="auto"/>
        </w:rPr>
      </w:pPr>
      <w:r>
        <w:rPr>
          <w:rFonts w:ascii="Arial" w:cs="Arial" w:eastAsia="Arial" w:hAnsi="Arial"/>
          <w:sz w:val="18"/>
          <w:szCs w:val="18"/>
          <w:color w:val="auto"/>
        </w:rPr>
        <w:t xml:space="preserve">This proxy statement and our 2012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company information/annual meeting and related materials.</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Proxy Statement</w:t>
              </w:r>
            </w:hyperlink>
          </w:p>
        </w:tc>
        <w:tc>
          <w:tcPr>
            <w:tcW w:w="9860" w:type="dxa"/>
            <w:vAlign w:val="bottom"/>
            <w:gridSpan w:val="1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80" w:type="dxa"/>
            <w:vAlign w:val="bottom"/>
            <w:tcBorders>
              <w:bottom w:val="single" w:sz="8" w:color="0000EE"/>
            </w:tcBorders>
            <w:vMerge w:val="continue"/>
          </w:tcPr>
          <w:p>
            <w:pPr>
              <w:spacing w:after="0"/>
              <w:rPr>
                <w:sz w:val="13"/>
                <w:szCs w:val="13"/>
                <w:color w:val="auto"/>
              </w:rPr>
            </w:pPr>
          </w:p>
        </w:tc>
        <w:tc>
          <w:tcPr>
            <w:tcW w:w="9860" w:type="dxa"/>
            <w:vAlign w:val="bottom"/>
            <w:gridSpan w:val="1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Proposal No. 1 Election of Directors</w:t>
              </w:r>
            </w:hyperlink>
          </w:p>
        </w:tc>
        <w:tc>
          <w:tcPr>
            <w:tcW w:w="8460" w:type="dxa"/>
            <w:vAlign w:val="bottom"/>
            <w:gridSpan w:val="13"/>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Director Biographies and Qualifications</w:t>
              </w:r>
            </w:hyperlink>
          </w:p>
        </w:tc>
        <w:tc>
          <w:tcPr>
            <w:tcW w:w="82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Proposal No. 2 Ratification of Appointment of Independent Public Accountants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Report of the Audit Committee</w:t>
              </w:r>
            </w:hyperlink>
          </w:p>
        </w:tc>
        <w:tc>
          <w:tcPr>
            <w:tcW w:w="5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Executive Officers</w:t>
              </w:r>
            </w:hyperlink>
          </w:p>
        </w:tc>
        <w:tc>
          <w:tcPr>
            <w:tcW w:w="88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Security Ownership of Certain Beneficial Owners and Management</w:t>
              </w:r>
            </w:hyperlink>
          </w:p>
        </w:tc>
        <w:tc>
          <w:tcPr>
            <w:tcW w:w="62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Further Information Concerning the Board of Directors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and Executive Officer Compensation and Other Matters</w:t>
              </w:r>
            </w:hyperlink>
          </w:p>
        </w:tc>
        <w:tc>
          <w:tcPr>
            <w:tcW w:w="5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Discussion and Analysis</w:t>
              </w:r>
            </w:hyperlink>
          </w:p>
        </w:tc>
        <w:tc>
          <w:tcPr>
            <w:tcW w:w="1760" w:type="dxa"/>
            <w:vAlign w:val="bottom"/>
            <w:tcBorders>
              <w:top w:val="single" w:sz="8" w:color="0000EE"/>
            </w:tcBorders>
            <w:gridSpan w:val="8"/>
          </w:tcPr>
          <w:p>
            <w:pPr>
              <w:spacing w:after="0"/>
              <w:rPr>
                <w:sz w:val="17"/>
                <w:szCs w:val="17"/>
                <w:color w:val="auto"/>
              </w:rPr>
            </w:pPr>
          </w:p>
        </w:tc>
        <w:tc>
          <w:tcPr>
            <w:tcW w:w="64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Summary of Executive Compensation Practices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6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Philosophy and Overview of our Compensation Program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How We Make Pay Decisions</w:t>
              </w:r>
            </w:hyperlink>
          </w:p>
        </w:tc>
        <w:tc>
          <w:tcPr>
            <w:tcW w:w="1880" w:type="dxa"/>
            <w:vAlign w:val="bottom"/>
            <w:tcBorders>
              <w:top w:val="single" w:sz="8" w:color="0000EE"/>
            </w:tcBorders>
            <w:gridSpan w:val="9"/>
          </w:tcPr>
          <w:p>
            <w:pPr>
              <w:spacing w:after="0"/>
              <w:rPr>
                <w:sz w:val="17"/>
                <w:szCs w:val="17"/>
                <w:color w:val="auto"/>
              </w:rPr>
            </w:pPr>
          </w:p>
        </w:tc>
        <w:tc>
          <w:tcPr>
            <w:tcW w:w="70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Report of the Compensation Committee</w:t>
              </w:r>
            </w:hyperlink>
          </w:p>
        </w:tc>
        <w:tc>
          <w:tcPr>
            <w:tcW w:w="82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2012 Summary Compensation Table</w:t>
              </w:r>
            </w:hyperlink>
          </w:p>
        </w:tc>
        <w:tc>
          <w:tcPr>
            <w:tcW w:w="84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2012 Grants of Plan-Based Awards Table</w:t>
              </w:r>
            </w:hyperlink>
          </w:p>
        </w:tc>
        <w:tc>
          <w:tcPr>
            <w:tcW w:w="81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2012 Outstanding Equity Awards at Fiscal Year-End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2012 Option Exercises</w:t>
              </w:r>
            </w:hyperlink>
          </w:p>
        </w:tc>
        <w:tc>
          <w:tcPr>
            <w:tcW w:w="73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600" w:type="dxa"/>
            <w:vAlign w:val="bottom"/>
            <w:gridSpan w:val="3"/>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8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Potential Payments Upon Termination or Change in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Certain Relationships and Related Transactions</w:t>
              </w:r>
            </w:hyperlink>
          </w:p>
        </w:tc>
        <w:tc>
          <w:tcPr>
            <w:tcW w:w="860" w:type="dxa"/>
            <w:vAlign w:val="bottom"/>
            <w:tcBorders>
              <w:top w:val="single" w:sz="8" w:color="0000EE"/>
            </w:tcBorders>
            <w:gridSpan w:val="3"/>
          </w:tcPr>
          <w:p>
            <w:pPr>
              <w:spacing w:after="0"/>
              <w:rPr>
                <w:sz w:val="17"/>
                <w:szCs w:val="17"/>
                <w:color w:val="auto"/>
              </w:rPr>
            </w:pPr>
          </w:p>
        </w:tc>
        <w:tc>
          <w:tcPr>
            <w:tcW w:w="68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Executive Committee of the Board of Directors of Wynn Resorts, Limited (“Wynn Resorts,” “we” or the “Company”), for use at the Company’s Annual Meeting of Stockholders on May 7, 2013 (the “Annual Meeting”) to be held in the Debussy Room at Encore, 3121 Las Vegas Boulevard South, Las Vegas, Nevada, at 11:00 a.m. (local time) and at any adjournment or postponement of that meeting. Matters to be considered and acted upon at the Annual Meeting are set forth in the Notice of Annual Meeting of Stockholders accompanying this proxy statement and are more fully outlined herein. Under rules adopted by the U.S. Securities and Exchange Commission (the “SEC”), we are furnishing proxy materials to stockholders via the internet, instead of mailing printed copies of those materials to each stockholder. On or about March 28, 2013, we mailed to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or by mail, you will continue to receive these materials in that format unless you elect otherwise.</w:t>
      </w:r>
    </w:p>
    <w:p>
      <w:pPr>
        <w:spacing w:after="0" w:line="124"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 xml:space="preserve">The Company believes that the election of the director nominees named herein in Proposal 1 and ratification of Ernst &amp; Young LLP as the Company’s independent public accountants in Proposal 2 are in the best interests of the Company and its stockholders and recommends a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each of these matters.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stockholder of record giving a proxy may revoke it by attending the Annual Meeting and voting in person or, at any time prior to its exercise at the Annual Meeting, by sending a written or other transmission revoking it, or by executing and delivering another proxy bearing a later date, to the Secretary of the Company at the Company’s Executive Offices located at 3131 Las Vegas Boulevard South, Las Vegas, Nevada 89109.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Shares represented by duly executed and unrevoked proxies will be voted at the Annual Meeting in accordance with the specifications made therein by the stockholders. For stockholders of record, if no specification is made, shares represented by duly executed and unrevoked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all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Ernst &amp; Young LLP as the Company’s independent public accountants, and in the discretion of the persons voting the respective proxies with respect to any other matter that may properly come before the Annual Meeting. For beneficial owners, brokers, banks and other nominees are not permitted to vote without instructions from the beneficial owner in the election of directors. If you are a beneficial owner, your broker, bank or other nominee is permitted to vote your shares on the ratification of Ernst &amp; Young LLP as the Company’s independent public accountants even if the broker, bank or other nominee does not receive voting instructions from you.</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the close of business on March 13, 2013, the record date for determining stockholders entitled to vote at the Annual Meeting, 100,911,737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authority in the election of directors and broker non-votes will not be counted as voting thereon and therefore will not affect the election of the nominees receiving a plurality of the votes cast. However, those shares will be counted for purposes of determining whether there is a quorum. A broker non-vote occurs when a bank, broker or other nominee does not have authority to vote on a particular item without instructions from the beneficial owner and has not received instructions.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although they are counted for purposes of determining whether there is a quorum.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Stockholders will be admitted to the Annual Meeting upon presentation of identification and satisfactory proof of ownership of the Company’s common stock on the record date for the Annual Meeting. For stockholders of record as of the record date, whose names appear on the Company’s stock ledger, satisfactory proof of ownership consists of photo identification that matches the stockholder’s name on the stock ledger, or photo identification and other proof of ownership of the Company’s common stock on record date such as the Notice of Internet Availability that was mailed to them or a copy of the proxy card. For stockholders who own shares of the Company’s common stock beneficially through a bank, broker or other nominee, satisfactory proof of ownership consists of a photo identification and the Notice of Internet Availability that was mailed to them, a copy of a voting instruction form proxy requested by and mailed to them, or a valid proxy signed by the record holder. Guests of stockholders and any other persons may be admitted at the discretion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Second Amended and Restated Articles of Incorporation (the “Articles”) and Fifth Amended and Restated Bylaws (the “Bylaws”), the number of directors on our Board of Directors (the “Board”) is established from time to time by resolution of the Board and must not be less than one nor more than thirteen. Our Board currently has eight directors, divided into three classes, designated as Class I, Class II and Class III. Members of each class serve for a three year term. At each annual meeting, the terms of one class of directors expire. The term of office of the current Class II directors will expire at the 2013 annual meeting. The term of office of the current Class III director will be subject to renewal in 2014 and the term of office of the current Class I directors will be subject to renewal in 2015. Each director holds office until his or her successor has been duly elected and qualified, or the director’s earlier resignation, death or removal. The nominees are all current directors of the Company. The persons designated as proxies will have discretion to cast votes for other persons in the event any nominee for director is unable to serve. At present, it is not anticipated that any nominee will be unable to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four directors for election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w:t>
      </w:r>
    </w:p>
    <w:p>
      <w:pPr>
        <w:spacing w:after="0" w:line="7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Ray R. Irani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Alvin V. Shoemaker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 Boone Wayson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Stephen A. Wynn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and other information concerning these directors and the other directors serving on the Board is set forth below.</w:t>
      </w:r>
    </w:p>
    <w:p>
      <w:pPr>
        <w:spacing w:after="0" w:line="16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OUR BOARD OF DIRECTORS RECOMMENDS THAT YOU VOTE FOR THE ELECTION</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OF THE NOMINEES LISTED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Set forth below is biographical information regarding the directors who have been nominated for election at the Annual Meeting and the directors whose terms do not expire this year. Also included are key skills and qualifications of our directors supporting their service as a director, in light of the Company’s business and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2013 Annual Meeting)</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78, has served as a Director of the Company since October 2007. Dr. Irani became Executive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He is a member of the California Business Roundtable, The Conference Board, the Council on Foreign Relations, the National Association of Manufacturers, the National Committee on United States-China Relations, the National Petroleum Council, and Sigma Xi – The Scientific Research Society. He is the U.S. Chairman of the U.S.-U.A.E. Business Council. Dr. Irani is a Trustee of the University of Southern California, Co-Chair of the Board of the American University of Beirut and a member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Lebanese American University Board of Trustees. He is a member of the Board of Governors of Town Hall Los Angeles and the Los Angeles World Affairs Council, and serves on the Advisory Board of RAND’s Center for Middle East Public Policy and the Atlantic Council’s International Advisory Board.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the opening of Wynn Macau in 2006, the Company sought additional representation on the Board by executives with experience in managing international operations and with keen insight into issues relevant to companies with global operations, which are of great importance to the Company. Dr. Irani was elected to the Board in 2007 as a result of that extensive international experience gained from serving as the long-time Chairman and Chief Executive Officer of Occidental Petroleum Corporation, an international oil and gas exploration and production company with operations throughout the world.</w:t>
      </w:r>
    </w:p>
    <w:p>
      <w:pPr>
        <w:spacing w:after="0" w:line="107"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74, has served as a Director of the Company since December 2002. Mr. Shoemaker was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the Company since its formation in 2002. With his 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60, has served as a Director of the Company since August 2003. Mr. Wayson has been a principal of Wayson’s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gaming and marketing areas, to identify, manage and monitor risk.</w:t>
      </w:r>
    </w:p>
    <w:p>
      <w:pPr>
        <w:spacing w:after="0" w:line="9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71, has served as Chairman and Chief Executive Officer of the Company since June 2002. Mr. Wynn has been 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the Chairman of the Board of Directors, Chief Executive Officer and President of Wynn Macau, Limited, a majority owned subsidiary of the Company, since September 2009.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19"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45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2015 Annual Meeting)</w:t>
      </w:r>
    </w:p>
    <w:p>
      <w:pPr>
        <w:spacing w:after="0" w:line="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Ms. Wynn, 70, has served as a Director of the Company since October 2002. Ms. Wynn has been a strong advocate of programs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for children at risk of dropping out of school. Since 1995, she has co-chaired the Greater Las Vegas After-School All Stars, an organization that provides thousands of children with high-quality educational, recreational and cultural after-school programs. A past member of the Executive Board of the Consortium for Policy Research in Education, Ms. Wynn has served on the State of Nevada Council to Establish Academic Standards and chaired for 8 years the UNLV Foundation (the private fundraising arm of University of Nevada, Las Vegas). She is the founding chairman of Communities in Schools of Nevada and was appointed in 2009 as Chairman of the national board of Communities in Schools, the oldest, most successful stay-in-school organization in America. In 2011, Ms. Wynn was appointed by Nevada’s governor to co-chair a Blue Ribbon Education Reform Task Force that resulted in the enactment of ambitious new reform legislation. In 2013, Ms. Wynn was appointed by Governor Brian Sandoval to serve a two-year term on the Nevada State Board of Education and was subsequently elected unanimously by the board to serve as President of that body.</w:t>
      </w:r>
    </w:p>
    <w:p>
      <w:pPr>
        <w:spacing w:after="0" w:line="113"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color w:val="auto"/>
        </w:rPr>
        <w:t>Ms</w:t>
      </w:r>
      <w:r>
        <w:rPr>
          <w:rFonts w:ascii="Arial" w:cs="Arial" w:eastAsia="Arial" w:hAnsi="Arial"/>
          <w:sz w:val="18"/>
          <w:szCs w:val="18"/>
          <w:b w:val="1"/>
          <w:bCs w:val="1"/>
          <w:color w:val="auto"/>
        </w:rPr>
        <w:t>.</w:t>
      </w:r>
      <w:r>
        <w:rPr>
          <w:rFonts w:ascii="Arial" w:cs="Arial" w:eastAsia="Arial" w:hAnsi="Arial"/>
          <w:sz w:val="18"/>
          <w:szCs w:val="18"/>
          <w:color w:val="auto"/>
        </w:rPr>
        <w:t xml:space="preserve">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w:t>
      </w:r>
    </w:p>
    <w:p>
      <w:pPr>
        <w:spacing w:after="0" w:line="13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Ms. Wynn’s experience in the gaming and hospitality businesses during her tenure as a director of the Company and Mirage Resorts has been valuable to the Board and important in the continued development of the Wynn brand. In addition, her philanthropic and community efforts as well as her history of assisting the Company on such matters have been important to the Board’s strategic and brand vision.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January 6, 2010, Elaine Wynn, Aruze USA, Inc. (“Aruze”) and Stephen A. Wynn entered into that certain Amended and Restated Stockholders Agreement dated January 6, 2010 (the “Stockholders Agreement”) which contains covenants and provisions relating to voting agreements (including endorsement of director candidates including Ms. Wynn), pre-emptive rights, rights of first refusal, tag-along rights and certain other instructions. On February 18, 2012, the Company redeemed all of the shares previously owned by Aruze (as more particularly described in Mr. Okada’s biographical information below) and commenced litigation against Mr. Okada, Universal Entertainment Corporation and Aruze. On June 19, 2012, Elaine Wynn asserted a cross claim against Stephen A. Wynn and Aruze in the Aruze litigation (described below)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2017, 7 7/8% first mortgage notes due 2020, 7 3/4% first mortgage notes due 2020, and 5 3/8% first mortgage notes due 2022, the Wynn Las Vegas, LLC 2022 Notes and Existing Notes (the “Indentures”) provide that if Stephen A. Wynn, together with certain related parties, in the aggregate beneficially owns a lesser percentage of the outstanding common stock of the Company than are beneficially owned by any other person, a change of control will have occurred. If Elaine Wynn prevails in her cross claim, Stephen A.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Mr. Wynn is opposing Ms. Wynn’s cross claim.</w:t>
      </w:r>
    </w:p>
    <w:p>
      <w:pPr>
        <w:spacing w:after="0" w:line="118"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J. Edward Virtue. </w:t>
      </w:r>
      <w:r>
        <w:rPr>
          <w:rFonts w:ascii="Arial" w:cs="Arial" w:eastAsia="Arial" w:hAnsi="Arial"/>
          <w:sz w:val="18"/>
          <w:szCs w:val="18"/>
          <w:color w:val="auto"/>
        </w:rPr>
        <w:t>Mr. Virtue, 52, has served as a Director of the Company since November 2012. Mr. Virtue is the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Founder of MidOcean Partners, an alternative asset manager based in New York. MidOcean’s private equity and hedge funds are focused on investing in middle market companies. Prior to founding MidOcean in 2003, Mr. Virtue held senior positions at financial services firms Deutsche Bank, Bankers Trust and Drexel Burnham.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When considering the potential candidacy of Mr. Virtue, the Nominating and Corporate Governance Committee considered Mr. Virtue’s extensive financial experience as a fund manager and business investor, including experience in the gaming, hospitality and consumer products industries. The continuing challenges of global economic uncertainty require sophisticated and diverse experience in capital markets, which the Committee determined Mr. Virtue provided.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Committee relied upon Mr. Virtue’s long standing experience in the gaming and hospitality industries, as both an advisor and investor.</w:t>
      </w:r>
    </w:p>
    <w:p>
      <w:pPr>
        <w:spacing w:after="0" w:line="182"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John J. Hagenbuch. </w:t>
      </w:r>
      <w:r>
        <w:rPr>
          <w:rFonts w:ascii="Arial" w:cs="Arial" w:eastAsia="Arial" w:hAnsi="Arial"/>
          <w:sz w:val="16"/>
          <w:szCs w:val="16"/>
          <w:color w:val="auto"/>
        </w:rPr>
        <w:t>Mr. Hagenbuch, 61, has served as a Director of the Company since December 2012. Mr. Hagenbuch is Chairman of M&amp;H Realty</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and WestLand Capital Partners, investment firms he co-founded in 1994 and 2010, respectively. He is also Chairman of Onconome, Inc., a clinical-stage company dedicated to the discovery, development and commercialization of biomarkers used in the early detection of cancer. Previously, Mr. Hagenbuch was a General Partner of Hellman &amp; Friedman which is a private equity firm that he joined as its third partner in 1985. He graduated magna cum laude from Princeton University and holds an MBA from Stanford University Graduate School of Business.</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Hagenbuch brings to our Board deep corporate strategy and financial expertise gained through over thirty years as a private equity investor, including real estate investments, and as a director of a number of public and private companies. Additionally, when considering the potential candidacy of Mr. Hagenbuch, the Nominating and Governance Committee determined that Mr. Hagenbuch will provide valuable insight and perspective to our Board as the Company continues to position itself to capture new development opportunities in today’s gaming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 (Term expires at the 2014 Annual Meeting)</w:t>
      </w:r>
    </w:p>
    <w:p>
      <w:pPr>
        <w:spacing w:after="0" w:line="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67, has served as a Director of the Company since October 2002 and as the Chairman of Wynn Las Vegas’ Gaming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Committee and the Company’s Compliance Director. In that role, he recently led the Board’s independent investigation of Aruze USA, Inc.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Governor Miller also serves as a director of International Game Technology (IGT).</w:t>
      </w:r>
    </w:p>
    <w:p>
      <w:pPr>
        <w:spacing w:after="0" w:line="11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Governor Miller’s extensive experience in regulatory and legal compliance matters and in Nevada and federal government and politics brings unique expertise and insight into state regulatory and public policy issues that directly impact the Company’s operations. In addition, his legal background and knowledge of Nevada gaming regulation support his service as Chair of the Company’s Gaming Compliance Committee and as Compliance Director, which roles are important to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 who served in 2012</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John A. Moran was a director of the Company who served from October 2002 through the date of the Company’s 2012 Annual Meeting of Stockholders on November 2, 2012, when he retired from board service. On December 13, 2012, Linda Chen, Marc D. Schorr, Allan Zeman and Russell Goldsmith resigned from the Board. Independent directors Mr. Goldsmith and Mr. Zeman stepped down to devote more time to their other business commitments, and directors Ms. Chen and Mr. Schorr, who also serve as Company executives, stepped down to reduce the number of non-independent directors. The Company expresses its gratitude for these former directors’ many valuable contributions. On February 22, 2013, the Company’s stockholders voted to remove Kazuo Okada from the Board. Additionally, on February 21, 2013, Kazuo Okada resigned from the Board.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2013.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2013,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during each of the fiscal years ended December 31, 2012 and December 31,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4160" w:type="dxa"/>
            <w:vAlign w:val="bottom"/>
            <w:vMerge w:val="restart"/>
          </w:tcPr>
          <w:p>
            <w:pPr>
              <w:spacing w:after="0"/>
              <w:rPr>
                <w:sz w:val="14"/>
                <w:szCs w:val="14"/>
                <w:color w:val="auto"/>
              </w:rPr>
            </w:pPr>
          </w:p>
        </w:tc>
        <w:tc>
          <w:tcPr>
            <w:tcW w:w="346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2012</w:t>
            </w:r>
          </w:p>
        </w:tc>
        <w:tc>
          <w:tcPr>
            <w:tcW w:w="1380" w:type="dxa"/>
            <w:vAlign w:val="bottom"/>
            <w:tcBorders>
              <w:top w:val="single" w:sz="8" w:color="auto"/>
            </w:tcBorders>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$ 1,785,572</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$ 1,219,095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28,650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282,827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402,563</w:t>
            </w:r>
          </w:p>
        </w:tc>
        <w:tc>
          <w:tcPr>
            <w:tcW w:w="50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2012 and 2011, and the audit of our internal controls over financial reporting as of December 31, 2012 and 2011. “Audit fees” also includes amount billed for services provided in connection with securities offerings, audit related accounting consultations and statutory audits of certain subsidiaries of the Company. “Audit-related fees” is the aggregate fees billed for audits of the Company’s defined contribution employee benefit plan. “Tax fees” includes fees for international tax research, planning for the Company’s foreign subsidiaries, domestic tax planning and other research. “All other fees” for 2012 consisted of accounting and tax due diligence services.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2012.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RECOMMENDS THAT YOU VOTE FOR THE RATIFICATION OF THE APPOINTMENT OF ERNST &amp; YOUNG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LLP AS THE COMPANY’S INDEPENDENT PUBLIC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ACCOUNTANTS FOR THE YEAR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reviewed and discussed with management the Company’s audited financial statements for the year ended December 31, 2012. We have discussed with the independent registered public accounting firm the matters required to be discussed by the rules of the Public Company Accounting Oversight Board (“PCAOB”), including the quality, not just the acceptability, of the accounting principles ,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2012 filed with the SEC.</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J. Hagenbuch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following table sets forth the executive officers and certain key management personnel of the Company and certain of its subsidiaries as of March 1,</w:t>
      </w:r>
    </w:p>
    <w:p>
      <w:pPr>
        <w:spacing w:after="0" w:line="3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2013. Executive officers are appointed by the Board of Directors and serve at the discretion of the Board of Directors, subject to applicable employment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120" w:type="dxa"/>
            <w:vAlign w:val="bottom"/>
          </w:tcPr>
          <w:p>
            <w:pPr>
              <w:spacing w:after="0"/>
              <w:rPr>
                <w:sz w:val="14"/>
                <w:szCs w:val="14"/>
                <w:color w:val="auto"/>
              </w:rPr>
            </w:pPr>
          </w:p>
        </w:tc>
      </w:tr>
      <w:tr>
        <w:trPr>
          <w:trHeight w:val="201"/>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3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56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560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560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5600" w:type="dxa"/>
            <w:vAlign w:val="bottom"/>
            <w:gridSpan w:val="2"/>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Wynn Resorts (Macau) S.A.</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Maurice Wooden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Senior Vice President and Chief Financial Officer, Wynn Las Vegas, LLC</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5600" w:type="dxa"/>
            <w:vAlign w:val="bottom"/>
            <w:gridSpan w:val="2"/>
          </w:tcPr>
          <w:p>
            <w:pPr>
              <w:spacing w:after="0"/>
              <w:rPr>
                <w:sz w:val="20"/>
                <w:szCs w:val="20"/>
                <w:color w:val="auto"/>
              </w:rPr>
            </w:pPr>
            <w:r>
              <w:rPr>
                <w:rFonts w:ascii="Arial" w:cs="Arial" w:eastAsia="Arial" w:hAnsi="Arial"/>
                <w:sz w:val="18"/>
                <w:szCs w:val="18"/>
                <w:color w:val="auto"/>
                <w:w w:val="88"/>
              </w:rPr>
              <w:t>Senior Vice President and Chief Financial Officer, Wynn Resorts (Macau), S.A.</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certain information regarding the non-director executive officers and certain key management personnel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Non-Director Executive Officers and Key Management</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has been an Executive Director and Chief Operating Officer of Wynn Macau, Limited, a majority owned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since September 2009. Ms. Chen serves as the 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Directors of the Company from October 2007 to December 2012.</w:t>
      </w:r>
    </w:p>
    <w:p>
      <w:pPr>
        <w:spacing w:after="0" w:line="108"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is the Chief Operating Officer of the Company, a position he has held since June 2002. Mr. Schorr has served as a Non-Executive Director of Wynn Macau, Limited since September 2009 and is also an officer of several of the Company’s other subsidiaries. Mr. Schorr served on the Board of Directors of the Company from founding to December 2012. Mr. Schorr has over 33 years of experience in the casino gaming industry.</w:t>
      </w:r>
    </w:p>
    <w:p>
      <w:pPr>
        <w:spacing w:after="0" w:line="97"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held since September 2002. Mr. Strzemp served as the Company’s Treasurer from March 2003 to March 2006.</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is the Company’s Chief Financial Officer and Treasurer. Prior to his promotion in March 2008, Mr. Maddox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Senior Vice President of Business Development and Treasurer, positions he held since January 2007 and May 2006, respectively. From September 2005 to December 31, 2006, Mr. Maddox served as the Senior Vice President of Business Development for Wynn Las Vegas, LLC. From March 2003 to September 2005, Mr. Maddox was the Chief Financial Officer of Wynn Resorts (Macau), S.A. From May 2002 through March 2003, Mr. Maddox was the Company’s Treasurer and Vice President—Investor Relations. Mr. Maddox also serves as an officer of several of the Company’s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the Company, a position she has held since February 2006. She joined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Ian Michael Coughlan. </w:t>
      </w:r>
      <w:r>
        <w:rPr>
          <w:rFonts w:ascii="Arial" w:cs="Arial" w:eastAsia="Arial" w:hAnsi="Arial"/>
          <w:sz w:val="16"/>
          <w:szCs w:val="16"/>
          <w:color w:val="auto"/>
        </w:rPr>
        <w:t>Mr. Coughlan has been an Executive Director of Wynn Macau, Limited since September 2009. Mr. Coughlan is also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(Macau) S.A., a position he has held since July 2007. In this role, he is responsible for the operation of Wynn Macau and Encore at Wynn Macau. Prior to becoming President of Wynn Resorts (Macau) S.A. ,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w:t>
      </w:r>
    </w:p>
    <w:p>
      <w:pPr>
        <w:spacing w:after="0" w:line="11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Maurice Wooden. </w:t>
      </w:r>
      <w:r>
        <w:rPr>
          <w:rFonts w:ascii="Arial" w:cs="Arial" w:eastAsia="Arial" w:hAnsi="Arial"/>
          <w:sz w:val="16"/>
          <w:szCs w:val="16"/>
          <w:color w:val="auto"/>
        </w:rPr>
        <w:t>Mr. Wooden is the President of Wynn Las Vegas, LLC, owner and operator of Wynn Las Vegas and Encore Las Vegas where he</w:t>
      </w:r>
      <w:r>
        <w:rPr>
          <w:rFonts w:ascii="Arial" w:cs="Arial" w:eastAsia="Arial" w:hAnsi="Arial"/>
          <w:sz w:val="16"/>
          <w:szCs w:val="16"/>
          <w:b w:val="1"/>
          <w:bCs w:val="1"/>
          <w:color w:val="auto"/>
        </w:rPr>
        <w:t xml:space="preserve"> </w:t>
      </w:r>
      <w:r>
        <w:rPr>
          <w:rFonts w:ascii="Arial" w:cs="Arial" w:eastAsia="Arial" w:hAnsi="Arial"/>
          <w:sz w:val="16"/>
          <w:szCs w:val="16"/>
          <w:color w:val="auto"/>
        </w:rPr>
        <w:t>oversees the day-to-day operations of the properties. He assumed this position in February 2013. From January 2007 to February 2013 Mr. Wooden was the Chief Operating Officer of Wynn Las Vegas and from October 2005 to January 2007 was the Executive Vice President of Food and Beverage. Prior to joining Wynn Las Vegas, Mr Wooden served as President and COO of the Golden Nugget. He has worked in various departments in the gaming industry for over 25 years. His previous jobs also include Vice President of Casino Marketing at the Mirage and Senior Vice President of Operations at Beau Rivage in Biloxi.</w:t>
      </w:r>
    </w:p>
    <w:p>
      <w:pPr>
        <w:spacing w:after="0" w:line="108"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 — 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 — Finance of Wynn Resorts (Macau) S.A., a position he assumed in January 2007. Mr. Gansmo is responsible for the management and administration of Wynn Resorts (Macau) S.A.’s finance division. Before joining Wynn Resorts (Macau) S.A., Mr. Gansmo worked at Wynn Resorts, Limited, where he served as the Director of Financial Reporting from November 2002. Prior to joining the Company, Mr. Gansmo practiced as a certified public accountant with firms in Las Vegas, Washington and California, including KPMG Peat Marwick, Arthur Andersen, and Deloitte and Touche.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as of March 1, 2013,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There were 100,986,737 shares outstanding as of March 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594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gridSpan w:val="2"/>
          </w:tcPr>
          <w:p>
            <w:pPr>
              <w:jc w:val="center"/>
              <w:ind w:left="587"/>
              <w:spacing w:after="0"/>
              <w:rPr>
                <w:sz w:val="20"/>
                <w:szCs w:val="20"/>
                <w:color w:val="auto"/>
              </w:rPr>
            </w:pPr>
            <w:r>
              <w:rPr>
                <w:rFonts w:ascii="Arial" w:cs="Arial" w:eastAsia="Arial" w:hAnsi="Arial"/>
                <w:sz w:val="14"/>
                <w:szCs w:val="14"/>
                <w:b w:val="1"/>
                <w:bCs w:val="1"/>
                <w:color w:val="auto"/>
                <w:w w:val="89"/>
              </w:rPr>
              <w:t>Of Shares (1)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 (3) (4)</w:t>
            </w:r>
          </w:p>
        </w:tc>
        <w:tc>
          <w:tcPr>
            <w:tcW w:w="5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10,031,708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Elaine P. Wynn (3)</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9,659,355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 (5)</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15,039,402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8"/>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6300 Lamar Avenue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Overland Park, KS 66202</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540" w:type="dxa"/>
            <w:vAlign w:val="bottom"/>
            <w:gridSpan w:val="2"/>
          </w:tcPr>
          <w:p>
            <w:pPr>
              <w:spacing w:after="0"/>
              <w:rPr>
                <w:sz w:val="20"/>
                <w:szCs w:val="20"/>
                <w:color w:val="auto"/>
              </w:rPr>
            </w:pPr>
            <w:r>
              <w:rPr>
                <w:rFonts w:ascii="Arial" w:cs="Arial" w:eastAsia="Arial" w:hAnsi="Arial"/>
                <w:sz w:val="18"/>
                <w:szCs w:val="18"/>
                <w:color w:val="auto"/>
              </w:rPr>
              <w:t>Marsico Capital Management, LLC (6)</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5,410,939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 (7)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184,600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John J. Hagenbuch (8) (13)</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10,300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 (9)</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20,720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Robert J. Miller (10)</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23,220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 (14)</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229,025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Alvin V. Shoemaker (12)</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33,220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Virtue (8)</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D. Boone Wayson (11)</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93,220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 (15)</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86,355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65,887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 (17)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20,447,610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4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460" w:right="4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2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Amended and Restated Stockholders Agreement, dated as of January 6, 2010 (the “Stockholders Agreement”), to which Mr. Wynn and Ms. Elaine P. Wynn are parties and pursuant to which they have shared voting and dispositive power with respect to shares subject thereto. Each disclaims beneficial ownership of shares held by the other. As noted above, Ms. Wynn has filed a cross-claim seeking to void the Stockholders Agreement.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5,000 shares owned by his spouse in which he disclaims beneficial ownership.</w:t>
      </w:r>
    </w:p>
    <w:p>
      <w:pPr>
        <w:spacing w:after="0" w:line="9" w:lineRule="exact"/>
        <w:rPr>
          <w:rFonts w:ascii="Arial" w:cs="Arial" w:eastAsia="Arial" w:hAnsi="Arial"/>
          <w:sz w:val="18"/>
          <w:szCs w:val="18"/>
          <w:color w:val="auto"/>
        </w:rPr>
      </w:pPr>
    </w:p>
    <w:p>
      <w:pPr>
        <w:ind w:left="460" w:right="160" w:hanging="452"/>
        <w:spacing w:after="0" w:line="29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2012. The information provided is based upon a Schedule 13G/A filed on February 7, 2013, filed by Waddell indicating that Waddell has sole voting and dispositive power as to 15,039,402 shares; Waddell &amp; Reed Financial Services, Inc. a subsidiary of Waddell, has sole voting and dispositive power as to 3,512,431 shares; Waddell &amp; Reed, Inc., a subsidiary of Waddell &amp; Reed Financial Services, Inc. has sole voting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3" w:lineRule="auto"/>
        <w:rPr>
          <w:sz w:val="20"/>
          <w:szCs w:val="20"/>
          <w:color w:val="auto"/>
        </w:rPr>
      </w:pPr>
      <w:r>
        <w:rPr>
          <w:rFonts w:ascii="Arial" w:cs="Arial" w:eastAsia="Arial" w:hAnsi="Arial"/>
          <w:sz w:val="15"/>
          <w:szCs w:val="15"/>
          <w:color w:val="auto"/>
        </w:rPr>
        <w:t>dispositive power as to 3,512,431 shares; Waddell &amp; Reed Investment Management Company, a subsidiary of Waddell &amp; Reed, Inc., has sole voting and dispositive power as to 3,512,431 shares; and Ivy Investment Management Company, a subsidiary of Waddell, has sole voting and dispositive power as to 11,526,971 shares. The number of common shares beneficially owned by Waddell may have changed since the filing of the Schedule 13G/A.</w:t>
      </w:r>
    </w:p>
    <w:p>
      <w:pPr>
        <w:spacing w:after="0" w:line="1" w:lineRule="exact"/>
        <w:rPr>
          <w:sz w:val="20"/>
          <w:szCs w:val="20"/>
          <w:color w:val="auto"/>
        </w:rPr>
      </w:pPr>
    </w:p>
    <w:p>
      <w:pPr>
        <w:ind w:left="4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Marsico Capital Management LLC (“Marsico”) has beneficial ownership of these shares as of December 31, 2012. Marsico has sole dispositive power as to 5,410,939 shares and sole voting power as to 3,098,604 shares. The information provided is based upon a Schedule 13G/A, dated February 14, 2013, filed by Marsico. The number of common shares beneficially owned by Marisco may have changed since the filing of the Schedule 13G/A.</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the Company’s 2002 Stock Incentive Plan and subject to a Restricted Stock Agreement which provides such grant will vest on December 5, 2016, pursuant to Wynn Resorts’ 2002 Stock Incentive Plan.</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10,000 shares subject to immediately exercisable options to purchase Wynn Resorts common stock granted pursuant to Wynn Resorts 2002 Stock Incentive Plan.</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15,720 shares subject to an immediately exercisable option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jc w:val="both"/>
        <w:ind w:left="460" w:right="2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25,720 shares subject to immediately exercisable options to purchase Wynn Resorts’ common stock granted pursuant to Wynn Resorts’ 2002 Stock Incentive Plan; and (ii) 2,500 unvested shares of restricted stock of the Company’s common stock granted pursuant to the Company’s 2002 Stock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 shares held by Mr. Hagenbuch’s wife and 50 shares held by Mr. Hagenbuch’s son.</w:t>
      </w:r>
    </w:p>
    <w:p>
      <w:pPr>
        <w:spacing w:after="0" w:line="9" w:lineRule="exact"/>
        <w:rPr>
          <w:rFonts w:ascii="Arial" w:cs="Arial" w:eastAsia="Arial" w:hAnsi="Arial"/>
          <w:sz w:val="18"/>
          <w:szCs w:val="18"/>
          <w:color w:val="auto"/>
        </w:rPr>
      </w:pPr>
    </w:p>
    <w:p>
      <w:pPr>
        <w:ind w:left="460" w:right="14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(i) 200,000 shares of restricted stock granted pursuant to the Company’s 2002 Stock Incentive Plan and subject to a Restricted Stock Agreement which provides that 50,000 shares of restricted stock will vest on February 22, 2014 and 2015, with the final 100,000 vesting on December 5, 2016.</w:t>
      </w:r>
    </w:p>
    <w:p>
      <w:pPr>
        <w:ind w:left="460" w:right="2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the Company’s 2002 Stock Incentive Plan and subject to a Restricted Stock Agreement which provides such grant will vest on December 5, 2016.</w:t>
      </w:r>
    </w:p>
    <w:p>
      <w:pPr>
        <w:ind w:left="460" w:right="4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the Company’s 2002 Stock Plan and subject to a Restricted Stock Agreement which provides such grant will vest on December 5, 2016.</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82,880 shares subject to immediately exercisable stock options.</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February 18, 2012, the Company redeemed and cancelled the 24,549,222 shares of the Company’s common stock then held by Aruze USA, Inc. (the “Former Aruze Shares”), pursuant to Article VII of the Company’s Articles of Incorporation. The share redemption was based upon the determination of the Company’s Board of Directors that Aruze USA, Inc., Universal Entertainment Corporation and Mr. Kazuo Okada are “Unsuitable Persons” under the provisions of the Company’s Articles of Incorporation. As a result of the share redemption, the Former Aruze Shares are no longer issued and outstanding. The Company, the then members of the Board who authorized the share redemption and the Company’s General Counsel are currently involved in litigation with Mr. Okada, Aruze USA, Inc. and Universal Entertainment Corporation (the “Okada Parties”) relating to the redemption of the Former Aruze Shares as well as various related matters. In that litigation, the Okada Parties have sought, among other things, a declaration that the redemption of the Former Aruze Shares was void, an injunction restoring Aruze USA, Inc.’s share ownership, damages in an unspecified amount and rescission of the Stockholders Agreement. For a description of these proceedings see Item 3—“Legal Proceedings” in the Company’s Annual Report on Form 10-K for the year ended December 31,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Board and management have a strong commitment to good corporate governance. Our Board has adopted Corporate Governance Guidelines that provide an effective framework for the governance of the Company. Our Nominating and Corporate Governance Committee reviews our Corporate Governance Guidelines annually and recommends changes as appropriate to the Board for approval. The Board has also adopted written charters for its three standing committees (Audit, Compensation, and Nominating and Corporate Governance), as well as a Code of Business Conduct and Ethics, applicable to all directors, officers, employees and independent contractors. The Corporate Governance Guidelines, Board committee charters and Code of Business Conduct and Ethics are available under the heading “Corporate Governance” on the Company Information page of the Company’s website at </w:t>
      </w:r>
      <w:r>
        <w:rPr>
          <w:rFonts w:ascii="Arial" w:cs="Arial" w:eastAsia="Arial" w:hAnsi="Arial"/>
          <w:sz w:val="16"/>
          <w:szCs w:val="16"/>
          <w:i w:val="1"/>
          <w:iCs w:val="1"/>
          <w:u w:val="single" w:color="auto"/>
          <w:color w:val="auto"/>
        </w:rPr>
        <w:t>http://www.wynnresorts.com</w:t>
      </w:r>
      <w:r>
        <w:rPr>
          <w:rFonts w:ascii="Arial" w:cs="Arial" w:eastAsia="Arial" w:hAnsi="Arial"/>
          <w:sz w:val="16"/>
          <w:szCs w:val="16"/>
          <w:i w:val="1"/>
          <w:iCs w:val="1"/>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common stock is listed on the NASDAQ Stock Market LLC (“NASDAQ”). As a company listed on the NASDAQ, our Board must comply with the independence rules promulgated by the SEC and the NASDAQ corporate governance requirements, including the director independence standards. Those rules and standards require that a majority of our Board be comprised of directors who have no direct or indirect material relationship with Wynn Resorts. In addition, the Company’s Corporate Governance Guidelines require that all independent directors meet additional, heightened independence criteria that apply to audit committee members under the NASDAQ listing standards.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Board has determined that six of its eight members are independent under the NASDAQ listing standards. The Board has further determined that each of those six directors also meet the additional, heightened independence criteria applicable to audit committee members under the NASDAQ listing standards.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any direct or indirect relationship between the Company and the director or his immediate family members. None of the independent directors has any economic relationship with the Company other than receipt of his director’s compensation. None of the independent directors is engaged in any related party transaction with the Company. Former directors Messrs. Goldsmith, Moran and Zeman were also determined to be independent under the NASDAQ listing standards.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Mr. Virtue, the Committee considered that Mr. Wynn, Ms. Elaine Wynn, and Messrs. Schorr, Maddox and Strzemp had invested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MidOcean Partners, a private investment firm of which Mr. Virtue serves as Chief Executive Officer and that, as of October 31, 2012 each of Mr.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Elaine Wynn, and Messrs. Schorr, Maddox and Strzemp’s accounts had been liquidated. With respect to Mr. Goldsmith, the Committee considered that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2012 the Company employed Mr. Goldsmith’s daughter. The employment concluded after eight months and Mr. Goldsmith’s daughter was paid a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amount of less than $120,000.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Wynn and Ms. Wynn have been determined not to be independent.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Executive Committee</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Board met three times during 2012. In addition, the independent directors met in executive session, without management present, at each regular meeting of the Board. Governor Miller acts as the presiding director and communicates necessary matters from the executive sessions to management.</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February 18, 2012, the Board formed an Executive Committee to manage the business and affairs of the Company during the period between each annual meeting of the Board. The Executive Committee consisted of all members of the Board other than Mr. Okada, and during 2012 it performed substantially all of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responsibilities of the Board. This action was taken in the wake of the Board’s determination that Mr. Okada was an “Unsuitable Person” under the Company’s Articles of Incorporation and in light of Mr. Okada’s refusal to resign from the Board. On February 22, 2013, the Company’s stockholders voted to remove Mr. Okada from the Board of Directors. Additionally, on February 21, 2013, Mr. Okada resigned from the Board of Directors. Although the Company has retained the structure of the Executive Committee, the Board does not expect to continue to operate primarily through the Executive Committee and instead will resume its past role in managing the business and affairs of the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2012, all incumbent directors attended at least 75% of the total number of meetings of the Board and the committees on which they served.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Standing </w:t>
      </w:r>
      <w:r>
        <w:rPr>
          <w:rFonts w:ascii="Arial" w:cs="Arial" w:eastAsia="Arial" w:hAnsi="Arial"/>
          <w:sz w:val="18"/>
          <w:szCs w:val="18"/>
          <w:color w:val="auto"/>
        </w:rPr>
        <w:t>C</w:t>
      </w:r>
      <w:r>
        <w:rPr>
          <w:rFonts w:ascii="Arial" w:cs="Arial" w:eastAsia="Arial" w:hAnsi="Arial"/>
          <w:sz w:val="18"/>
          <w:szCs w:val="18"/>
          <w:b w:val="1"/>
          <w:bCs w:val="1"/>
          <w:color w:val="auto"/>
        </w:rPr>
        <w:t>ommittees</w:t>
      </w:r>
    </w:p>
    <w:p>
      <w:pPr>
        <w:spacing w:after="0" w:line="177"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The Board of Directors has three standing committees: the Audit Committee, the Compensation Committee, and the Nominating and Corporate Governance Committee. Each of these committees consists entirely of directors whom the Board of Directors has determined to be independent under the Exchange Act and the NASDAQ listing standards for audit committee members. The current membership and functions of each of the Board of Directors’ committees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Nominating and</w:t>
            </w:r>
          </w:p>
        </w:tc>
      </w:tr>
      <w:tr>
        <w:trPr>
          <w:trHeight w:val="149"/>
        </w:trPr>
        <w:tc>
          <w:tcPr>
            <w:tcW w:w="5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420" w:type="dxa"/>
            <w:vAlign w:val="bottom"/>
          </w:tcPr>
          <w:p>
            <w:pPr>
              <w:spacing w:after="0"/>
              <w:rPr>
                <w:sz w:val="14"/>
                <w:szCs w:val="14"/>
                <w:color w:val="auto"/>
              </w:rPr>
            </w:pPr>
          </w:p>
        </w:tc>
        <w:tc>
          <w:tcPr>
            <w:tcW w:w="262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w w:val="89"/>
              </w:rPr>
              <w:t>Audit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Governance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John J.</w:t>
            </w:r>
          </w:p>
        </w:tc>
        <w:tc>
          <w:tcPr>
            <w:tcW w:w="3240" w:type="dxa"/>
            <w:vAlign w:val="bottom"/>
          </w:tcPr>
          <w:p>
            <w:pPr>
              <w:ind w:left="40"/>
              <w:spacing w:after="0" w:line="201" w:lineRule="exact"/>
              <w:rPr>
                <w:sz w:val="20"/>
                <w:szCs w:val="20"/>
                <w:color w:val="auto"/>
              </w:rPr>
            </w:pPr>
            <w:r>
              <w:rPr>
                <w:rFonts w:ascii="Arial" w:cs="Arial" w:eastAsia="Arial" w:hAnsi="Arial"/>
                <w:sz w:val="18"/>
                <w:szCs w:val="18"/>
                <w:color w:val="auto"/>
              </w:rPr>
              <w:t>Hagenbuch</w:t>
            </w:r>
          </w:p>
        </w:tc>
        <w:tc>
          <w:tcPr>
            <w:tcW w:w="1420" w:type="dxa"/>
            <w:vAlign w:val="bottom"/>
          </w:tcPr>
          <w:p>
            <w:pPr>
              <w:spacing w:after="0"/>
              <w:rPr>
                <w:sz w:val="17"/>
                <w:szCs w:val="17"/>
                <w:color w:val="auto"/>
              </w:rPr>
            </w:pPr>
          </w:p>
        </w:tc>
        <w:tc>
          <w:tcPr>
            <w:tcW w:w="3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2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420" w:type="dxa"/>
            <w:vAlign w:val="bottom"/>
          </w:tcPr>
          <w:p>
            <w:pPr>
              <w:spacing w:after="0"/>
              <w:rPr>
                <w:sz w:val="18"/>
                <w:szCs w:val="18"/>
                <w:color w:val="auto"/>
              </w:rPr>
            </w:pPr>
          </w:p>
        </w:tc>
        <w:tc>
          <w:tcPr>
            <w:tcW w:w="2620" w:type="dxa"/>
            <w:vAlign w:val="bottom"/>
            <w:gridSpan w:val="2"/>
          </w:tcPr>
          <w:p>
            <w:pPr>
              <w:jc w:val="center"/>
              <w:ind w:right="23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Chair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420" w:type="dxa"/>
            <w:vAlign w:val="bottom"/>
          </w:tcPr>
          <w:p>
            <w:pPr>
              <w:spacing w:after="0"/>
              <w:rPr>
                <w:sz w:val="18"/>
                <w:szCs w:val="18"/>
                <w:color w:val="auto"/>
              </w:rPr>
            </w:pPr>
          </w:p>
        </w:tc>
        <w:tc>
          <w:tcPr>
            <w:tcW w:w="2620" w:type="dxa"/>
            <w:vAlign w:val="bottom"/>
            <w:gridSpan w:val="2"/>
          </w:tcPr>
          <w:p>
            <w:pPr>
              <w:jc w:val="center"/>
              <w:ind w:right="2300"/>
              <w:spacing w:after="0"/>
              <w:rPr>
                <w:sz w:val="20"/>
                <w:szCs w:val="20"/>
                <w:color w:val="auto"/>
              </w:rPr>
            </w:pPr>
            <w:r>
              <w:rPr>
                <w:rFonts w:ascii="Arial" w:cs="Arial" w:eastAsia="Arial" w:hAnsi="Arial"/>
                <w:sz w:val="18"/>
                <w:szCs w:val="18"/>
                <w:color w:val="auto"/>
                <w:w w:val="99"/>
              </w:rPr>
              <w:t>X</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 Edward Virtue</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04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Chair</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Number of meetings during 2012</w:t>
            </w:r>
          </w:p>
        </w:tc>
        <w:tc>
          <w:tcPr>
            <w:tcW w:w="1420" w:type="dxa"/>
            <w:vAlign w:val="bottom"/>
          </w:tcPr>
          <w:p>
            <w:pPr>
              <w:spacing w:after="0"/>
              <w:rPr>
                <w:sz w:val="24"/>
                <w:szCs w:val="24"/>
                <w:color w:val="auto"/>
              </w:rPr>
            </w:pPr>
          </w:p>
        </w:tc>
        <w:tc>
          <w:tcPr>
            <w:tcW w:w="2620" w:type="dxa"/>
            <w:vAlign w:val="bottom"/>
            <w:gridSpan w:val="2"/>
          </w:tcPr>
          <w:p>
            <w:pPr>
              <w:jc w:val="center"/>
              <w:ind w:right="2280"/>
              <w:spacing w:after="0"/>
              <w:rPr>
                <w:sz w:val="20"/>
                <w:szCs w:val="20"/>
                <w:color w:val="auto"/>
              </w:rPr>
            </w:pPr>
            <w:r>
              <w:rPr>
                <w:rFonts w:ascii="Arial" w:cs="Arial" w:eastAsia="Arial" w:hAnsi="Arial"/>
                <w:sz w:val="18"/>
                <w:szCs w:val="18"/>
                <w:color w:val="auto"/>
                <w:w w:val="83"/>
              </w:rPr>
              <w:t>Ten</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Five</w:t>
            </w:r>
          </w:p>
        </w:tc>
        <w:tc>
          <w:tcPr>
            <w:tcW w:w="1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Six</w:t>
            </w:r>
          </w:p>
        </w:tc>
      </w:tr>
    </w:tbl>
    <w:p>
      <w:pPr>
        <w:spacing w:after="0" w:line="15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Governor Miller, as a director, serves as Chairman of the Company’s Gaming Compliance Committee and as the Company’s Compliance Director. The Gaming Compliance Committee is a committee required by Nevada law and is comprised of Messrs. Miller, Schorr and Strzemp, and its purpose is to assist the Company in maintaining the highest level of regulatory compliance.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internal audit staff, management and legal counsel to discuss accounting principles, financial and accounting controls, the scope of the annual audit, internal controls, regulatory compliance and other matters. In addition to responsibilities discussed elsewhere in this proxy statement, the functions of the Audit Committee also include the following:</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retention of, and oversight of the independent auditors;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the adequacy and effectiveness as well as the scope and results of the Company’s internal auditing procedures and practices;</w:t>
      </w:r>
    </w:p>
    <w:p>
      <w:pPr>
        <w:spacing w:after="0" w:line="113"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Board of Directors, after review of each individual’s employment experience and other relevant factors, has determined that Messrs. Wayson, Hagenbuch, and Shoemaker are qualified as audit committee financial experts within the meaning of SEC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directors and executives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5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evaluating the performance of the Chief Executive Officer of the Company, overseeing the evaluation of performance of the other officers of the Company and its operating subsidiaries, and setting compensation for the Chief Executive Officer, other named executive officers (“NEOs”), and other members of our most senior management;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employment agreement or any severance or termination agreement, between the Company (or any of its subsidiaries) and any officer, as well as any other employment agreement between the Company and any individual in which annual base salary exceeds $500,000, regardless of position involved;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2013, management completed a review of the Company’s compensation policies and practices and presented its analysis to the Compensation Committee, which concurred with management’s conclusion that such policies and practices are not reasonably likely to have a material adverse effect on the Company. Upon promulgation of final rules by the SEC, the Committee will adopt clawback provisions that comply with all applicable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Nominating and Corporate Governance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screening and recommending candidates qualified to serve as directors of the Company taking into account the Company’s current and planned business and the existing membership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members to serve on committees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w:t>
      </w:r>
    </w:p>
    <w:p>
      <w:pPr>
        <w:spacing w:after="0" w:line="9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annual evaluation of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Nominating Process</w:t>
      </w:r>
      <w:r>
        <w:rPr>
          <w:rFonts w:ascii="Arial" w:cs="Arial" w:eastAsia="Arial" w:hAnsi="Arial"/>
          <w:sz w:val="15"/>
          <w:szCs w:val="15"/>
          <w:color w:val="auto"/>
        </w:rPr>
        <w:t>. The Nominating and Corporate Governance Committee will consider director candidates recommended by stockholders. In</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considering candidates submitted by stockholders, the Nominating and Corporate Governance Committee will take into consideration the Board’s current size and composition, needs of the Board, including the skills and experience of existing directors, and the qualifications of the candidate. To have a candidate considered by the Nominating and Corporate Governance Committee, a stockholder must submit the recommendation in writing and must include the following information:</w:t>
      </w:r>
    </w:p>
    <w:p>
      <w:pPr>
        <w:spacing w:after="0" w:line="17" w:lineRule="exact"/>
        <w:rPr>
          <w:sz w:val="20"/>
          <w:szCs w:val="20"/>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anniversary date of the Company’s most recent Annual Meeting of Stockholders.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Nominating and Corporate Governance Committee seeks to have the Board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Nominating and Corporate Governance Committee implements its policy with regards to considering diversity by annually reviewing with the Board the Board’s composition as a whole and recommending, if necessary, measures to be taken so that the Board reflects the appropriate balance of knowledge, depth and diversity of experience, and skills and expertise required for the Board as a whole. The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As described above, the Committee will also consider candidates recommended by stockholders.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Wynn, the Company’s founder, serves as the Chairman and Chief Executive Officer of the Company. The Board has determined that the combination of these roles held singularly by Mr. Wynn is in the best interest of all stockholders.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stockholders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combined role of Mr. Wynn as both Chairman and Chief Executive Officer is balanced by the Company’s governance structure and policies and controls. Six of the eight members of our Board satisfy the most stringent requirements of independence promulgated by NASDAQ for audit committee members, and the Audit, Compensation, and Nominating and Corporate Governance Committees are composed entirely of independent members of the Board. This structure encourages independent and effective oversight of the Company’s operations and prudent management of risk. In addition, the Company is subject to stringent regulatory requirements and oversight, combining these internal controls with third party monitoring of the Company’s operations.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independent members of the Company’s Board meet separately in executive session at each regular meeting of the Board and also meet separately in executive session with each of the Company’s auditors, Vice President of Internal Audit and General Counsel. The independent members of the Board have designated a presiding director for such sessions who is responsible for communicating to the Chief Executive Officer and senior management all concerns that arise during executive session. Governor Miller currently serves as the Presiding Director.</w:t>
      </w:r>
    </w:p>
    <w:p>
      <w:pPr>
        <w:spacing w:after="0" w:line="11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In addition, all Committee agendas and all agendas for meetings of the Board are provided in advance to all independent members of the Board. The members are encouraged to review the proposed agenda items and to add additional items of concern or interest. Members of the Board also have access to Company management.</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Mr. Wynn’s compensation is established and reviewed by the Compensation Committee, all of whose members are independent. The Compensation Committee periodically engages an independent third party to evaluate the level of the compensation and benefits of employment provided to Mr. Wynn. This evaluation was last completed in 2012 by Pay Governance LLC.</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For the reasons stated above and as a result of the structure, policies and procedures outlined above, and in light of the historical success of Mr. Wynn’s leadership, the Board has concluded that the current Board leadership structure is in the best interest of the Company and its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Board has an active role in overseeing the Company’s areas of risk. While the full Board has overall responsibility for risk oversight, the Board has assigned certain areas of risk primarily to designated Committees, which report back to the full Board. The Board regularly reviews information regarding the Company’s risks relating to political, regulatory, construction, operations, succession planning, catastrophic events and general financial conditions. The Audit Committee is primarily responsible for the oversight of credit, related party, construction and general financial risks. The Gaming Compliance Committee primarily oversees risks relating to regulatory, security and political compliance. As discussed above, the Compensation Committee is primarily responsible for monitoring risks relating to the Company’s compensation policies and practices to determine whether they create risks that may have a material adverse effect on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Board, in consultation with management and the Company’s outside auditors, has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Committees) and management have agreed upon a process for management to identify, manage and mitigate these risks.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Throughout the year, the Board and the relevant Committees receive reports from management that include information regarding major risks and exposures facing the Company and the steps management has taken to monitor and control such risks and exposures. In addition, throughout the year, the Board and the relevant Committees dedicate a portion of their meetings to review and discuss specific risk topics in greater detail.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2011, the Board adopted Stock Ownership Guidelines applicable to members of the Board and senior corporate officers. The Guidelines require that members of the Board achieve ownership of an amount of common stock of the Company for which the fair market value equals or exceed three times such director’s annual cash retainer. For the Company’s Chief Executive Officer, the fair market value of common stock owned should equal or exceed five times base salary and for the Chief Operating Officer, Chief Financial Officer and any Executive Vice President, three times base salary.</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and Corporate Governance Committee for consideration.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Currently, all members of the Board and all senior corporate officers satisfy the guidelines.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Prohibited Transactions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Pursuant to the Company’s Trading Policy, our directors and executive officers are prohibited from engaging in speculative transactions in Company securities, such as trading in puts and calls, or selling securities short, and from pledging Company securities as collateral for a loan, including by holding the securities in a margin account and obtaining a loan or other margin credit under such account, except under special circumstances specifically approved in advance by the General Counsel.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The Board has established a process to receive communications from stockholders. This process is described under “Corporate Governance” on the Company Information page of the Company’s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xml:space="preserve"> Stockholders may contact any member or all members of the Board of Directors, any committee of the Board of Directors or the chair of any committee by mail. Correspondence should be addressed to the appropriate individual by either name or title. All such correspondence should be sent “c/o Corporate Secretary” at 3131 Las Vegas Boulevard South, Las Vegas, Nevada 89109.</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but three of our directors attended the 2012 Annual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each year. The members of the Compensation Committee that served in 2012, were Messrs. Goldsmith, Irani, Moran, Shoemaker and Wayson. On December 13, 2012, Mr. Goldsmith resigned from the Board of Directors and thus from the Committee and Mr. J. Edward Virtue was appointed to the Committee.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NON-EMPLOYEE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Earned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Paid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Awards</w:t>
            </w:r>
          </w:p>
        </w:tc>
        <w:tc>
          <w:tcPr>
            <w:tcW w:w="120" w:type="dxa"/>
            <w:vAlign w:val="bottom"/>
          </w:tcPr>
          <w:p>
            <w:pPr>
              <w:spacing w:after="0"/>
              <w:rPr>
                <w:sz w:val="12"/>
                <w:szCs w:val="12"/>
                <w:color w:val="auto"/>
              </w:rPr>
            </w:pPr>
          </w:p>
        </w:tc>
        <w:tc>
          <w:tcPr>
            <w:tcW w:w="72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4"/>
              </w:rPr>
              <w:t>All Other</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0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line="148"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6"/>
              <w:spacing w:after="0" w:line="148" w:lineRule="exact"/>
              <w:rPr>
                <w:sz w:val="20"/>
                <w:szCs w:val="20"/>
                <w:color w:val="auto"/>
              </w:rPr>
            </w:pPr>
            <w:r>
              <w:rPr>
                <w:rFonts w:ascii="Arial" w:cs="Arial" w:eastAsia="Arial" w:hAnsi="Arial"/>
                <w:sz w:val="14"/>
                <w:szCs w:val="14"/>
                <w:b w:val="1"/>
                <w:bCs w:val="1"/>
                <w:color w:val="auto"/>
                <w:w w:val="87"/>
              </w:rPr>
              <w:t>(2)(3)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$ 115,364</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$285,550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$825,171</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$1,251,085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John J. Hagenbuch</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3,831</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$373,355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377,186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Ray R. Irani</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7"/>
              </w:rPr>
              <w:t>$250,459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405,459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Robert J. Miller (5)</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$183,458</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$250,459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458,917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7"/>
              </w:rPr>
              <w:t>$250,459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7"/>
              </w:rPr>
              <w:t>$250,459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 Edward Virtue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19,767</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color w:val="auto"/>
                <w:w w:val="87"/>
              </w:rPr>
              <w:t>$394,863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7"/>
              </w:rPr>
              <w:t>$250,459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79,500</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3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$ 118,364</w:t>
            </w:r>
          </w:p>
        </w:tc>
        <w:tc>
          <w:tcPr>
            <w:tcW w:w="11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$285,550</w:t>
            </w:r>
          </w:p>
        </w:tc>
        <w:tc>
          <w:tcPr>
            <w:tcW w:w="132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7"/>
              </w:rPr>
              <w:t>$825,171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set forth in this column reflect the value of stock awards that were accelerated to vest in 2012 computed in accordance with accounting standards for stock based compensation. The aggregate number of outstanding stock awards for each director at December 31, 2012 is as follows: Messrs. Irani, Miller, Shoemaker and Wayson 2,500 each. Mr. Okada and Ms. Elaine P. Wynn have not previously been granted equity awards for their service as directors.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set forth in this column reflect the aggregate grant date fair value of 7,690 stock option awards granted to Messrs. Goldsmith, Irani, Miller, Moran, Shoemaker, Wayson and Zeman, on June 11, 2012, 10,000 stock option awards granted to Messrs. Virtue and Hagenbuch on November 2, 2012 and December 13, 2012, respectively and the charges taken for the vesting acceleration for Messrs. Goldsmith and Zeman, computed in accordance with accounting standards for stock based compensation. Due to their retirement from the Board, the amounts set forth above for Messrs. Goldsmith and Zeman reflect both the grant date fair value of the June 11, 2012 grant (a portion of which was later forfeited) and the value attributable to the subsequent acceleration of the portion of the prior grant not forfeited. In November 2012, Mr. Moran resigned from the Board of Directors and forfeited 100% of the option award granted in June 2012. Mr. Okada and Ms. Elaine P. Wynn did not receive any awards. See our Annual Report on Form 10-K for the year ended December 31, 2012, Note 14 “Benefit Plans” to our Consolidated Financial Statements for assumptions used in computing fair value.</w:t>
      </w:r>
    </w:p>
    <w:p>
      <w:pPr>
        <w:spacing w:after="0" w:line="5"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outstanding option awards for each director at December 31, 2012 is as follows: Dr. Irani and Messr. Wayson 36,290 each, Messr. Shoemaker 46,290, Messrs. Hagenbuch and Virtue 10,000 each, and Governor Miller 26,290.</w:t>
      </w:r>
    </w:p>
    <w:p>
      <w:pPr>
        <w:jc w:val="both"/>
        <w:ind w:left="460" w:right="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the Company did not regularly pay dividends at that time.</w:t>
      </w:r>
    </w:p>
    <w:p>
      <w:pPr>
        <w:spacing w:after="0" w:line="1"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Governor Miller, as a member of the Board, receives a $50,000 annual retainer for his service as the Chairman of the Company’s Gaming Compliance Committee and a $20,000 annual retainer for his service as the Company’s Compliance Director.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Directors who are not employees of the Company currently receive a monthly fee of $5,000 for services as a director. Directors who serve on the Compensation Committee or the Nominating and Corporate 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May/June meeting of the Board of Directors, which for 2012 consisted of a grant of 7,690 stock options. All directors are provided complimentary room, food and beverage privileges at our properties and are reimbursed for any other out of pocket expenses related to attendance at meetings. Directors from time to time may receive other benefits, although the aggregate incremental cost of any such benefits and perquisites did not exceed $10,000 for any director in 2012. The Company does not provide non-equity incentive plan awards or deferred compensation or retirement plans for non-employee directors.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This section provides a description of our executive compensation philosophy and programs, the compensation decisions the Compensation Committee made under those programs and the factors considered in making those decisions. This Compensation Discussion and Analysis focuses on the following executives who were our named executive officers in 2012:</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340" w:type="dxa"/>
            <w:vAlign w:val="bottom"/>
          </w:tcPr>
          <w:p>
            <w:pPr>
              <w:spacing w:after="0"/>
              <w:rPr>
                <w:sz w:val="15"/>
                <w:szCs w:val="15"/>
                <w:color w:val="auto"/>
              </w:rPr>
            </w:pPr>
          </w:p>
        </w:tc>
        <w:tc>
          <w:tcPr>
            <w:tcW w:w="6060" w:type="dxa"/>
            <w:vAlign w:val="bottom"/>
            <w:gridSpan w:val="2"/>
          </w:tcPr>
          <w:p>
            <w:pPr>
              <w:ind w:left="480"/>
              <w:spacing w:after="0"/>
              <w:rPr>
                <w:sz w:val="20"/>
                <w:szCs w:val="20"/>
                <w:color w:val="auto"/>
              </w:rPr>
            </w:pPr>
            <w:r>
              <w:rPr>
                <w:rFonts w:ascii="Arial" w:cs="Arial" w:eastAsia="Arial" w:hAnsi="Arial"/>
                <w:sz w:val="14"/>
                <w:szCs w:val="14"/>
                <w:b w:val="1"/>
                <w:bCs w:val="1"/>
                <w:color w:val="auto"/>
              </w:rPr>
              <w:t>Title</w:t>
            </w:r>
          </w:p>
        </w:tc>
      </w:tr>
      <w:tr>
        <w:trPr>
          <w:trHeight w:val="195"/>
        </w:trPr>
        <w:tc>
          <w:tcPr>
            <w:tcW w:w="1700" w:type="dxa"/>
            <w:vAlign w:val="bottom"/>
            <w:gridSpan w:val="2"/>
          </w:tcPr>
          <w:p>
            <w:pPr>
              <w:spacing w:after="0" w:line="195" w:lineRule="exact"/>
              <w:rPr>
                <w:sz w:val="20"/>
                <w:szCs w:val="20"/>
                <w:color w:val="auto"/>
              </w:rPr>
            </w:pPr>
            <w:r>
              <w:rPr>
                <w:rFonts w:ascii="Arial" w:cs="Arial" w:eastAsia="Arial" w:hAnsi="Arial"/>
                <w:sz w:val="18"/>
                <w:szCs w:val="18"/>
                <w:color w:val="auto"/>
              </w:rPr>
              <w:t>Stephen A. Wynn</w:t>
            </w:r>
          </w:p>
        </w:tc>
        <w:tc>
          <w:tcPr>
            <w:tcW w:w="48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6060" w:type="dxa"/>
            <w:vAlign w:val="bottom"/>
            <w:gridSpan w:val="2"/>
          </w:tcPr>
          <w:p>
            <w:pPr>
              <w:ind w:left="48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6060" w:type="dxa"/>
            <w:vAlign w:val="bottom"/>
            <w:gridSpan w:val="2"/>
          </w:tcPr>
          <w:p>
            <w:pPr>
              <w:ind w:left="480"/>
              <w:spacing w:after="0"/>
              <w:rPr>
                <w:sz w:val="20"/>
                <w:szCs w:val="20"/>
                <w:color w:val="auto"/>
              </w:rPr>
            </w:pPr>
            <w:r>
              <w:rPr>
                <w:rFonts w:ascii="Arial" w:cs="Arial" w:eastAsia="Arial" w:hAnsi="Arial"/>
                <w:sz w:val="18"/>
                <w:szCs w:val="18"/>
                <w:color w:val="auto"/>
              </w:rPr>
              <w:t>Chief Operating Officer</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6060" w:type="dxa"/>
            <w:vAlign w:val="bottom"/>
            <w:gridSpan w:val="2"/>
          </w:tcPr>
          <w:p>
            <w:pPr>
              <w:ind w:left="480"/>
              <w:spacing w:after="0"/>
              <w:rPr>
                <w:sz w:val="20"/>
                <w:szCs w:val="20"/>
                <w:color w:val="auto"/>
              </w:rPr>
            </w:pPr>
            <w:r>
              <w:rPr>
                <w:rFonts w:ascii="Arial" w:cs="Arial" w:eastAsia="Arial" w:hAnsi="Arial"/>
                <w:sz w:val="18"/>
                <w:szCs w:val="18"/>
                <w:color w:val="auto"/>
              </w:rPr>
              <w:t>President of Wynn International Marketing, Limited</w:t>
            </w:r>
          </w:p>
        </w:tc>
      </w:tr>
      <w:tr>
        <w:trPr>
          <w:trHeight w:val="222"/>
        </w:trPr>
        <w:tc>
          <w:tcPr>
            <w:tcW w:w="170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6060" w:type="dxa"/>
            <w:vAlign w:val="bottom"/>
            <w:gridSpan w:val="2"/>
          </w:tcPr>
          <w:p>
            <w:pPr>
              <w:ind w:left="480"/>
              <w:spacing w:after="0"/>
              <w:rPr>
                <w:sz w:val="20"/>
                <w:szCs w:val="20"/>
                <w:color w:val="auto"/>
              </w:rPr>
            </w:pPr>
            <w:r>
              <w:rPr>
                <w:rFonts w:ascii="Arial" w:cs="Arial" w:eastAsia="Arial" w:hAnsi="Arial"/>
                <w:sz w:val="18"/>
                <w:szCs w:val="18"/>
                <w:color w:val="auto"/>
              </w:rPr>
              <w:t>General Counsel and Secretary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Company’s strategic goals are to develop and operate the premier casino resort in each jurisdiction in which we operate, and to develop and expand the “Wynn” brand while delivering successful operating and financial performance. The “Wynn” brand has become synonymous with luxury in the gaming industry. Our Las Vegas resort and our Macau resort both have received the coveted Forbes five-star distinction, and both are delivering superior operating performance when compared to market peers.</w:t>
      </w:r>
    </w:p>
    <w:p>
      <w:pPr>
        <w:spacing w:after="0" w:line="143" w:lineRule="exact"/>
        <w:rPr>
          <w:sz w:val="20"/>
          <w:szCs w:val="20"/>
          <w:color w:val="auto"/>
        </w:rPr>
      </w:pPr>
    </w:p>
    <w:p>
      <w:pPr>
        <w:jc w:val="both"/>
        <w:ind w:right="520" w:firstLine="456"/>
        <w:spacing w:after="0" w:line="335" w:lineRule="auto"/>
        <w:rPr>
          <w:sz w:val="20"/>
          <w:szCs w:val="20"/>
          <w:color w:val="auto"/>
        </w:rPr>
      </w:pPr>
      <w:r>
        <w:rPr>
          <w:rFonts w:ascii="Arial" w:cs="Arial" w:eastAsia="Arial" w:hAnsi="Arial"/>
          <w:sz w:val="15"/>
          <w:szCs w:val="15"/>
          <w:color w:val="auto"/>
        </w:rPr>
        <w:t>Our compensation programs are designed to help recruit, retain and motivate a highly talented team of executives with the requisite set of skills and experience to achieve our vision and to deliver successful operating, financial, and shareholder value performance. The Compensation Committee strongly believes that executive compensation, both pay opportunities and pay actually realized, should be tied to Company performance in two primary ways:</w:t>
      </w:r>
    </w:p>
    <w:p>
      <w:pPr>
        <w:spacing w:after="0" w:line="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operating and financial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return to stockholders over time, both on an absolute basis and relative to other gaming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Performance</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a year marked by continued uncertainty in the global economy, the consolidated gains achieved by the Company since 2009 in key financial results correlate with long-term stockholder value, as reflected in the growth rate and absolute levels of key results over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136525</wp:posOffset>
            </wp:positionV>
            <wp:extent cx="4648200" cy="2366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4820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Key Results 2009 - 2012</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(amounts in millions, except share data)</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5,269.8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5,154.3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Adjusted Property EBITDA</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746.2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1,163.0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1,635.3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1,575.8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1,029.3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316.6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728.7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bl>
    <w:p>
      <w:pPr>
        <w:spacing w:after="0" w:line="15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key aspect of our operating performance is the continued expansion of our profitable franchise. The Company is constructing a full scale integrated resort containing a casino, luxury hotel, convention, retail, entertainment and food and beverage offerings on land acquired in the Cotai area of Macau. The Company estimates the project budget to be in the range of $3.5 billion to $4.0 billion. The Company expects to enter into a guaranteed maximum price contract for the project construction costs in the first half of 2013. We expect to open our resort in Cotai during the first half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Stockholders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has returned outstanding value to stockholders since our inception in 2002, including large dividends. As illustrated below, our total stockholder return (stock price appreciation plus dividends reinvested) is significantly higher than that of other major gaming companies and the S&amp;P 500 index.</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graph illustrates the total shareholder return (TSR) for Wynn Resorts, Las Vegas Sands, MGM Resorts International, a Gaming industry index (Las Vegas Sands, MGM, Crown, Penn National, Melco Crown, and Boyd, weighted by current market capitalization) and the S&amp;P 500. The TSR for Las Vegas Sands (12/16/2004), Melco Crown (12/19/2006), and Crown Limited (3/25/2008) were measured from the date of their initial public offering (“IPOs”) and the TSR for all others was measured from the October 25, 2002 IPO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121920</wp:posOffset>
            </wp:positionV>
            <wp:extent cx="3919220" cy="2366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1922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Data source: Standard &amp; Poors Capital IQ.</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share price, adjusted for dividends and splits, increased 10.6% in the past year, 140.1% in the past three years, 32.4% in the past five years,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1,177.7% since our inception in 2002. Thus, $100 invested in Wynn Resorts at its inception would be worth $1,277.70 at the end of 2012.</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believes that our compensation program has been instrumental in supporting achievement of our branding success and our strong performance for stockholders. The program emphasizes annual and long-term performance-based incentives. Historically, Mr. Wynn has not received equity incentives which would dilute our stockholders, relying on his significant equity ownership as a founding stockholder to realize increases in the stockholder value created. The compensation of the Company’s other named executive officers consists primarily of base salary, annual cash incentives, and periodic grants of equity in the form of stock options and restricted stock that vest over periods of up to ten years. As a result, the vast majority of named executive officers’ (other than Mr. Wynn) total compensation is tied to the Company’s financial and long-term share price performance.</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Major equity grants were made to our NEOs other than Mr. Wynn in 2008 and 2009. Since 2008, Mr. Wynn has received 63% of his total compensation in the form of annual cash incentives. The other named executive officers as a group received 78% of their total compensation in the form of annual and long-term incentives that are tied to the Company’s operating results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171450</wp:posOffset>
            </wp:positionV>
            <wp:extent cx="4562475" cy="2084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6247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2012 Pay Decisions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our outstanding performance, the Committee made the following decisions related to compensation for NEOs in 2012:</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Company EBITDA that exceeded our maximum target, awarded NEOs annual incentive awards at maximum levels for 2012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Determined that no additional equity awards were necessary during 2012 (none were made in 2010 or 2011).</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Awarded Mr. Wynn a $2 million discretionary bonus based on his contribution to the extraordinary performance of Wynn Macau for 2012, by the Wynn Macau, Limited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the base salary for Ms. Sinatra in recognition of her exceptional contributions and in consideration of competitive pay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the May 17, 2011, Annual Meeting of Stockholders, over 79% of the votes cast were in favor of the advisory vote to approve executive compensation. The Compensation Committee considered this favorable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outcome and believes it conveyed our stockholders’ support of the Compensation Committee’s decisions and our existing executive compensation programs. Consistent with this support, the Compensation Committee decided to retain the core design of our executive compensation programs in the remainder of 2011 and in 2012, as it believes the programs continue to attract, retain and appropriately incent senior management.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welcomed input on executive compensation as we interacted with stockholders on a number of matters throughout the year. The Board of Directors and the Compensation Committee duly considers stockholder input as well as the other factors discussed in this Compensation Discussion and Analysis and routinely reviews our executive compensation programs and practices.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at that same meeting in 2011, over 70% of the votes cast were in favor of holding future advisory votes on executive compensation every three years. Consistent with this outcome, the Board determined that the next advisory resolution on executive compensation will be voted on by stockholders at the 2014 Annual Meeting of Stockholders.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EXECUTIVE COMPENSATION PRACTICES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Below we list executive compensation practices that we have implemented to appropriately structure our executive rewards and the practices that we have not implemented because we do not believe they would serve our stockholders’ long-term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9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for performance (page 22)</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long-term vesting for principal stock option and restricted stock awards which has an ownership effect similar to that of a holding period policy (page 31)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competitive stock ownership guidelines (page 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Utilize an independent compensation consulting firm which provides no other services to the Company (page 29)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(page 37)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executives from engaging in speculative transactions in Company securities, except under special circumstances (page 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potential risks relating to the Company’s compensation policies and practices (page 27)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9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dividends or dividend equivalents on option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repricing of underwater options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supplemental retirement benefits for executives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PHILOSOPHY AND OVERVIEW OF OUR COMPENSATION PROGRAM</w:t>
      </w:r>
    </w:p>
    <w:p>
      <w:pPr>
        <w:spacing w:after="0" w:line="1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This section describes our executive compensation philosophy and provides an overview of our compensation program and the rationale for each component of the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420" w:firstLine="456"/>
        <w:spacing w:after="0" w:line="330" w:lineRule="auto"/>
        <w:rPr>
          <w:sz w:val="20"/>
          <w:szCs w:val="20"/>
          <w:color w:val="auto"/>
        </w:rPr>
      </w:pPr>
      <w:r>
        <w:rPr>
          <w:rFonts w:ascii="Arial" w:cs="Arial" w:eastAsia="Arial" w:hAnsi="Arial"/>
          <w:sz w:val="16"/>
          <w:szCs w:val="16"/>
          <w:color w:val="auto"/>
        </w:rPr>
        <w:t>The Committee believes that stockholder interests are best advanced by attracting and retaining a high-performing management team. To promote this objective, the Committee was guided by the following underlying principles in developing our executive compensation program:</w:t>
      </w:r>
    </w:p>
    <w:p>
      <w:pPr>
        <w:spacing w:after="0" w:line="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Top talent</w:t>
      </w:r>
      <w:r>
        <w:rPr>
          <w:rFonts w:ascii="Arial" w:cs="Arial" w:eastAsia="Arial" w:hAnsi="Arial"/>
          <w:sz w:val="16"/>
          <w:szCs w:val="16"/>
          <w:color w:val="auto"/>
        </w:rPr>
        <w:t>—The program should be designed to gain a long-term commitment from the proven, accomplished executives that lead our success.</w:t>
      </w:r>
    </w:p>
    <w:p>
      <w:pPr>
        <w:spacing w:after="0" w:line="113" w:lineRule="exact"/>
        <w:rPr>
          <w:rFonts w:ascii="Arial" w:cs="Arial" w:eastAsia="Arial" w:hAnsi="Arial"/>
          <w:sz w:val="16"/>
          <w:szCs w:val="16"/>
          <w:color w:val="auto"/>
        </w:rPr>
      </w:pPr>
    </w:p>
    <w:p>
      <w:pPr>
        <w:ind w:left="900" w:right="40" w:hanging="325"/>
        <w:spacing w:after="0" w:line="27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value.</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should be provided periodically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8" w:lineRule="exact"/>
        <w:rPr>
          <w:rFonts w:ascii="Arial" w:cs="Arial" w:eastAsia="Arial" w:hAnsi="Arial"/>
          <w:sz w:val="18"/>
          <w:szCs w:val="18"/>
          <w:color w:val="auto"/>
        </w:rPr>
      </w:pPr>
    </w:p>
    <w:p>
      <w:pPr>
        <w:ind w:left="900" w:right="140" w:hanging="325"/>
        <w:spacing w:after="0" w:line="27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enterprise.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of major gaming companies and other competitors for key talent.</w:t>
      </w:r>
    </w:p>
    <w:p>
      <w:pPr>
        <w:spacing w:after="0" w:line="12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Committee regularly evaluates the Company’s compensation arrangements to assess whether they are appropriately structured to support these objectives and are effective in enabling the Company to attract and retain top talent in key leadership positions.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 is simple in design and limited in scope. Each program component and the rationale for it are highlighted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Element</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56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Role and Purpose</w:t>
            </w:r>
          </w:p>
        </w:tc>
        <w:tc>
          <w:tcPr>
            <w:tcW w:w="0" w:type="dxa"/>
            <w:vAlign w:val="bottom"/>
          </w:tcPr>
          <w:p>
            <w:pPr>
              <w:spacing w:after="0"/>
              <w:rPr>
                <w:sz w:val="1"/>
                <w:szCs w:val="1"/>
                <w:color w:val="auto"/>
              </w:rPr>
            </w:pPr>
          </w:p>
        </w:tc>
      </w:tr>
      <w:tr>
        <w:trPr>
          <w:trHeight w:val="216"/>
        </w:trPr>
        <w:tc>
          <w:tcPr>
            <w:tcW w:w="40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Base salary</w:t>
            </w:r>
          </w:p>
        </w:tc>
        <w:tc>
          <w:tcPr>
            <w:tcW w:w="178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Provide competitive foundation for total compensation</w:t>
            </w:r>
          </w:p>
        </w:tc>
        <w:tc>
          <w:tcPr>
            <w:tcW w:w="0" w:type="dxa"/>
            <w:vAlign w:val="bottom"/>
          </w:tcPr>
          <w:p>
            <w:pPr>
              <w:spacing w:after="0"/>
              <w:rPr>
                <w:sz w:val="1"/>
                <w:szCs w:val="1"/>
                <w:color w:val="auto"/>
              </w:rPr>
            </w:pPr>
          </w:p>
        </w:tc>
      </w:tr>
      <w:tr>
        <w:trPr>
          <w:trHeight w:val="284"/>
        </w:trPr>
        <w:tc>
          <w:tcPr>
            <w:tcW w:w="402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3"/>
              </w:rPr>
              <w:t>Recognize sustained performance, capabilities, job scope and experience</w:t>
            </w:r>
          </w:p>
        </w:tc>
        <w:tc>
          <w:tcPr>
            <w:tcW w:w="0" w:type="dxa"/>
            <w:vAlign w:val="bottom"/>
          </w:tcPr>
          <w:p>
            <w:pPr>
              <w:spacing w:after="0"/>
              <w:rPr>
                <w:sz w:val="1"/>
                <w:szCs w:val="1"/>
                <w:color w:val="auto"/>
              </w:rPr>
            </w:pPr>
          </w:p>
        </w:tc>
      </w:tr>
      <w:tr>
        <w:trPr>
          <w:trHeight w:val="208"/>
        </w:trPr>
        <w:tc>
          <w:tcPr>
            <w:tcW w:w="40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Annual incentives</w:t>
            </w:r>
          </w:p>
        </w:tc>
        <w:tc>
          <w:tcPr>
            <w:tcW w:w="178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5"/>
              </w:rPr>
              <w:t>Motivate and reward achievement of annual EBITDA targets, which drive</w:t>
            </w:r>
          </w:p>
        </w:tc>
        <w:tc>
          <w:tcPr>
            <w:tcW w:w="0" w:type="dxa"/>
            <w:vAlign w:val="bottom"/>
          </w:tcPr>
          <w:p>
            <w:pPr>
              <w:spacing w:after="0"/>
              <w:rPr>
                <w:sz w:val="1"/>
                <w:szCs w:val="1"/>
                <w:color w:val="auto"/>
              </w:rPr>
            </w:pPr>
          </w:p>
        </w:tc>
      </w:tr>
      <w:tr>
        <w:trPr>
          <w:trHeight w:val="222"/>
        </w:trPr>
        <w:tc>
          <w:tcPr>
            <w:tcW w:w="402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the valuation of our stock</w:t>
            </w:r>
          </w:p>
        </w:tc>
        <w:tc>
          <w:tcPr>
            <w:tcW w:w="0" w:type="dxa"/>
            <w:vAlign w:val="bottom"/>
          </w:tcPr>
          <w:p>
            <w:pPr>
              <w:spacing w:after="0"/>
              <w:rPr>
                <w:sz w:val="1"/>
                <w:szCs w:val="1"/>
                <w:color w:val="auto"/>
              </w:rPr>
            </w:pPr>
          </w:p>
        </w:tc>
      </w:tr>
      <w:tr>
        <w:trPr>
          <w:trHeight w:val="277"/>
        </w:trPr>
        <w:tc>
          <w:tcPr>
            <w:tcW w:w="402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8"/>
              </w:rPr>
              <w:t>Enforce accountability for individual performance through discretionary</w:t>
            </w:r>
          </w:p>
        </w:tc>
        <w:tc>
          <w:tcPr>
            <w:tcW w:w="0" w:type="dxa"/>
            <w:vAlign w:val="bottom"/>
          </w:tcPr>
          <w:p>
            <w:pPr>
              <w:spacing w:after="0"/>
              <w:rPr>
                <w:sz w:val="1"/>
                <w:szCs w:val="1"/>
                <w:color w:val="auto"/>
              </w:rPr>
            </w:pPr>
          </w:p>
        </w:tc>
      </w:tr>
      <w:tr>
        <w:trPr>
          <w:trHeight w:val="231"/>
        </w:trPr>
        <w:tc>
          <w:tcPr>
            <w:tcW w:w="402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reductions in awards as deemed appropriate</w:t>
            </w:r>
          </w:p>
        </w:tc>
        <w:tc>
          <w:tcPr>
            <w:tcW w:w="0" w:type="dxa"/>
            <w:vAlign w:val="bottom"/>
          </w:tcPr>
          <w:p>
            <w:pPr>
              <w:spacing w:after="0"/>
              <w:rPr>
                <w:sz w:val="1"/>
                <w:szCs w:val="1"/>
                <w:color w:val="auto"/>
              </w:rPr>
            </w:pPr>
          </w:p>
        </w:tc>
      </w:tr>
      <w:tr>
        <w:trPr>
          <w:trHeight w:val="208"/>
        </w:trPr>
        <w:tc>
          <w:tcPr>
            <w:tcW w:w="40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Long-term incentives</w:t>
            </w:r>
          </w:p>
        </w:tc>
        <w:tc>
          <w:tcPr>
            <w:tcW w:w="178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22"/>
        </w:trPr>
        <w:tc>
          <w:tcPr>
            <w:tcW w:w="40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Stock options &amp; restricted stock</w:t>
            </w:r>
          </w:p>
        </w:tc>
        <w:tc>
          <w:tcPr>
            <w:tcW w:w="178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i w:val="1"/>
                <w:iCs w:val="1"/>
                <w:color w:val="auto"/>
                <w:w w:val="91"/>
              </w:rPr>
              <w:t>Make periodic grants with long-term vesting to encourage a long-term value</w:t>
            </w:r>
          </w:p>
        </w:tc>
        <w:tc>
          <w:tcPr>
            <w:tcW w:w="0" w:type="dxa"/>
            <w:vAlign w:val="bottom"/>
          </w:tcPr>
          <w:p>
            <w:pPr>
              <w:spacing w:after="0"/>
              <w:rPr>
                <w:sz w:val="1"/>
                <w:szCs w:val="1"/>
                <w:color w:val="auto"/>
              </w:rPr>
            </w:pPr>
          </w:p>
        </w:tc>
      </w:tr>
      <w:tr>
        <w:trPr>
          <w:trHeight w:val="61"/>
        </w:trPr>
        <w:tc>
          <w:tcPr>
            <w:tcW w:w="4020" w:type="dxa"/>
            <w:vAlign w:val="bottom"/>
            <w:tcBorders>
              <w:left w:val="single" w:sz="8" w:color="auto"/>
            </w:tcBorders>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56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2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perspective and executive retention</w:t>
            </w:r>
          </w:p>
        </w:tc>
        <w:tc>
          <w:tcPr>
            <w:tcW w:w="0" w:type="dxa"/>
            <w:vAlign w:val="bottom"/>
          </w:tcPr>
          <w:p>
            <w:pPr>
              <w:spacing w:after="0"/>
              <w:rPr>
                <w:sz w:val="1"/>
                <w:szCs w:val="1"/>
                <w:color w:val="auto"/>
              </w:rPr>
            </w:pPr>
          </w:p>
        </w:tc>
      </w:tr>
      <w:tr>
        <w:trPr>
          <w:trHeight w:val="208"/>
        </w:trPr>
        <w:tc>
          <w:tcPr>
            <w:tcW w:w="402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Discretionary bonus</w:t>
            </w:r>
          </w:p>
        </w:tc>
        <w:tc>
          <w:tcPr>
            <w:tcW w:w="178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Make periodic awards for superior contributions to the enterprise as</w:t>
            </w: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determined in the discretion of the Committee</w:t>
            </w:r>
          </w:p>
        </w:tc>
        <w:tc>
          <w:tcPr>
            <w:tcW w:w="0" w:type="dxa"/>
            <w:vAlign w:val="bottom"/>
          </w:tcPr>
          <w:p>
            <w:pPr>
              <w:spacing w:after="0"/>
              <w:rPr>
                <w:sz w:val="1"/>
                <w:szCs w:val="1"/>
                <w:color w:val="auto"/>
              </w:rPr>
            </w:pPr>
          </w:p>
        </w:tc>
      </w:tr>
      <w:tr>
        <w:trPr>
          <w:trHeight w:val="357"/>
        </w:trPr>
        <w:tc>
          <w:tcPr>
            <w:tcW w:w="4020" w:type="dxa"/>
            <w:vAlign w:val="bottom"/>
          </w:tcPr>
          <w:p>
            <w:pPr>
              <w:spacing w:after="0"/>
              <w:rPr>
                <w:sz w:val="24"/>
                <w:szCs w:val="24"/>
                <w:color w:val="auto"/>
              </w:rPr>
            </w:pPr>
          </w:p>
        </w:tc>
        <w:tc>
          <w:tcPr>
            <w:tcW w:w="7420" w:type="dxa"/>
            <w:vAlign w:val="bottom"/>
            <w:gridSpan w:val="2"/>
          </w:tcPr>
          <w:p>
            <w:pPr>
              <w:jc w:val="right"/>
              <w:ind w:right="55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Deferred compensation</w:t>
            </w:r>
          </w:p>
        </w:tc>
        <w:tc>
          <w:tcPr>
            <w:tcW w:w="2060" w:type="dxa"/>
            <w:vAlign w:val="bottom"/>
            <w:tcBorders>
              <w:top w:val="single" w:sz="8" w:color="auto"/>
              <w:right w:val="single" w:sz="8" w:color="auto"/>
            </w:tcBorders>
          </w:tcPr>
          <w:p>
            <w:pPr>
              <w:spacing w:after="0"/>
              <w:rPr>
                <w:sz w:val="19"/>
                <w:szCs w:val="19"/>
                <w:color w:val="auto"/>
              </w:rPr>
            </w:pPr>
          </w:p>
        </w:tc>
        <w:tc>
          <w:tcPr>
            <w:tcW w:w="5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5"/>
              </w:rPr>
              <w:t>Permit executives to participate in the Company’s 401(k) plan to facilitate</w:t>
            </w:r>
          </w:p>
        </w:tc>
      </w:tr>
      <w:tr>
        <w:trPr>
          <w:trHeight w:val="223"/>
        </w:trPr>
        <w:tc>
          <w:tcPr>
            <w:tcW w:w="374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retirement saving (no Company match since 2009)</w:t>
            </w:r>
          </w:p>
        </w:tc>
      </w:tr>
      <w:tr>
        <w:trPr>
          <w:trHeight w:val="202"/>
        </w:trPr>
        <w:tc>
          <w:tcPr>
            <w:tcW w:w="374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Security benefits</w:t>
            </w:r>
          </w:p>
        </w:tc>
        <w:tc>
          <w:tcPr>
            <w:tcW w:w="206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i w:val="1"/>
                <w:iCs w:val="1"/>
                <w:color w:val="auto"/>
                <w:w w:val="94"/>
              </w:rPr>
              <w:t>Consistent with the Board’s requirement that Mr. Wynn travel privately for</w:t>
            </w:r>
          </w:p>
        </w:tc>
      </w:tr>
      <w:tr>
        <w:trPr>
          <w:trHeight w:val="216"/>
        </w:trPr>
        <w:tc>
          <w:tcPr>
            <w:tcW w:w="3740" w:type="dxa"/>
            <w:vAlign w:val="bottom"/>
            <w:tcBorders>
              <w:lef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8"/>
              </w:rPr>
              <w:t>security reasons, provide him with access to Company aircraft for both</w:t>
            </w:r>
          </w:p>
        </w:tc>
      </w:tr>
      <w:tr>
        <w:trPr>
          <w:trHeight w:val="223"/>
        </w:trPr>
        <w:tc>
          <w:tcPr>
            <w:tcW w:w="374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personal and business travel, as well as a car and driver and security</w:t>
            </w:r>
          </w:p>
        </w:tc>
      </w:tr>
      <w:tr>
        <w:trPr>
          <w:trHeight w:val="202"/>
        </w:trPr>
        <w:tc>
          <w:tcPr>
            <w:tcW w:w="374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b w:val="1"/>
                <w:bCs w:val="1"/>
                <w:i w:val="1"/>
                <w:iCs w:val="1"/>
                <w:color w:val="auto"/>
              </w:rPr>
              <w:t>Foreign living expenses</w:t>
            </w:r>
          </w:p>
        </w:tc>
        <w:tc>
          <w:tcPr>
            <w:tcW w:w="206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i w:val="1"/>
                <w:iCs w:val="1"/>
                <w:color w:val="auto"/>
                <w:w w:val="92"/>
              </w:rPr>
              <w:t>Consistent with competitive practice in Macau, provide Ms. Chen with a car</w:t>
            </w:r>
          </w:p>
        </w:tc>
      </w:tr>
      <w:tr>
        <w:trPr>
          <w:trHeight w:val="216"/>
        </w:trPr>
        <w:tc>
          <w:tcPr>
            <w:tcW w:w="3740" w:type="dxa"/>
            <w:vAlign w:val="bottom"/>
            <w:tcBorders>
              <w:lef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7"/>
              </w:rPr>
              <w:t>and driver, certain housing and living expenses and assistance with tax</w:t>
            </w:r>
          </w:p>
        </w:tc>
      </w:tr>
      <w:tr>
        <w:trPr>
          <w:trHeight w:val="223"/>
        </w:trPr>
        <w:tc>
          <w:tcPr>
            <w:tcW w:w="374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preparation</w:t>
            </w:r>
          </w:p>
        </w:tc>
      </w:tr>
      <w:tr>
        <w:trPr>
          <w:trHeight w:val="217"/>
        </w:trPr>
        <w:tc>
          <w:tcPr>
            <w:tcW w:w="37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Executive benefits</w:t>
            </w:r>
          </w:p>
        </w:tc>
        <w:tc>
          <w:tcPr>
            <w:tcW w:w="206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Promote executive health through supplemental health benefits</w:t>
            </w:r>
          </w:p>
        </w:tc>
      </w:tr>
      <w:tr>
        <w:trPr>
          <w:trHeight w:val="284"/>
        </w:trPr>
        <w:tc>
          <w:tcPr>
            <w:tcW w:w="3740" w:type="dxa"/>
            <w:vAlign w:val="bottom"/>
            <w:tcBorders>
              <w:left w:val="single" w:sz="8" w:color="auto"/>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1"/>
              </w:rPr>
              <w:t>Provide for executives’ families through supplemental life insurance policies</w:t>
            </w:r>
          </w:p>
        </w:tc>
      </w:tr>
      <w:tr>
        <w:trPr>
          <w:trHeight w:val="208"/>
        </w:trPr>
        <w:tc>
          <w:tcPr>
            <w:tcW w:w="37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Executive perquisites</w:t>
            </w:r>
          </w:p>
        </w:tc>
        <w:tc>
          <w:tcPr>
            <w:tcW w:w="2060" w:type="dxa"/>
            <w:vAlign w:val="bottom"/>
            <w:tcBorders>
              <w:right w:val="single" w:sz="8" w:color="auto"/>
            </w:tcBorders>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w w:val="98"/>
              </w:rPr>
              <w:t>Offer industry-competitive discounts and complimentary privileges with</w:t>
            </w:r>
          </w:p>
        </w:tc>
      </w:tr>
      <w:tr>
        <w:trPr>
          <w:trHeight w:val="223"/>
        </w:trPr>
        <w:tc>
          <w:tcPr>
            <w:tcW w:w="374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respect to the Company’s resorts and aircraft as described below</w:t>
            </w:r>
          </w:p>
        </w:tc>
      </w:tr>
      <w:tr>
        <w:trPr>
          <w:trHeight w:val="357"/>
        </w:trPr>
        <w:tc>
          <w:tcPr>
            <w:tcW w:w="3740" w:type="dxa"/>
            <w:vAlign w:val="bottom"/>
          </w:tcPr>
          <w:p>
            <w:pPr>
              <w:spacing w:after="0"/>
              <w:rPr>
                <w:sz w:val="24"/>
                <w:szCs w:val="24"/>
                <w:color w:val="auto"/>
              </w:rPr>
            </w:pPr>
          </w:p>
        </w:tc>
        <w:tc>
          <w:tcPr>
            <w:tcW w:w="7700" w:type="dxa"/>
            <w:vAlign w:val="bottom"/>
            <w:gridSpan w:val="2"/>
          </w:tcPr>
          <w:p>
            <w:pPr>
              <w:jc w:val="right"/>
              <w:ind w:right="5552"/>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40"/>
          </w:cols>
          <w:pgMar w:left="240" w:top="459" w:right="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HOW WE MAKE PAY DECISIONS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describes the participants and process for setting executive compensation at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sets all elements of compensation for the Chief Executive Officer based upon consideration of his contribution to the development and operating performance of the Company. The Committee considers the recommendations of the Chief Executive Officer in establishing compensation for all other named executive officers. In addition, the Chief Executive Officer and Chief Operating Officer perform annual reviews of all of our senior management and make recommendations to the Committee. The Committee reviews the recommendations and makes final decisions regarding compensation for members of our most senior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has the authority to retain compensation consulting firms exclusively to assist it in the evaluation of executive officer and employee compensation and benefit programs. During 2012, the Committee retained Pay Governance LLC, a nationally-recognized independent compensation consulting firm, to assist in performing its duties. In 2012, Pay Governance LLC advised the Company with respect to compensation trends and best practices, competitive pay levels, equity grant practices and competitive levels, and proxy disclosure. While our advisor regularly consults with management in performing work requested by the Committee, Pay Governance LLC did not perform any separate additional services for management.</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Compensation Committee has determined that Pay Governance LLC is independent and there was no conflict of interest resulting from retaining Pay Governance LLC currently or during 2012. In reaching these conclusions, the Compensation Committee considered the factors set forth in Rule 10C-1 of the Exchange Act and applicable listing standards.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determining base salary, target annual incentives and guidelines for equity awards, the Committee uses the named executive officers’ current level of compensation as the starting point. Our compensation decisions consider:</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practices of our peers in order to obtain a general understanding of competitive compensation practices.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wealth accumulation is considered when making equity grants to increase the alignment between the interests of our senior executives and those of our stockholders.</w:t>
      </w:r>
    </w:p>
    <w:p>
      <w:pPr>
        <w:spacing w:after="0" w:line="132"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Compensation Committee reviews total compensation, along with the value from past equity awards, to assess the general competitiveness of our compensation. Annual cash incentive compensation awards and special cash bonuses are considered annually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use a specific formula or weighting for allocating among the principal elements of our total compensation program which include base salary, annual performance incentives, and long term equity awards. Instead we offer what the Compensation Committee views to be effective for attracting and retaining key leaders while motivating management to maximize long term value of our Company for our stockholders.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determining pay levels the Committee is mindful that companies in the gaming business typically have total compensation packages that may be higher than many of their non-gaming counterparts due to certain regulatory and other extraordinary demands. In addition, the Company’s rapid expansion in the last six years including operations in widely separated geographic locations have required that named executive officers provide extraordinary levels of financial, development and operating expertise. Thus, in fulfilling the Company’s goal of attracting and retaining high-quality and experienced executives, the Company may pay total compensation for its named executive officers that exceeds the peer group median.</w:t>
      </w:r>
    </w:p>
    <w:p>
      <w:pPr>
        <w:spacing w:after="0" w:line="11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Negotiated employment agreements establish the initial base salaries of our named executive officers. We review and adjust base salaries</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named executive officers periodically as deemed necessary due to competitive reasons or to reflect sustained performance, capabilities, experience and changes in responsibility or other extraordinary circumstances. On December 13, 2012, the Committee approved an increase in base salary for Ms. Sinatra from $650,000 to $800,000, effective November 1, 2012, in recognition of her exceptional contributions and in consideration of competitive pay practices. In addition, an amendment to Mr. Schorr’s employment agreement was executed on February 27, 2013, increasing his base salary to $2,100,000, effective October 31, 2012. The term of this agreement expires December 31, 2016. The base salaries of our other named executive officers were unchanged in 2012.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6420" w:type="dxa"/>
            <w:vAlign w:val="bottom"/>
          </w:tcPr>
          <w:p>
            <w:pPr>
              <w:spacing w:after="0"/>
              <w:rPr>
                <w:sz w:val="14"/>
                <w:szCs w:val="1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2012 Salary</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2011 Salary</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Increase</w:t>
            </w:r>
          </w:p>
        </w:tc>
        <w:tc>
          <w:tcPr>
            <w:tcW w:w="0" w:type="dxa"/>
            <w:vAlign w:val="bottom"/>
          </w:tcPr>
          <w:p>
            <w:pPr>
              <w:spacing w:after="0"/>
              <w:rPr>
                <w:sz w:val="1"/>
                <w:szCs w:val="1"/>
                <w:color w:val="auto"/>
              </w:rPr>
            </w:pPr>
          </w:p>
        </w:tc>
      </w:tr>
      <w:tr>
        <w:trPr>
          <w:trHeight w:val="20"/>
        </w:trPr>
        <w:tc>
          <w:tcPr>
            <w:tcW w:w="7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4,000,000</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4,000,000</w:t>
            </w:r>
          </w:p>
        </w:tc>
        <w:tc>
          <w:tcPr>
            <w:tcW w:w="6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1,000,000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2,000,000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1,500,000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Annual Incentives. </w:t>
      </w:r>
      <w:r>
        <w:rPr>
          <w:rFonts w:ascii="Arial" w:cs="Arial" w:eastAsia="Arial" w:hAnsi="Arial"/>
          <w:sz w:val="16"/>
          <w:szCs w:val="16"/>
          <w:color w:val="auto"/>
        </w:rPr>
        <w:t>Our named executive officers participate in the Wynn Resorts, Limited Annual Performance-Based Incentive Plan for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the following formula was used to calculate the maximum payment that may be awarded to a Named Executive Officer under the Incentive Plan.</w:t>
      </w:r>
    </w:p>
    <w:p>
      <w:pPr>
        <w:spacing w:after="0" w:line="269" w:lineRule="exact"/>
        <w:rPr>
          <w:sz w:val="20"/>
          <w:szCs w:val="20"/>
          <w:color w:val="auto"/>
        </w:rPr>
      </w:pPr>
    </w:p>
    <w:p>
      <w:pPr>
        <w:ind w:left="2820"/>
        <w:spacing w:after="0"/>
        <w:tabs>
          <w:tab w:leader="none" w:pos="4080" w:val="left"/>
          <w:tab w:leader="none" w:pos="4560" w:val="left"/>
          <w:tab w:leader="none" w:pos="5960" w:val="left"/>
          <w:tab w:leader="none" w:pos="6440" w:val="left"/>
        </w:tabs>
        <w:rPr>
          <w:sz w:val="20"/>
          <w:szCs w:val="20"/>
          <w:color w:val="auto"/>
        </w:rPr>
      </w:pP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b w:val="1"/>
          <w:bCs w:val="1"/>
          <w:color w:val="auto"/>
        </w:rPr>
        <w:t>Bonus Factor</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EBITDA Performance Level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2012 bonus opportunity of our named executive officers for EBITDA associated with partial and maximum bonus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Partial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Maximum</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45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Base</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Partial</w:t>
            </w: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53"/>
        </w:trPr>
        <w:tc>
          <w:tcPr>
            <w:tcW w:w="600" w:type="dxa"/>
            <w:vAlign w:val="bottom"/>
            <w:tcBorders>
              <w:bottom w:val="single" w:sz="8" w:color="auto"/>
            </w:tcBorders>
            <w:vMerge w:val="continue"/>
          </w:tcPr>
          <w:p>
            <w:pPr>
              <w:spacing w:after="0"/>
              <w:rPr>
                <w:sz w:val="12"/>
                <w:szCs w:val="12"/>
                <w:color w:val="auto"/>
              </w:rPr>
            </w:pPr>
          </w:p>
        </w:tc>
        <w:tc>
          <w:tcPr>
            <w:tcW w:w="4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Salary</w:t>
            </w: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Factor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rPr>
              <w:t>Bonus</w:t>
            </w: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Factor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4,000,000</w:t>
            </w:r>
          </w:p>
        </w:tc>
        <w:tc>
          <w:tcPr>
            <w:tcW w:w="60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125%</w:t>
            </w: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5,000,000</w:t>
            </w:r>
          </w:p>
        </w:tc>
        <w:tc>
          <w:tcPr>
            <w:tcW w:w="6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250%</w:t>
            </w:r>
          </w:p>
        </w:tc>
        <w:tc>
          <w:tcPr>
            <w:tcW w:w="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2,000,000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6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1,500,000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1,000,000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2012, the Committee selected adjusted property EBITDA on a consolidated basis as the appropriate performance measure for the Incentive Plan. Adjusted property EBITDA is a non-GAAP measure calculated at the segment level and reported in the footnotes to our audited consolidated financial statements. The adjustments used to calculate adjusted property EBITDA are the same as those set forth in our Annual Report on Form 10-K for the year ended December 31, 2012 and reflect the manner in which we discuss company performance with our stockholders. It is a reflection on the operating performance of the Company’s assets and directly influences return to stockholders. In addition, management and stockholders use adjusted property EBITDA to value the Company and its assets.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Given the challenging economic environment, the Committee established a target of $1.4 billion adjusted property EBITDA on a consolidated basis for maximum and a target of $1.1 billion for partial Incentive Plan funding. In the course of determining the EBITDA targets, the Committee concluded that the achievement of the performance targets were substantially uncertain. Actual 2012 performance of $1.6 billion exceeded the maximum target and all participants were awarded the maximum incentive allowed under the Incentive Plan. While the Committee retains the discretion to reduce actual bonus amounts paid based on a variety of factors, including corporate, property level and individual performance, as well as general macroeconomic conditions, it did not exercise that discretion with respect to 2012 owing to our outstanding Company EBITDA results.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Compensation Committee approved a $2 million discretionary bonus paid to Mr. Wynn outside the Incentive Plan, which was awarded by the Wynn Macau, Limited Board of Directors for his contribution to the extraordinary performance of Wynn Macau for 2012.</w:t>
      </w:r>
    </w:p>
    <w:p>
      <w:pPr>
        <w:spacing w:after="0" w:line="12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Long-term Incentives. </w:t>
      </w:r>
      <w:r>
        <w:rPr>
          <w:rFonts w:ascii="Arial" w:cs="Arial" w:eastAsia="Arial" w:hAnsi="Arial"/>
          <w:sz w:val="16"/>
          <w:szCs w:val="16"/>
          <w:color w:val="auto"/>
        </w:rPr>
        <w:t>The Company makes only periodic (not annual) equity grants to executives including our named executive officers, with the last</w:t>
      </w:r>
      <w:r>
        <w:rPr>
          <w:rFonts w:ascii="Arial" w:cs="Arial" w:eastAsia="Arial" w:hAnsi="Arial"/>
          <w:sz w:val="16"/>
          <w:szCs w:val="16"/>
          <w:b w:val="1"/>
          <w:bCs w:val="1"/>
          <w:color w:val="auto"/>
        </w:rPr>
        <w:t xml:space="preserve"> </w:t>
      </w:r>
      <w:r>
        <w:rPr>
          <w:rFonts w:ascii="Arial" w:cs="Arial" w:eastAsia="Arial" w:hAnsi="Arial"/>
          <w:sz w:val="16"/>
          <w:szCs w:val="16"/>
          <w:color w:val="auto"/>
        </w:rPr>
        <w:t>grants to our named executive officers in 2009. The Committee uses grants under the 2002 Stock Incentive Plan to attract qualified individuals to work for the Company and to align executives with the perspective of stockholders, and makes additional grants periodically to existing officers to reward extraordinary performance and encourage retention with the Company. Periodic grants to named executive officers are typically made with long term vesting dates of up to ten years to assure retention of talent deemed important to the Company’s continued prosperity. From time to time, the Company also has granted long-term cash retention awards to reward extraordinary performance and encourage retention. The underlying philosophy behind this approach is to retain senior management for the long term, thereby building a talent base to drive sustained Company performance and growth. As in 2011 and 2010, the Compensation Committee determined not to make any grants during 2012 to the named executive officers in light of significant grants awarded to the Company’s most senior officers in 2009.</w:t>
      </w:r>
    </w:p>
    <w:p>
      <w:pPr>
        <w:spacing w:after="0" w:line="11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the Company who owns 9.9% of the Company’s outstanding stock, has not participated in the Company’s equity incentive plans. This differs from the chief executive officer compensation at almost all of the companies included in the Peer Group.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Committee believes that it is appropriate to offer competitive total compensation packages to executive officers in order to attract and retain top executive talent. The compensation Peer Group allows the Committee to monitor the compensation practices of our primary competitors for executive talent. The Committee does not utilize this information to target any specific pay percentile for the Company’s executive officers. Instead, the Committee uses this information as a general overview of market practices and to ensure that it makes informed decisions on executive pay packages.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Given the limited pay changes that the Committee believed it should consider for named executive officers in 2012 (as indicated above), the Committee relied on Peer Group data obtained in 2011 for its pay decisions in 2012. The 2011 Peer Group companies compete in gaming and other related industries that the Committee believes reflects the competitive market for executive talent similar to that required by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Wynn Resorts 2011 Executive Compensation Peer Group</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Gaming &amp; Resorts</w:t>
            </w:r>
          </w:p>
        </w:tc>
        <w:tc>
          <w:tcPr>
            <w:tcW w:w="2080" w:type="dxa"/>
            <w:vAlign w:val="bottom"/>
          </w:tcPr>
          <w:p>
            <w:pPr>
              <w:ind w:left="200"/>
              <w:spacing w:after="0"/>
              <w:rPr>
                <w:sz w:val="20"/>
                <w:szCs w:val="20"/>
                <w:color w:val="auto"/>
              </w:rPr>
            </w:pPr>
            <w:r>
              <w:rPr>
                <w:rFonts w:ascii="Arial" w:cs="Arial" w:eastAsia="Arial" w:hAnsi="Arial"/>
                <w:sz w:val="14"/>
                <w:szCs w:val="14"/>
                <w:b w:val="1"/>
                <w:bCs w:val="1"/>
                <w:color w:val="auto"/>
                <w:w w:val="97"/>
              </w:rPr>
              <w:t>Travel, Hospitality &amp; Resorts</w:t>
            </w:r>
          </w:p>
        </w:tc>
        <w:tc>
          <w:tcPr>
            <w:tcW w:w="1360" w:type="dxa"/>
            <w:vAlign w:val="bottom"/>
          </w:tcPr>
          <w:p>
            <w:pPr>
              <w:spacing w:after="0"/>
              <w:rPr>
                <w:sz w:val="15"/>
                <w:szCs w:val="15"/>
                <w:color w:val="auto"/>
              </w:rPr>
            </w:pPr>
          </w:p>
        </w:tc>
        <w:tc>
          <w:tcPr>
            <w:tcW w:w="3940" w:type="dxa"/>
            <w:vAlign w:val="bottom"/>
          </w:tcPr>
          <w:p>
            <w:pPr>
              <w:ind w:left="1440"/>
              <w:spacing w:after="0"/>
              <w:rPr>
                <w:sz w:val="20"/>
                <w:szCs w:val="20"/>
                <w:color w:val="auto"/>
              </w:rPr>
            </w:pPr>
            <w:r>
              <w:rPr>
                <w:rFonts w:ascii="Arial" w:cs="Arial" w:eastAsia="Arial" w:hAnsi="Arial"/>
                <w:sz w:val="14"/>
                <w:szCs w:val="14"/>
                <w:b w:val="1"/>
                <w:bCs w:val="1"/>
                <w:color w:val="auto"/>
              </w:rPr>
              <w:t>Lifestyle Products</w:t>
            </w:r>
          </w:p>
        </w:tc>
      </w:tr>
      <w:tr>
        <w:trPr>
          <w:trHeight w:val="189"/>
        </w:trPr>
        <w:tc>
          <w:tcPr>
            <w:tcW w:w="1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75"/>
              </w:rPr>
              <w:t>Las Vegas Sands</w:t>
            </w:r>
          </w:p>
        </w:tc>
        <w:tc>
          <w:tcPr>
            <w:tcW w:w="2900" w:type="dxa"/>
            <w:vAlign w:val="bottom"/>
          </w:tcPr>
          <w:p>
            <w:pPr>
              <w:ind w:left="160"/>
              <w:spacing w:after="0" w:line="189" w:lineRule="exact"/>
              <w:rPr>
                <w:sz w:val="20"/>
                <w:szCs w:val="20"/>
                <w:color w:val="auto"/>
              </w:rPr>
            </w:pPr>
            <w:r>
              <w:rPr>
                <w:rFonts w:ascii="Arial" w:cs="Arial" w:eastAsia="Arial" w:hAnsi="Arial"/>
                <w:sz w:val="18"/>
                <w:szCs w:val="18"/>
                <w:b w:val="1"/>
                <w:bCs w:val="1"/>
                <w:color w:val="auto"/>
              </w:rPr>
              <w:t>Corp.</w:t>
            </w:r>
          </w:p>
        </w:tc>
        <w:tc>
          <w:tcPr>
            <w:tcW w:w="2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Carnival Corporation</w:t>
            </w:r>
          </w:p>
        </w:tc>
        <w:tc>
          <w:tcPr>
            <w:tcW w:w="1360" w:type="dxa"/>
            <w:vAlign w:val="bottom"/>
          </w:tcPr>
          <w:p>
            <w:pPr>
              <w:spacing w:after="0"/>
              <w:rPr>
                <w:sz w:val="16"/>
                <w:szCs w:val="16"/>
                <w:color w:val="auto"/>
              </w:rPr>
            </w:pPr>
          </w:p>
        </w:tc>
        <w:tc>
          <w:tcPr>
            <w:tcW w:w="3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The Estée Lauder Companies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MGM Resorts International</w:t>
            </w:r>
          </w:p>
        </w:tc>
        <w:tc>
          <w:tcPr>
            <w:tcW w:w="2080" w:type="dxa"/>
            <w:vAlign w:val="bottom"/>
          </w:tcPr>
          <w:p>
            <w:pPr>
              <w:spacing w:after="0"/>
              <w:rPr>
                <w:sz w:val="20"/>
                <w:szCs w:val="20"/>
                <w:color w:val="auto"/>
              </w:rPr>
            </w:pPr>
            <w:r>
              <w:rPr>
                <w:rFonts w:ascii="Arial" w:cs="Arial" w:eastAsia="Arial" w:hAnsi="Arial"/>
                <w:sz w:val="18"/>
                <w:szCs w:val="18"/>
                <w:b w:val="1"/>
                <w:bCs w:val="1"/>
                <w:color w:val="auto"/>
                <w:w w:val="96"/>
              </w:rPr>
              <w:t>Hyatt Hotels Corporation</w:t>
            </w:r>
          </w:p>
        </w:tc>
        <w:tc>
          <w:tcPr>
            <w:tcW w:w="5300" w:type="dxa"/>
            <w:vAlign w:val="bottom"/>
            <w:gridSpan w:val="2"/>
          </w:tcPr>
          <w:p>
            <w:pPr>
              <w:ind w:left="1360"/>
              <w:spacing w:after="0"/>
              <w:rPr>
                <w:sz w:val="20"/>
                <w:szCs w:val="20"/>
                <w:color w:val="auto"/>
              </w:rPr>
            </w:pPr>
            <w:r>
              <w:rPr>
                <w:rFonts w:ascii="Arial" w:cs="Arial" w:eastAsia="Arial" w:hAnsi="Arial"/>
                <w:sz w:val="18"/>
                <w:szCs w:val="18"/>
                <w:b w:val="1"/>
                <w:bCs w:val="1"/>
                <w:color w:val="auto"/>
              </w:rPr>
              <w:t>Ralph Lauren Corporation</w:t>
            </w: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w w:val="93"/>
              </w:rPr>
              <w:t>Marriott International, Inc.</w:t>
            </w:r>
          </w:p>
        </w:tc>
        <w:tc>
          <w:tcPr>
            <w:tcW w:w="5300" w:type="dxa"/>
            <w:vAlign w:val="bottom"/>
            <w:gridSpan w:val="2"/>
          </w:tcPr>
          <w:p>
            <w:pPr>
              <w:ind w:left="1360"/>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w w:val="89"/>
              </w:rPr>
              <w:t>priceline.com Incorporated</w:t>
            </w:r>
          </w:p>
        </w:tc>
        <w:tc>
          <w:tcPr>
            <w:tcW w:w="5300" w:type="dxa"/>
            <w:vAlign w:val="bottom"/>
            <w:gridSpan w:val="2"/>
          </w:tcPr>
          <w:p>
            <w:pPr>
              <w:ind w:left="1360"/>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1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w w:val="88"/>
              </w:rPr>
              <w:t>Starwood Hotels &amp; Resorts</w:t>
            </w:r>
          </w:p>
        </w:tc>
        <w:tc>
          <w:tcPr>
            <w:tcW w:w="1360" w:type="dxa"/>
            <w:vAlign w:val="bottom"/>
          </w:tcPr>
          <w:p>
            <w:pPr>
              <w:spacing w:after="0"/>
              <w:rPr>
                <w:sz w:val="19"/>
                <w:szCs w:val="19"/>
                <w:color w:val="auto"/>
              </w:rPr>
            </w:pPr>
          </w:p>
        </w:tc>
        <w:tc>
          <w:tcPr>
            <w:tcW w:w="3940" w:type="dxa"/>
            <w:vAlign w:val="bottom"/>
          </w:tcPr>
          <w:p>
            <w:pPr>
              <w:spacing w:after="0"/>
              <w:rPr>
                <w:sz w:val="19"/>
                <w:szCs w:val="19"/>
                <w:color w:val="auto"/>
              </w:rPr>
            </w:pPr>
          </w:p>
        </w:tc>
      </w:tr>
    </w:tbl>
    <w:p>
      <w:pPr>
        <w:spacing w:after="0" w:line="15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11 companies in the Peer Group generally had 2012 revenue, market capitalization and total enterprise value (as of December 31, 2012) in a relevant range around those of the Company as set forth below (amounts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Enterprise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Company</w:t>
            </w:r>
          </w:p>
        </w:tc>
        <w:tc>
          <w:tcPr>
            <w:tcW w:w="6120" w:type="dxa"/>
            <w:vAlign w:val="bottom"/>
          </w:tcPr>
          <w:p>
            <w:pPr>
              <w:spacing w:after="0"/>
              <w:rPr>
                <w:sz w:val="15"/>
                <w:szCs w:val="15"/>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Business Segment</w:t>
            </w:r>
          </w:p>
        </w:tc>
        <w:tc>
          <w:tcPr>
            <w:tcW w:w="860" w:type="dxa"/>
            <w:vAlign w:val="bottom"/>
          </w:tcPr>
          <w:p>
            <w:pPr>
              <w:spacing w:after="0"/>
              <w:rPr>
                <w:sz w:val="15"/>
                <w:szCs w:val="15"/>
                <w:color w:val="auto"/>
              </w:rPr>
            </w:pPr>
          </w:p>
        </w:tc>
      </w:tr>
      <w:tr>
        <w:trPr>
          <w:trHeight w:val="203"/>
        </w:trPr>
        <w:tc>
          <w:tcPr>
            <w:tcW w:w="940" w:type="dxa"/>
            <w:vAlign w:val="bottom"/>
            <w:tcBorders>
              <w:top w:val="single" w:sz="8" w:color="CCEEFF"/>
            </w:tcBorders>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$39,879</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38,397</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13,663</w:t>
            </w:r>
          </w:p>
        </w:tc>
        <w:tc>
          <w:tcPr>
            <w:tcW w:w="300" w:type="dxa"/>
            <w:vAlign w:val="bottom"/>
            <w:tcBorders>
              <w:top w:val="single" w:sz="8" w:color="CCEEFF"/>
            </w:tcBorders>
            <w:shd w:val="clear" w:color="auto" w:fill="CCEEFF"/>
          </w:tcPr>
          <w:p>
            <w:pPr>
              <w:spacing w:after="0"/>
              <w:rPr>
                <w:sz w:val="17"/>
                <w:szCs w:val="17"/>
                <w:color w:val="auto"/>
              </w:rPr>
            </w:pPr>
          </w:p>
        </w:tc>
        <w:tc>
          <w:tcPr>
            <w:tcW w:w="6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Starbucks Corporation</w:t>
            </w:r>
          </w:p>
        </w:tc>
        <w:tc>
          <w:tcPr>
            <w:tcW w:w="1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$33,789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40,996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11,131</w:t>
            </w:r>
          </w:p>
        </w:tc>
        <w:tc>
          <w:tcPr>
            <w:tcW w:w="6720" w:type="dxa"/>
            <w:vAlign w:val="bottom"/>
            <w:gridSpan w:val="2"/>
          </w:tcPr>
          <w:p>
            <w:pPr>
              <w:spacing w:after="0"/>
              <w:rPr>
                <w:sz w:val="20"/>
                <w:szCs w:val="20"/>
                <w:color w:val="auto"/>
              </w:rPr>
            </w:pPr>
            <w:r>
              <w:rPr>
                <w:rFonts w:ascii="Arial" w:cs="Arial" w:eastAsia="Arial" w:hAnsi="Arial"/>
                <w:sz w:val="18"/>
                <w:szCs w:val="18"/>
                <w:color w:val="auto"/>
              </w:rPr>
              <w:t>Las Vegas Sands Corp.</w:t>
            </w:r>
          </w:p>
        </w:tc>
        <w:tc>
          <w:tcPr>
            <w:tcW w:w="1940" w:type="dxa"/>
            <w:vAlign w:val="bottom"/>
            <w:gridSpan w:val="2"/>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36,993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15,382</w:t>
            </w:r>
          </w:p>
        </w:tc>
        <w:tc>
          <w:tcPr>
            <w:tcW w:w="30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Carnival Corporation</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$30,936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27,853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5,261</w:t>
            </w:r>
          </w:p>
        </w:tc>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priceline.com Incorporated</w:t>
            </w:r>
          </w:p>
        </w:tc>
        <w:tc>
          <w:tcPr>
            <w:tcW w:w="1940" w:type="dxa"/>
            <w:vAlign w:val="bottom"/>
            <w:gridSpan w:val="2"/>
          </w:tcPr>
          <w:p>
            <w:pPr>
              <w:spacing w:after="0"/>
              <w:rPr>
                <w:sz w:val="20"/>
                <w:szCs w:val="20"/>
                <w:color w:val="auto"/>
              </w:rPr>
            </w:pPr>
            <w:r>
              <w:rPr>
                <w:rFonts w:ascii="Arial" w:cs="Arial" w:eastAsia="Arial" w:hAnsi="Arial"/>
                <w:sz w:val="18"/>
                <w:szCs w:val="18"/>
                <w:color w:val="auto"/>
              </w:rPr>
              <w:t>Travel</w:t>
            </w:r>
          </w:p>
        </w:tc>
      </w:tr>
      <w:tr>
        <w:trPr>
          <w:trHeight w:val="216"/>
        </w:trPr>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$23,178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23,494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30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Estée Lauder Companies Inc.</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12,968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6,924</w:t>
            </w:r>
          </w:p>
        </w:tc>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Ralph Lauren Corporation</w:t>
            </w:r>
          </w:p>
        </w:tc>
        <w:tc>
          <w:tcPr>
            <w:tcW w:w="1940" w:type="dxa"/>
            <w:vAlign w:val="bottom"/>
            <w:gridSpan w:val="2"/>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$11,760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14,164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300" w:type="dxa"/>
            <w:vAlign w:val="bottom"/>
            <w:tcBorders>
              <w:bottom w:val="single" w:sz="8" w:color="auto"/>
            </w:tcBorders>
            <w:shd w:val="clear" w:color="auto" w:fill="CCEEFF"/>
          </w:tcPr>
          <w:p>
            <w:pPr>
              <w:spacing w:after="0"/>
              <w:rPr>
                <w:sz w:val="18"/>
                <w:szCs w:val="18"/>
                <w:color w:val="auto"/>
              </w:rPr>
            </w:pPr>
          </w:p>
        </w:tc>
        <w:tc>
          <w:tcPr>
            <w:tcW w:w="6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Marriott International, Inc.</w:t>
            </w:r>
          </w:p>
        </w:tc>
        <w:tc>
          <w:tcPr>
            <w:tcW w:w="1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0"/>
        </w:trPr>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$11,309</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7"/>
              </w:rPr>
              <w:t>14,870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5,154</w:t>
            </w:r>
          </w:p>
        </w:tc>
        <w:tc>
          <w:tcPr>
            <w:tcW w:w="30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Wynn Resorts Ltd.</w:t>
            </w: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Gaming &amp; Resorts</w:t>
            </w:r>
          </w:p>
        </w:tc>
      </w:tr>
      <w:tr>
        <w:trPr>
          <w:trHeight w:val="210"/>
        </w:trPr>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12,659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30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Starwood Hotels &amp; Resorts</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$7,269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7,914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3,746</w:t>
            </w:r>
          </w:p>
        </w:tc>
        <w:tc>
          <w:tcPr>
            <w:tcW w:w="30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Tiffany &amp; Co.</w:t>
            </w:r>
          </w:p>
        </w:tc>
        <w:tc>
          <w:tcPr>
            <w:tcW w:w="1940" w:type="dxa"/>
            <w:vAlign w:val="bottom"/>
            <w:gridSpan w:val="2"/>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30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Hyatt Hotels Corporation</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7"/>
              </w:rPr>
              <w:t>20,669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30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MGM Resorts International</w:t>
            </w: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Gaming &amp; Resorts</w:t>
            </w:r>
          </w:p>
        </w:tc>
      </w:tr>
      <w:tr>
        <w:trPr>
          <w:trHeight w:val="210"/>
        </w:trPr>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i w:val="1"/>
                <w:iCs w:val="1"/>
                <w:color w:val="auto"/>
              </w:rPr>
              <w:t>36%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i w:val="1"/>
                <w:iCs w:val="1"/>
                <w:color w:val="auto"/>
              </w:rPr>
              <w:t>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27%</w:t>
            </w:r>
          </w:p>
        </w:tc>
        <w:tc>
          <w:tcPr>
            <w:tcW w:w="30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Data source: Standard &amp; Poors Capital IQ. Enterprise Value is based on information available at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implemented to maximize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typically enters into employment agreements with its named executive officers to advance its objectives of providing for a long-term commitment by and relationship with talented and experienced executives. Consistent with the extended vesting terms in equity awards, the terms and conditions of these agreements are described in the chart following the 2012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an excise tax gross-up. The Committee has determined that these arrangements are appropriate compensation to its senior management and are necessary to retain talent in a highly competitive industry.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certain of its named executive officers with executive benefits. The primary executive benefits include certain health insurance coverage, life insurance premiums, discounts and complimentary privileges with respect to the Company’s resorts which are described in the footnotes to the “2012 Summary Compensation Table.”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Messrs. Wynn and Schorr have access to the 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cars and a driver and security for his business and personal use. Consistent with competitive practice in Macau, Ms. Chen receives a car and driver, certain housing and living expenses and assistance with tax preparation.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Wynn is employed by the Company pursuant to an employment agreement dated October 4, 2002, which was last amended on February 24,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solely to reflect the change in his salary and has a term expiring in 2020. Mr. Wynn, a holder of approximately 9.9% of our common stock, has not received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awards as part of his compensation as Chief Executive Officer of the Company. Effective February 24, 2011, Mr. Wynn receives a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$4,000,000 per year, and participates in the Incentive Plan. Mr. Wynn is provided with Company paid life insurance and disability policies. He also receives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executive benefits described above.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of Directors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 Edward Virtue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2012,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Non-Equity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1"/>
                <w:szCs w:val="11"/>
                <w:color w:val="auto"/>
              </w:rPr>
            </w:pPr>
          </w:p>
        </w:tc>
        <w:tc>
          <w:tcPr>
            <w:tcW w:w="102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Bonus</w:t>
            </w:r>
          </w:p>
        </w:tc>
        <w:tc>
          <w:tcPr>
            <w:tcW w:w="4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2"/>
              </w:rPr>
              <w:t>Awards</w:t>
            </w:r>
          </w:p>
        </w:tc>
        <w:tc>
          <w:tcPr>
            <w:tcW w:w="320" w:type="dxa"/>
            <w:vAlign w:val="bottom"/>
          </w:tcPr>
          <w:p>
            <w:pPr>
              <w:spacing w:after="0"/>
              <w:rPr>
                <w:sz w:val="11"/>
                <w:szCs w:val="11"/>
                <w:color w:val="auto"/>
              </w:rPr>
            </w:pPr>
          </w:p>
        </w:tc>
        <w:tc>
          <w:tcPr>
            <w:tcW w:w="12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2"/>
                <w:szCs w:val="12"/>
                <w:color w:val="auto"/>
              </w:rPr>
            </w:pPr>
          </w:p>
        </w:tc>
        <w:tc>
          <w:tcPr>
            <w:tcW w:w="42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1"/>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2012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4,000,000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2,000,000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10,000,000</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$ 1,743,434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17,743,434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shd w:val="clear" w:color="auto" w:fill="CCEEFF"/>
              </w:rPr>
              <w:t>2011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3,878,846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shd w:val="clear" w:color="auto" w:fill="CCEEFF"/>
              </w:rPr>
              <w:t>2,000,000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shd w:val="clear" w:color="auto" w:fill="CCEEFF"/>
              </w:rPr>
              <w:t>9,062,500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shd w:val="clear" w:color="auto" w:fill="CCEEFF"/>
              </w:rPr>
              <w:t>$ 1,533,361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shd w:val="clear" w:color="auto" w:fill="CCEEFF"/>
              </w:rPr>
              <w:t>16,474,707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3,218,750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6,906,250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$ 1,540,779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14,615,779</w:t>
            </w: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481,296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3,481,296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390,756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3,390,756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and Treasurer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1,038,423</w:t>
            </w:r>
          </w:p>
        </w:tc>
        <w:tc>
          <w:tcPr>
            <w:tcW w:w="3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510,866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3,549,289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$ 2,868,489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8,868,489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$ 2,117,573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8,117,573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1,838,462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3,400,000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$ 2,307,923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8,146,385</w:t>
            </w: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32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$ 1,173,755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5,673,755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President of Wynn</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3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$ 1,352,926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5,852,926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International Marketing</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1,417,308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$ 1,788,762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6,206,070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2,127,440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executives other than Mr. Wynn, amounts reported as “All Other Compensation” for 2012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2012 are included in “All Other Compensation” for Mr. Wynn:</w:t>
      </w:r>
    </w:p>
    <w:p>
      <w:pPr>
        <w:spacing w:after="0" w:line="15" w:lineRule="exact"/>
        <w:rPr>
          <w:sz w:val="20"/>
          <w:szCs w:val="20"/>
          <w:color w:val="auto"/>
        </w:rPr>
      </w:pPr>
    </w:p>
    <w:p>
      <w:pPr>
        <w:ind w:left="900" w:right="12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personal use of Company aircraft of $1,188,901 (Mr. Wynn receives no tax-gross ups relating to the value of aircraft usage that is imputed to him as compensation.);</w:t>
      </w:r>
    </w:p>
    <w:p>
      <w:pPr>
        <w:ind w:left="900" w:right="28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2012, under the Amended and Restated Agreement of Lease between Mr. Wynn and Wynn Las Vegas, LLC dated April 9, 2012, in the amount of $451,574;</w:t>
      </w: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insurance premiums and benefits including executive life and medical insurance of $18,125;</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$61,777; and</w:t>
      </w:r>
    </w:p>
    <w:p>
      <w:pPr>
        <w:spacing w:after="0" w:line="43" w:lineRule="exact"/>
        <w:rPr>
          <w:rFonts w:ascii="Arial" w:cs="Arial" w:eastAsia="Arial" w:hAnsi="Arial"/>
          <w:sz w:val="15"/>
          <w:szCs w:val="15"/>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merchandise discounts of $23,057.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2012 are included in “All Other Compensation” for Mr. Maddox:</w:t>
      </w:r>
    </w:p>
    <w:p>
      <w:pPr>
        <w:spacing w:after="0" w:line="1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insurance premiums and benefits including executive life and medical insurance of $1,296;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$480,000.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2012 are included in “All Other Compensation” for Mr. Schorr:</w:t>
      </w:r>
    </w:p>
    <w:p>
      <w:pPr>
        <w:spacing w:after="0" w:line="15" w:lineRule="exact"/>
        <w:rPr>
          <w:sz w:val="20"/>
          <w:szCs w:val="20"/>
          <w:color w:val="auto"/>
        </w:rPr>
      </w:pPr>
    </w:p>
    <w:p>
      <w:pPr>
        <w:ind w:left="900" w:right="200" w:hanging="446"/>
        <w:spacing w:after="0" w:line="25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personal use of Company aircraft of $386,391 (Mr. Schorr receives no tax-gross ups relating to the value of aircraft usage that is imputed to him as compensation.);</w:t>
      </w: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premiums and benefits including executive life and medical insurance of $17,478;</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merchandise discounts of $89,620;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$2,375,000 of accrued cash dividends related to unvested restricted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2012 are included in “All Other Compensation” for Ms. Chen:</w:t>
      </w:r>
    </w:p>
    <w:p>
      <w:pPr>
        <w:spacing w:after="0" w:line="1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housing and other living expenses in Macau of $121,955;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premiums and benefits including executive life and medical insurance of $1,800; and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$1,050,000.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2012 are included in “All Other Compensation” for Ms. Sinatra:</w:t>
      </w:r>
    </w:p>
    <w:p>
      <w:pPr>
        <w:spacing w:after="0" w:line="15"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premiums and benefits including executive life and medical insurance of $3,852;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$237,500.</w:t>
      </w:r>
    </w:p>
    <w:p>
      <w:pPr>
        <w:spacing w:after="0" w:line="16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For amounts shown as personal use of Wynn Resorts’ aircraft, incremental aircraft expenses were calculated by dividing the 2012 total direct (variable) flight expenses (consisting primarily of fuel, maintenance and landing fees) by the total hours the aircraft was operated during the year. The executives’ hourly usage was multiplied by this annual hourly rate.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each of the named executive officers received base salary in accordance with the terms of his or her employment agreement, as approved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6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12/31/16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60"/>
              <w:spacing w:after="0"/>
              <w:rPr>
                <w:sz w:val="20"/>
                <w:szCs w:val="20"/>
                <w:color w:val="auto"/>
              </w:rPr>
            </w:pPr>
            <w:r>
              <w:rPr>
                <w:rFonts w:ascii="Arial" w:cs="Arial" w:eastAsia="Arial" w:hAnsi="Arial"/>
                <w:sz w:val="18"/>
                <w:szCs w:val="18"/>
                <w:color w:val="auto"/>
              </w:rPr>
              <w:t>2/24/20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560" w:type="dxa"/>
            <w:vAlign w:val="bottom"/>
          </w:tcPr>
          <w:p>
            <w:pPr>
              <w:spacing w:after="0"/>
              <w:rPr>
                <w:sz w:val="19"/>
                <w:szCs w:val="19"/>
                <w:color w:val="auto"/>
              </w:rPr>
            </w:pPr>
          </w:p>
        </w:tc>
        <w:tc>
          <w:tcPr>
            <w:tcW w:w="7440" w:type="dxa"/>
            <w:vAlign w:val="bottom"/>
            <w:gridSpan w:val="2"/>
          </w:tcPr>
          <w:p>
            <w:pPr>
              <w:ind w:left="1700"/>
              <w:spacing w:after="0"/>
              <w:rPr>
                <w:sz w:val="20"/>
                <w:szCs w:val="20"/>
                <w:color w:val="auto"/>
              </w:rPr>
            </w:pPr>
            <w:r>
              <w:rPr>
                <w:rFonts w:ascii="Arial" w:cs="Arial" w:eastAsia="Arial" w:hAnsi="Arial"/>
                <w:sz w:val="18"/>
                <w:szCs w:val="18"/>
                <w:b w:val="1"/>
                <w:bCs w:val="1"/>
                <w:color w:val="auto"/>
              </w:rPr>
              <w:t>2012 GRANTS OF PLAN-BASED AWARDS TABLE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1"/>
              </w:rPr>
              <w:t>Estimated Future Payouts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Under Non-Equity</w:t>
            </w: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Incentive Plan Awards</w:t>
            </w:r>
          </w:p>
        </w:tc>
        <w:tc>
          <w:tcPr>
            <w:tcW w:w="0" w:type="dxa"/>
            <w:vAlign w:val="bottom"/>
          </w:tcPr>
          <w:p>
            <w:pPr>
              <w:spacing w:after="0"/>
              <w:rPr>
                <w:sz w:val="1"/>
                <w:szCs w:val="1"/>
                <w:color w:val="auto"/>
              </w:rPr>
            </w:pPr>
          </w:p>
        </w:tc>
      </w:tr>
      <w:tr>
        <w:trPr>
          <w:trHeight w:val="12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91"/>
              </w:rPr>
              <w:t>Target/Maximum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7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Maddox</w:t>
            </w:r>
          </w:p>
        </w:tc>
        <w:tc>
          <w:tcPr>
            <w:tcW w:w="7440" w:type="dxa"/>
            <w:vAlign w:val="bottom"/>
            <w:gridSpan w:val="2"/>
          </w:tcPr>
          <w:p>
            <w:pPr>
              <w:ind w:left="734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440" w:type="dxa"/>
            <w:vAlign w:val="bottom"/>
            <w:gridSpan w:val="2"/>
            <w:shd w:val="clear" w:color="auto" w:fill="CCEEFF"/>
          </w:tcPr>
          <w:p>
            <w:pPr>
              <w:ind w:left="734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Chen</w:t>
            </w:r>
          </w:p>
        </w:tc>
        <w:tc>
          <w:tcPr>
            <w:tcW w:w="7440" w:type="dxa"/>
            <w:vAlign w:val="bottom"/>
            <w:gridSpan w:val="2"/>
          </w:tcPr>
          <w:p>
            <w:pPr>
              <w:ind w:left="734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440" w:type="dxa"/>
            <w:vAlign w:val="bottom"/>
            <w:gridSpan w:val="2"/>
            <w:shd w:val="clear" w:color="auto" w:fill="CCEEFF"/>
          </w:tcPr>
          <w:p>
            <w:pPr>
              <w:ind w:left="734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Plan-Based Awards Table</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Company’s Incentive Plan rewards management for creation of superior return to stockholders, measured by the operating performance of our resorts. The amounts shown in the table above reflect possible payments based upon salaries in effect during the first quarter of 2012, when the performance criteria were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established. Actual payouts were based upon achievement of the 2012 performance criteria of adjusted property EBITDA at the Company’s Wynn Las Vegas and Wynn Macau resorts which resulted in the payment of maximum bonuses under the Incentive Plan to all named executive officers.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4"/>
          </w:tcPr>
          <w:p>
            <w:pPr>
              <w:ind w:left="46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5"/>
          </w:tcPr>
          <w:p>
            <w:pPr>
              <w:ind w:left="6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Number of</w:t>
            </w:r>
          </w:p>
        </w:tc>
        <w:tc>
          <w:tcPr>
            <w:tcW w:w="12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1100" w:type="dxa"/>
            <w:vAlign w:val="bottom"/>
            <w:gridSpan w:val="2"/>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11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2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Date</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100" w:type="dxa"/>
            <w:vAlign w:val="bottom"/>
            <w:gridSpan w:val="2"/>
          </w:tcPr>
          <w:p>
            <w:pPr>
              <w:jc w:val="center"/>
              <w:ind w:left="139"/>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93"/>
              </w:rPr>
              <w:t>N/A</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N/A</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left="503"/>
              <w:spacing w:after="0" w:line="203" w:lineRule="exact"/>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175,000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$107.95</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92"/>
              </w:rPr>
              <w:t>$ 5,624,500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$ 47.12</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6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350,000</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$ 47.12</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$28,122,500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$107.95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83"/>
              </w:rPr>
              <w:t>$ 11,249,000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210,000</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$ 47.12</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center"/>
              <w:ind w:left="36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$107.95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05/06/18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2"/>
              </w:rPr>
              <w:t>$ 2,812,250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175,000</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$ 47.12</w:t>
            </w:r>
          </w:p>
        </w:tc>
        <w:tc>
          <w:tcPr>
            <w:tcW w:w="4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05/06/19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center"/>
              <w:ind w:left="36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30,000 stock options will vest on May 6, 2013 and each anniversary thereafter until the 210,000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50,000 stock options will vest on May 6, 2013 and each anniversary thereafter until the 350,000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50,000 shares of restricted stock will vest on February 22, 2013, 2014 and 2015, with the final 100,000 vesting on December 5,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30,000 stock options will vest on May 6, 2013 and each anniversary thereafter until the 210,000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100,000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25,000 stock options will vest on May 6, 2013 and each anniversary thereafter until the 175,000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the Company’s stock at year-end, which was $112.49 per share.</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the Company on the vesting date, except as discussed below under “Potential Payments Upon Termination or Change in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OPTION EXERCISES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380" w:type="dxa"/>
            <w:vAlign w:val="bottom"/>
            <w:gridSpan w:val="5"/>
          </w:tcPr>
          <w:p>
            <w:pPr>
              <w:ind w:left="540"/>
              <w:spacing w:after="0"/>
              <w:rPr>
                <w:sz w:val="20"/>
                <w:szCs w:val="20"/>
                <w:color w:val="auto"/>
              </w:rPr>
            </w:pPr>
            <w:r>
              <w:rPr>
                <w:rFonts w:ascii="Arial" w:cs="Arial" w:eastAsia="Arial" w:hAnsi="Arial"/>
                <w:sz w:val="14"/>
                <w:szCs w:val="14"/>
                <w:b w:val="1"/>
                <w:bCs w:val="1"/>
                <w:color w:val="auto"/>
              </w:rPr>
              <w:t>Option Awards</w:t>
            </w:r>
          </w:p>
        </w:tc>
        <w:tc>
          <w:tcPr>
            <w:tcW w:w="200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704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70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r>
      <w:tr>
        <w:trPr>
          <w:trHeight w:val="149"/>
        </w:trPr>
        <w:tc>
          <w:tcPr>
            <w:tcW w:w="70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Vesting</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r>
      <w:tr>
        <w:trPr>
          <w:trHeight w:val="161"/>
        </w:trPr>
        <w:tc>
          <w:tcPr>
            <w:tcW w:w="70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3"/>
              </w:rPr>
              <w:t>N/A</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3"/>
              </w:rPr>
              <w:t>N/A</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Matt Maddox</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1000" w:type="dxa"/>
            <w:vAlign w:val="bottom"/>
            <w:gridSpan w:val="2"/>
          </w:tcPr>
          <w:p>
            <w:pPr>
              <w:jc w:val="center"/>
              <w:ind w:left="136"/>
              <w:spacing w:after="0"/>
              <w:rPr>
                <w:sz w:val="20"/>
                <w:szCs w:val="20"/>
                <w:color w:val="auto"/>
              </w:rPr>
            </w:pPr>
            <w:r>
              <w:rPr>
                <w:rFonts w:ascii="Arial" w:cs="Arial" w:eastAsia="Arial" w:hAnsi="Arial"/>
                <w:sz w:val="18"/>
                <w:szCs w:val="18"/>
                <w:color w:val="auto"/>
                <w:w w:val="86"/>
              </w:rPr>
              <w:t>$1,932,000</w:t>
            </w:r>
          </w:p>
        </w:tc>
        <w:tc>
          <w:tcPr>
            <w:tcW w:w="4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1,251,900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6"/>
              </w:rPr>
              <w:t>$3,220,000</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Linda Chen</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1000" w:type="dxa"/>
            <w:vAlign w:val="bottom"/>
            <w:gridSpan w:val="2"/>
          </w:tcPr>
          <w:p>
            <w:pPr>
              <w:jc w:val="center"/>
              <w:ind w:left="136"/>
              <w:spacing w:after="0"/>
              <w:rPr>
                <w:sz w:val="20"/>
                <w:szCs w:val="20"/>
                <w:color w:val="auto"/>
              </w:rPr>
            </w:pPr>
            <w:r>
              <w:rPr>
                <w:rFonts w:ascii="Arial" w:cs="Arial" w:eastAsia="Arial" w:hAnsi="Arial"/>
                <w:sz w:val="18"/>
                <w:szCs w:val="18"/>
                <w:color w:val="auto"/>
                <w:w w:val="86"/>
              </w:rPr>
              <w:t>$1,932,000</w:t>
            </w:r>
          </w:p>
        </w:tc>
        <w:tc>
          <w:tcPr>
            <w:tcW w:w="4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9,375,000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Kim Sinatra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6"/>
              </w:rPr>
              <w:t>$1,610,000</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right="2600" w:firstLine="2608"/>
        <w:spacing w:after="0" w:line="394" w:lineRule="auto"/>
        <w:rPr>
          <w:sz w:val="20"/>
          <w:szCs w:val="20"/>
          <w:color w:val="auto"/>
        </w:rPr>
      </w:pPr>
      <w:r>
        <w:rPr>
          <w:rFonts w:ascii="Arial" w:cs="Arial" w:eastAsia="Arial" w:hAnsi="Arial"/>
          <w:sz w:val="18"/>
          <w:szCs w:val="18"/>
          <w:b w:val="1"/>
          <w:bCs w:val="1"/>
          <w:color w:val="auto"/>
        </w:rPr>
        <w:t>POTENTIAL PAYMENTS UPON TERMINATION OR CHANGE IN CONTROL Payments Made Upon Termination Due to Death, Complete Disability or License Revocation</w:t>
      </w:r>
    </w:p>
    <w:p>
      <w:pPr>
        <w:spacing w:after="0" w:line="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Cause is defined as (i) willful destruction of property of the Company or an affiliate having a material value to the Company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 paid pursuant to the employment agreement through the end of the term (and in Mr. Wynn’s and Ms. Chen’s case, this is limited to a maximum of 4 years); and (c) a tax gross up in certain circumstances. If Ms. Chen is terminated without cause, then as a condition to receiving such payments, Ms. Chen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provides that all non-compete provisions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employment agreement shall terminate after the period of time for which she receives such compensation. In addition, certain executives are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Certain employment agreements providing such health benefits also provide that, so long as the executive continues to receive health benefits, the executive may not (1) in the case of Ms. Sinatra and Mr. Schorr, engage or participate in any business that is in competition with the Company or its affiliates and (2) in the case of Mr. Schorr, solicit for employment any management level employee of the Company or its affiliates with or on behalf of any business that is in competition with the Company or its affiliates. In addition, some of the stock option agreements and restricted stock agreements held by the named executive officers provide that unvested options and shares will vest upon termination without cause.</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and Mr. Schorr,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1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2012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case of Mr. Wynn, the payment to be made upon death or disability is the salary and bonus that would be payable during the remaining term of the contract with a limit at 4 years and upon “Termination Without Cause at Employer’s Election During the Term” and “Termination by Employee for Good Reason After Change in Control” is three times the salary and bonus that would be payable during the remaining term of the contract with a limit of 4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644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 Upon</w:t>
            </w:r>
          </w:p>
        </w:tc>
        <w:tc>
          <w:tcPr>
            <w:tcW w:w="380" w:type="dxa"/>
            <w:vAlign w:val="bottom"/>
          </w:tcPr>
          <w:p>
            <w:pPr>
              <w:spacing w:after="0"/>
              <w:rPr>
                <w:sz w:val="12"/>
                <w:szCs w:val="12"/>
                <w:color w:val="auto"/>
              </w:rPr>
            </w:pPr>
          </w:p>
        </w:tc>
        <w:tc>
          <w:tcPr>
            <w:tcW w:w="192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64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Death or Complete</w:t>
            </w:r>
          </w:p>
        </w:tc>
        <w:tc>
          <w:tcPr>
            <w:tcW w:w="38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16,000,000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40,000,000</w:t>
            </w:r>
          </w:p>
        </w:tc>
        <w:tc>
          <w:tcPr>
            <w:tcW w:w="360" w:type="dxa"/>
            <w:vAlign w:val="bottom"/>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120,000,000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120,000,000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360" w:type="dxa"/>
            <w:vAlign w:val="bottom"/>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70,757,139</w:t>
            </w:r>
          </w:p>
        </w:tc>
        <w:tc>
          <w:tcPr>
            <w:tcW w:w="100" w:type="dxa"/>
            <w:vAlign w:val="bottom"/>
            <w:shd w:val="clear" w:color="auto" w:fill="CCEEFF"/>
          </w:tcPr>
          <w:p>
            <w:pPr>
              <w:spacing w:after="0"/>
              <w:rPr>
                <w:sz w:val="18"/>
                <w:szCs w:val="18"/>
                <w:color w:val="auto"/>
              </w:rPr>
            </w:pPr>
          </w:p>
        </w:tc>
      </w:tr>
      <w:tr>
        <w:trPr>
          <w:trHeight w:val="228"/>
        </w:trPr>
        <w:tc>
          <w:tcPr>
            <w:tcW w:w="644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281,085</w:t>
            </w:r>
          </w:p>
        </w:tc>
        <w:tc>
          <w:tcPr>
            <w:tcW w:w="36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281,085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410,170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44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1,000,000</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21,571,700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4,229,640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7,844,000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62,103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62,103</w:t>
            </w:r>
          </w:p>
        </w:tc>
        <w:tc>
          <w:tcPr>
            <w:tcW w:w="100" w:type="dxa"/>
            <w:vAlign w:val="bottom"/>
          </w:tcPr>
          <w:p>
            <w:pPr>
              <w:spacing w:after="0"/>
              <w:rPr>
                <w:sz w:val="19"/>
                <w:szCs w:val="19"/>
                <w:color w:val="auto"/>
              </w:rPr>
            </w:pPr>
          </w:p>
        </w:tc>
      </w:tr>
      <w:tr>
        <w:trPr>
          <w:trHeight w:val="350"/>
        </w:trPr>
        <w:tc>
          <w:tcPr>
            <w:tcW w:w="4400" w:type="dxa"/>
            <w:vAlign w:val="bottom"/>
          </w:tcPr>
          <w:p>
            <w:pPr>
              <w:spacing w:after="0"/>
              <w:rPr>
                <w:sz w:val="24"/>
                <w:szCs w:val="24"/>
                <w:color w:val="auto"/>
              </w:rPr>
            </w:pPr>
          </w:p>
        </w:tc>
        <w:tc>
          <w:tcPr>
            <w:tcW w:w="2720" w:type="dxa"/>
            <w:vAlign w:val="bottom"/>
            <w:gridSpan w:val="3"/>
          </w:tcPr>
          <w:p>
            <w:pPr>
              <w:ind w:left="1220"/>
              <w:spacing w:after="0"/>
              <w:rPr>
                <w:sz w:val="20"/>
                <w:szCs w:val="20"/>
                <w:color w:val="auto"/>
              </w:rPr>
            </w:pPr>
            <w:r>
              <w:rPr>
                <w:rFonts w:ascii="Arial" w:cs="Arial" w:eastAsia="Arial" w:hAnsi="Arial"/>
                <w:sz w:val="18"/>
                <w:szCs w:val="18"/>
                <w:color w:val="auto"/>
              </w:rPr>
              <w:t>39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40" w:hanging="452"/>
        <w:spacing w:after="0" w:line="25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2012, the value of such stock options upon exercise would have been $794,500. Upon termination without cause, 175,000 stock options would vest on a prorated basis based on the number of months since the grant date, so long as the employee’s employment agreement with the Company has not terminated or expired. Using the closing price on December 31, 2012, the value of such 94,363 stock options upon exercise would have been $428,408.</w:t>
      </w:r>
    </w:p>
    <w:p>
      <w:pPr>
        <w:ind w:left="460" w:right="2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210,000 would vest in full immediately. Using the closing price on December 31, 2012, the value of such stock options upon exercise would have been $13,727,700.</w:t>
      </w:r>
    </w:p>
    <w:p>
      <w:pPr>
        <w:ind w:left="460" w:right="2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the Company has not terminated or expired. Using the closing price on December 31, 2012, the value of such 50,000 shares would have been $5,624,500, plus accrued dividends of $1,425,000.</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2012, the value of such 26,961 shares would have been $3,032,843, plus accrued dividends of $768,389.</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5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8,400,000</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8,400,000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58,127,000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18,343,081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35,247,500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10,867,863</w:t>
            </w:r>
          </w:p>
        </w:tc>
        <w:tc>
          <w:tcPr>
            <w:tcW w:w="100" w:type="dxa"/>
            <w:vAlign w:val="bottom"/>
            <w:shd w:val="clear" w:color="auto" w:fill="CCEEFF"/>
          </w:tcPr>
          <w:p>
            <w:pPr>
              <w:spacing w:after="0"/>
              <w:rPr>
                <w:sz w:val="18"/>
                <w:szCs w:val="18"/>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281,085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410,170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350,000 would vest in full immediately. Using the closing price on December 31, 2012, the value of such stock options upon exercise would have been $22,879,500.</w:t>
      </w:r>
    </w:p>
    <w:p>
      <w:pPr>
        <w:ind w:left="460" w:right="1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2012, the value of such restricted stock grants upon vesting would have been $28,122,500, plus accrued dividends of $7,125,000.</w:t>
      </w:r>
    </w:p>
    <w:p>
      <w:pPr>
        <w:spacing w:after="0" w:line="1"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2012, the value of such 130,102 shares would have been $14,635,174, plus accrued dividends of $3,707,907.</w:t>
      </w:r>
    </w:p>
    <w:p>
      <w:pPr>
        <w:spacing w:after="0" w:line="2" w:lineRule="exact"/>
        <w:rPr>
          <w:rFonts w:ascii="Arial" w:cs="Arial" w:eastAsia="Arial" w:hAnsi="Arial"/>
          <w:sz w:val="16"/>
          <w:szCs w:val="16"/>
          <w:color w:val="auto"/>
        </w:rPr>
      </w:pPr>
    </w:p>
    <w:p>
      <w:pPr>
        <w:ind w:left="460" w:right="22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5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28,621,200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8,030,871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14,893,500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Macau Executive Residence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8,530,513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8,530,513</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1,416,667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1,416,667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8,602,503</w:t>
            </w:r>
          </w:p>
        </w:tc>
        <w:tc>
          <w:tcPr>
            <w:tcW w:w="100" w:type="dxa"/>
            <w:vAlign w:val="bottom"/>
            <w:shd w:val="clear" w:color="auto" w:fill="CCEEFF"/>
          </w:tcPr>
          <w:p>
            <w:pPr>
              <w:spacing w:after="0"/>
              <w:rPr>
                <w:sz w:val="18"/>
                <w:szCs w:val="18"/>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40" w:hanging="452"/>
        <w:spacing w:after="0" w:line="252"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2012, the value of such stock options upon exercise would have been $794,500. Upon termination without cause, 175,000 stock options would vest on a prorated basis based on the number of months since the grant date, so long as the employee’s employment agreement with the Company has not terminated or expired. Using the closing price on December 31, 2012, the value of such 94,363 stock options upon exercise would have been $428,408.</w:t>
      </w:r>
    </w:p>
    <w:p>
      <w:pPr>
        <w:ind w:left="460" w:right="2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210,000 would vest in full immediately. Using the closing price on December 31, 2012, the value of such stock options upon exercise would have been $13,727,700.</w:t>
      </w:r>
    </w:p>
    <w:p>
      <w:pPr>
        <w:ind w:left="460" w:right="70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2012, the value of such 100,000 shares would have been $11,249,000, plus accrued dividends of $2,850,000.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Upon termination without cause, 100,000 shares of restricted stock would vest on a prorated basis based on the number of months since the grant date. Using the closing price on December 31, 2012, the value of such 53,922 shares would have been $6,065,686, plus accrued dividends of $1,536,777.</w:t>
      </w:r>
    </w:p>
    <w:p>
      <w:pPr>
        <w:ind w:left="460" w:right="1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$1.00. The amount reflected in the table represents the fair market value of the residence at December 31, 2012.</w:t>
      </w:r>
    </w:p>
    <w:p>
      <w:pPr>
        <w:ind w:left="460" w:right="240" w:hanging="452"/>
        <w:spacing w:after="0" w:line="32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death, complete disability, change of control, or termination without cause, the retention award will vest on a prorated basis equal to the number of full calendar months elapsed between the grant date and the date of such termination of employment divided by 120.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Employee for Good</w:t>
            </w: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During the Term</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Change in Control</w:t>
            </w:r>
          </w:p>
        </w:tc>
      </w:tr>
      <w:tr>
        <w:trPr>
          <w:trHeight w:val="201"/>
        </w:trPr>
        <w:tc>
          <w:tcPr>
            <w:tcW w:w="440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1,066,667</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1,066,667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15,305,000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2,084,147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3,865,250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83,929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83,929</w:t>
            </w:r>
          </w:p>
        </w:tc>
        <w:tc>
          <w:tcPr>
            <w:tcW w:w="100" w:type="dxa"/>
            <w:vAlign w:val="bottom"/>
          </w:tcPr>
          <w:p>
            <w:pPr>
              <w:spacing w:after="0"/>
              <w:rPr>
                <w:sz w:val="19"/>
                <w:szCs w:val="19"/>
                <w:color w:val="auto"/>
              </w:rPr>
            </w:pPr>
          </w:p>
        </w:tc>
      </w:tr>
      <w:tr>
        <w:trPr>
          <w:trHeight w:val="350"/>
        </w:trPr>
        <w:tc>
          <w:tcPr>
            <w:tcW w:w="4400" w:type="dxa"/>
            <w:vAlign w:val="bottom"/>
          </w:tcPr>
          <w:p>
            <w:pPr>
              <w:spacing w:after="0"/>
              <w:rPr>
                <w:sz w:val="24"/>
                <w:szCs w:val="24"/>
                <w:color w:val="auto"/>
              </w:rPr>
            </w:pPr>
          </w:p>
        </w:tc>
        <w:tc>
          <w:tcPr>
            <w:tcW w:w="2720" w:type="dxa"/>
            <w:vAlign w:val="bottom"/>
            <w:gridSpan w:val="3"/>
          </w:tcPr>
          <w:p>
            <w:pPr>
              <w:ind w:left="122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2012, the value of such stock options upon exercise would have been $340,500. Upon termination without cause, 75,000 stock options would vest on a prorated basis based on the number of months since the grant date, so long as the employee’s employment agreement with the Company has not terminated or expired. Using the closing price on December 31, 2012, the value of such 40,441 stock options upon exercise would have been $183,602.</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175,000 would vest in full immediately. Using the closing price on December 31, 2012, the value of such stock options upon exercise would have been $11,439,750.</w:t>
      </w:r>
    </w:p>
    <w:p>
      <w:pPr>
        <w:ind w:left="460" w:right="4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2012, the value of such restricted stock grants upon vesting would have been $2,812,250, plus accrued dividends of $712,500.</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2012, the value of such 13,480 shares would have been $1,516,365 plus accrued dividends of $384,180.</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2012,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54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Price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54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Options,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Warrants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9"/>
        </w:trPr>
        <w:tc>
          <w:tcPr>
            <w:tcW w:w="7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Rights(1)</w:t>
            </w:r>
          </w:p>
        </w:tc>
        <w:tc>
          <w:tcPr>
            <w:tcW w:w="54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 Rights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column(a))</w:t>
            </w:r>
          </w:p>
        </w:tc>
        <w:tc>
          <w:tcPr>
            <w:tcW w:w="0" w:type="dxa"/>
            <w:vAlign w:val="bottom"/>
          </w:tcPr>
          <w:p>
            <w:pPr>
              <w:spacing w:after="0"/>
              <w:rPr>
                <w:sz w:val="1"/>
                <w:szCs w:val="1"/>
                <w:color w:val="auto"/>
              </w:rPr>
            </w:pPr>
          </w:p>
        </w:tc>
      </w:tr>
      <w:tr>
        <w:trPr>
          <w:trHeight w:val="148"/>
        </w:trPr>
        <w:tc>
          <w:tcPr>
            <w:tcW w:w="7940" w:type="dxa"/>
            <w:vAlign w:val="bottom"/>
            <w:gridSpan w:val="4"/>
            <w:vMerge w:val="continue"/>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(b)</w:t>
            </w: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2,397,820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66.89</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4,087,064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2,397,820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651,500 shares of unvested restricted stock awards outstanding under the stockholder-approved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Historically, the Audit Committee of the Board of Directors has reviewed for approval or ratification all transactions between the Company and any related person, regardless of amount. In February 2012, the Audit Committee updated its written policy.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w:t>
      </w:r>
    </w:p>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regulated transactions involving services as a common carrier or public utility at rates fixed in conformity with law or governmental authority; and</w:t>
      </w:r>
    </w:p>
    <w:p>
      <w:pPr>
        <w:spacing w:after="0" w:line="32" w:lineRule="exact"/>
        <w:rPr>
          <w:rFonts w:ascii="Arial" w:cs="Arial" w:eastAsia="Arial" w:hAnsi="Arial"/>
          <w:sz w:val="16"/>
          <w:szCs w:val="16"/>
          <w:color w:val="auto"/>
        </w:rPr>
      </w:pPr>
    </w:p>
    <w:p>
      <w:pPr>
        <w:ind w:right="80" w:firstLine="8"/>
        <w:spacing w:after="0" w:line="253" w:lineRule="auto"/>
        <w:tabs>
          <w:tab w:leader="none" w:pos="2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the Company, Ms. Elaine P. Wynn,</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 the Company, and Aruze, each of whom were then greater than 5% stockholders of the Company, entered into an Amended and Restated Stockholders Agreement (the “Amended and Restated Stockholders Agreement”) which amended and restated the Stockholders Agreement between Mr. Wynn and Aruze USA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Share Redemption. </w:t>
      </w:r>
      <w:r>
        <w:rPr>
          <w:rFonts w:ascii="Arial" w:cs="Arial" w:eastAsia="Arial" w:hAnsi="Arial"/>
          <w:sz w:val="18"/>
          <w:szCs w:val="18"/>
          <w:color w:val="auto"/>
        </w:rPr>
        <w:t>On February 18, 2012, the Company redeemed and cancelled the 24,549,222 shares of the Company’s common stock then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Aruze USA, Inc., pursuant to Article VII of the Company’s Articles of Incorporation. The share redemption was based upon the determination of the Company’s Board of Directors that Aruze USA, Inc., Universal Entertainment Corporation and Mr. Kazuo Okada are “Unsuitable Persons” under the provisions of the Company’s Articles of Incorporation. Following a finding of “unsuitability,” Wynn Resorts’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held by Aruze USA, Inc., under the terms of the Stockholder Agreement. Pursuant to the articles of incorporation, Wynn Resorts issued the Redemption Price Promissory Note (the “Note”) to Aruze USA, Inc. in redemption of the shares.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Note has a principal amount of $1,936,442,631.36, matures on February 18, 2022 and bears interest at the rate of 2% per annum, payable annually in arrears on each anniversary of the date of the Note.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March 18, 2013 there was an amount of $1,936,442,631.36 outstanding on the Note. Since February 18, 2012 the Company has delivered $38,728,852.63 in interest and no principal.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 The Company, the then members of the Board who authorized the share redemption and the Company’s General Counsel are currently involved in litigation with Mr. Okada, Aruze USA, Inc. and Universal Entertainment Corporation (the “Okada Parties”) relating to the redemption of the Former Aruze Shares as well as various related matters. In that litigation, the Okada Parties have sought, among other things, a declaration that the redemption of the Former Aruze Shares was void, an injunction restoring Aruze USA, Inc.’s share ownership, damages in an unspecified amount and rescission of the Stockholders Agreement. For a description of these proceedings see Item 3—“Legal Proceedings” in the Company’s Annual Report on Form 10-K for the year ended December 31, 2012.</w:t>
      </w:r>
    </w:p>
    <w:p>
      <w:pPr>
        <w:spacing w:after="0" w:line="12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Artwork. </w:t>
      </w:r>
      <w:r>
        <w:rPr>
          <w:rFonts w:ascii="Arial" w:cs="Arial" w:eastAsia="Arial" w:hAnsi="Arial"/>
          <w:sz w:val="18"/>
          <w:szCs w:val="18"/>
          <w:color w:val="auto"/>
        </w:rPr>
        <w:t>Since June 2006, Wynn Las Vegas, LLC has leased certain pieces of fine art from Mr. Wynn for an annual fee of one dollar ($1).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is responsible for all expenses incurred in exhibiting and safeguarding those works that it exhibits under the lease, including the cost of insurance (including terrorism insurance) and taxes.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Mr. Wynn currently leases a villa suite at Wynn Las Vegas. On March 18, 2010, Mr. Wynn and Wynn Las Vegas entered into an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Agreement of Lease (the “SW Lease”) for a villa suite to serve as Mr. Wynn’s personal residence. The SW Lease amends and restates the prior lease. The SW Lease was approved by the Audit Committee of the Board of Directors of the Company. The term of the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in the SW Lease, the rental value for Mr. Wynn’s villa will be re-determined every two years during the term of the SW Lease based upon an independent third-party appraisal. Certain services for, and maintenance of, the villa suite are included in the rental, as well as the use of minimal warehouse space at Wynn Las Vegas.</w:t>
      </w:r>
    </w:p>
    <w:p>
      <w:pPr>
        <w:spacing w:after="0" w:line="115"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Home Purchase. </w:t>
      </w:r>
      <w:r>
        <w:rPr>
          <w:rFonts w:ascii="Arial" w:cs="Arial" w:eastAsia="Arial" w:hAnsi="Arial"/>
          <w:sz w:val="16"/>
          <w:szCs w:val="16"/>
          <w:color w:val="auto"/>
        </w:rPr>
        <w:t>In May 2010, the Company entered into a new employment agreement with Linda Chen. The term of the new 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is through February 24, 2020. Under the terms of the employment agreement, the Company purchased a home in Macau for use by Ms. Chen and has made renovations to the home with total costs of $9.3 million through December 31, 2012. The employment agreement also provides Ms. Chen the use of an automobile in Macau. Upon the occurrence of certain events set forth below, Ms. Chen shall have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Company’s Chief Operating Officer, have time 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the Company, covering their personal use of Company-owned aircraft. These time share agreements require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2012, the following amounts were included in the executives’ taxable compensation pursuant to these time sharing arrangements: Mr. Wynn $465,795 and Mr. Schorr $172,235. In the event that direct costs in operating the aircraft exceed the amounts determined by using the SIFL method, such additional costs are paid for by the Company.</w:t>
      </w:r>
    </w:p>
    <w:p>
      <w:pPr>
        <w:spacing w:after="0" w:line="11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2012, Mr. Wynn and Ms. Elaine P. Wynn had net deposit balances with the Company of $644,040 and $71,164, respectively.</w:t>
      </w:r>
    </w:p>
    <w:p>
      <w:pPr>
        <w:spacing w:after="0" w:line="136"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Plane Option Agreement. </w:t>
      </w:r>
      <w:r>
        <w:rPr>
          <w:rFonts w:ascii="Arial" w:cs="Arial" w:eastAsia="Arial" w:hAnsi="Arial"/>
          <w:sz w:val="16"/>
          <w:szCs w:val="16"/>
          <w:color w:val="auto"/>
        </w:rPr>
        <w:t>On January 3, 2013, the Company and Mr. Wynn entered into an agreement pursuant to which Mr. Wynn agreed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a previously granted option to purchase an approximately two acre tract of land located on the Wynn Las Vegas golf course and in consideration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is October 24, 2020.</w:t>
      </w:r>
    </w:p>
    <w:p>
      <w:pPr>
        <w:spacing w:after="0" w:line="10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Inc.,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 In addition to the above, the Company (or its subsidiaries) employs (a) Eddie Tseng, the spouse of Ms. Chen, President of Wynn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as Senior Vice President of Customer Development of Worldwide Wynn, LLC; (b) Michael Pascal, the brother of Ms. Elaine P. Wynn, as a Senior Executive Host of Wynn Las Vegas, and (c) Michael Pascal’s wife, Mary Ann Pascal, as a Host at Wynn Las Vegas. The Audit Committee of the Company approved each such employment arrangement in advance and determined that compensation was at (or below) levels paid to non-family members. Total compensation paid to the above named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individuals for 2012 included the following amounts calculated in the same manner as the Summary Compensation Table values presented for named executive officers: (a) to Eddie Tseng, base salary and bonus of $542,000, and other compensation of $668, (b) to Michael Pascal, base salary and bonus of $133,327, and other compensation of $2,762, and (c) to Mary Ann Pascal, base salary and bonus of $254,615, and other compensation of $464. The Company anticipates that these individuals will continue to serve in their respective positions during 2013.</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2012, except that reports covering Mr. Virtue’s initial statement of beneficial ownership and his grant of stock options that were filed after the deadline.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2014 Annual Meeting, it must be submitted in writing and comply with the requirements of Rule 14a-8 of the Securities Exchange Act of 1934. Such proposals must be received by the Company at its offices at 3131 Las Vegas Boulevard South, Las Vegas, Nevada 89109 no later than November 28, 2013.</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later than the close of business on the 90th day nor earlier than the close of business on the 120th day prior to the first anniversary of the preceding year’s annual meeting, or,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 Accordingly, for our 2014 Annual Meeting, notice of a nomination or proposal must be delivered to us no later than February 6, 2014 and no earlier than January 7, 2014. Nominations and proposals also must satisfy other requirements set forth in the Bylaws. If a stockholder fails to comply with the forgoing notice provisions or with certain additional procedural requirements in the Bylaws or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or postponements. The Chairman of the Board may refuse to acknowledge the introduction of any stockholder proposal not made in compliance with the foregoing procedures.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 xml:space="preserve">Our financial statements for the year ended December 31, 2012, are included in our 2012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Company at Wynn Resorts, Limited, 3131 Las Vegas Boulevard South, Las Vegas, Nevada 89109, Attn: Investor Relations, and we will send a copy to you without charge.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Investor Relations, Wynn Resorts, Limited,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7, 2013</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and each of them, as proxies for the undersigned, each with full power of substitution, to attend the Annual Meeting of Stockholders of the Company to be held on May 7, 2013 at 11:00 a.m., local time, at the Debussy room at Encore, 3121 Las Vegas Boulevard South, Las Vegas, Nevada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11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AND “FOR” PROPOSAL NO. 2 AND THEY WILL BE VOTED IN THE DISCRETION OF THE PROXIES ON ANY OTHER MATTER AT THE ANNUAL MEETING OR ANY ADJOURNMENT OR POSTPONEMENT THEREOF.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STOCKHOLDERS OF</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May 7, 2013</w:t>
      </w:r>
    </w:p>
    <w:p>
      <w:pPr>
        <w:spacing w:after="0" w:line="159" w:lineRule="exact"/>
        <w:rPr>
          <w:sz w:val="20"/>
          <w:szCs w:val="20"/>
          <w:color w:val="auto"/>
        </w:rPr>
      </w:pPr>
    </w:p>
    <w:p>
      <w:pPr>
        <w:ind w:right="1060" w:firstLine="1171"/>
        <w:spacing w:after="0" w:line="394" w:lineRule="auto"/>
        <w:rPr>
          <w:sz w:val="20"/>
          <w:szCs w:val="20"/>
          <w:color w:val="auto"/>
        </w:rPr>
      </w:pPr>
      <w:r>
        <w:rPr>
          <w:rFonts w:ascii="Arial" w:cs="Arial" w:eastAsia="Arial" w:hAnsi="Arial"/>
          <w:sz w:val="18"/>
          <w:szCs w:val="18"/>
          <w:b w:val="1"/>
          <w:bCs w:val="1"/>
          <w:color w:val="auto"/>
        </w:rPr>
        <w:t>PLEASE SIGN, DATE AND MAIL YOUR PROXY CARD IN THE ENVELOPE PROVIDED AS SOON AS POSSIBLE OUR BOARD OF DIRECTORS RECOMMENDS A VOTE “FOR” ALL NOMINEES LISTED BELOW:</w:t>
      </w:r>
    </w:p>
    <w:p>
      <w:pPr>
        <w:spacing w:after="0" w:line="2" w:lineRule="exact"/>
        <w:rPr>
          <w:sz w:val="20"/>
          <w:szCs w:val="20"/>
          <w:color w:val="auto"/>
        </w:rPr>
      </w:pPr>
    </w:p>
    <w:p>
      <w:pPr>
        <w:ind w:left="460" w:right="3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elect the following four Class II directors to serve as such until the 2016 Annual Meeting of Stockholders and until their successors are elected and qualified, or until such director’s earlier death, resignation or removal;</w:t>
      </w:r>
    </w:p>
    <w:p>
      <w:pPr>
        <w:spacing w:after="0" w:line="17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Nominees:</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Ray R. Irani</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Stephen A. Wynn</w:t>
      </w:r>
    </w:p>
    <w:p>
      <w:pPr>
        <w:spacing w:after="0" w:line="146" w:lineRule="exact"/>
        <w:rPr>
          <w:sz w:val="20"/>
          <w:szCs w:val="20"/>
          <w:color w:val="auto"/>
        </w:rPr>
      </w:pPr>
    </w:p>
    <w:p>
      <w:pPr>
        <w:ind w:left="220" w:hanging="212"/>
        <w:spacing w:after="0" w:line="207" w:lineRule="exact"/>
        <w:tabs>
          <w:tab w:leader="none" w:pos="22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20" w:hanging="212"/>
        <w:spacing w:after="0"/>
        <w:tabs>
          <w:tab w:leader="none" w:pos="22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RECOMMENDS A VOTE “FOR” THE FOLLOWING PROPOSAL:</w:t>
      </w:r>
    </w:p>
    <w:p>
      <w:pPr>
        <w:spacing w:after="0" w:line="96" w:lineRule="exact"/>
        <w:rPr>
          <w:sz w:val="20"/>
          <w:szCs w:val="20"/>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ratify the Audit Committee’s appointment of Ernst &amp; Young, LLP as the independent public accountants for the Company and all of its subsidiaries for 2013;</w:t>
      </w:r>
    </w:p>
    <w:p>
      <w:pPr>
        <w:spacing w:after="0" w:line="99" w:lineRule="exact"/>
        <w:rPr>
          <w:sz w:val="20"/>
          <w:szCs w:val="20"/>
          <w:color w:val="auto"/>
        </w:rPr>
      </w:pPr>
    </w:p>
    <w:p>
      <w:pPr>
        <w:spacing w:after="0" w:line="207" w:lineRule="exact"/>
        <w:tabs>
          <w:tab w:leader="none" w:pos="1240" w:val="left"/>
          <w:tab w:leader="none" w:pos="29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94" w:lineRule="exact"/>
        <w:rPr>
          <w:sz w:val="20"/>
          <w:szCs w:val="20"/>
          <w:color w:val="auto"/>
        </w:rPr>
      </w:pPr>
    </w:p>
    <w:p>
      <w:pPr>
        <w:ind w:left="3200" w:hanging="204"/>
        <w:spacing w:after="0"/>
        <w:tabs>
          <w:tab w:leader="none" w:pos="3200" w:val="left"/>
        </w:tabs>
        <w:numPr>
          <w:ilvl w:val="0"/>
          <w:numId w:val="43"/>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18180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10795</wp:posOffset>
            </wp:positionV>
            <wp:extent cx="17754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2013</w:t>
      </w:r>
    </w:p>
    <w:p>
      <w:pPr>
        <w:spacing w:after="0" w:line="17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300"/>
      </w:cols>
      <w:pgMar w:left="240" w:top="45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Ø"/>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6"/>
    </w:lvl>
  </w:abstractNum>
  <w:abstractNum w:abstractNumId="11">
    <w:nsid w:val="71F32454"/>
    <w:multiLevelType w:val="hybridMultilevel"/>
    <w:lvl w:ilvl="0">
      <w:lvlJc w:val="left"/>
      <w:lvlText w:val="Ø"/>
      <w:numFmt w:val="bullet"/>
      <w:start w:val="1"/>
    </w:lvl>
  </w:abstractNum>
  <w:abstractNum w:abstractNumId="12">
    <w:nsid w:val="2CA88611"/>
    <w:multiLevelType w:val="hybridMultilevel"/>
    <w:lvl w:ilvl="0">
      <w:lvlJc w:val="left"/>
      <w:lvlText w:val="Ø"/>
      <w:numFmt w:val="bullet"/>
      <w:start w:val="1"/>
    </w:lvl>
  </w:abstractNum>
  <w:abstractNum w:abstractNumId="13">
    <w:nsid w:val="836C40E"/>
    <w:multiLevelType w:val="hybridMultilevel"/>
    <w:lvl w:ilvl="0">
      <w:lvlJc w:val="left"/>
      <w:lvlText w:val="Ø"/>
      <w:numFmt w:val="bullet"/>
      <w:start w:val="1"/>
    </w:lvl>
  </w:abstractNum>
  <w:abstractNum w:abstractNumId="14">
    <w:nsid w:val="2901D82"/>
    <w:multiLevelType w:val="hybridMultilevel"/>
    <w:lvl w:ilvl="0">
      <w:lvlJc w:val="left"/>
      <w:lvlText w:val="Ø"/>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Ø"/>
      <w:numFmt w:val="bullet"/>
      <w:start w:val="1"/>
    </w:lvl>
  </w:abstractNum>
  <w:abstractNum w:abstractNumId="17">
    <w:nsid w:val="1E7FF521"/>
    <w:multiLevelType w:val="hybridMultilevel"/>
    <w:lvl w:ilvl="0">
      <w:lvlJc w:val="left"/>
      <w:lvlText w:val="Ø"/>
      <w:numFmt w:val="bullet"/>
      <w:start w:val="1"/>
    </w:lvl>
  </w:abstractNum>
  <w:abstractNum w:abstractNumId="18">
    <w:nsid w:val="7C3DBD3D"/>
    <w:multiLevelType w:val="hybridMultilevel"/>
    <w:lvl w:ilvl="0">
      <w:lvlJc w:val="left"/>
      <w:lvlText w:val="Ø"/>
      <w:numFmt w:val="bullet"/>
      <w:start w:val="1"/>
    </w:lvl>
  </w:abstractNum>
  <w:abstractNum w:abstractNumId="19">
    <w:nsid w:val="737B8DDC"/>
    <w:multiLevelType w:val="hybridMultilevel"/>
    <w:lvl w:ilvl="0">
      <w:lvlJc w:val="left"/>
      <w:lvlText w:val="Ø"/>
      <w:numFmt w:val="bullet"/>
      <w:start w:val="1"/>
    </w:lvl>
  </w:abstractNum>
  <w:abstractNum w:abstractNumId="20">
    <w:nsid w:val="6CEAF087"/>
    <w:multiLevelType w:val="hybridMultilevel"/>
    <w:lvl w:ilvl="0">
      <w:lvlJc w:val="left"/>
      <w:lvlText w:val="Ø"/>
      <w:numFmt w:val="bullet"/>
      <w:start w:val="1"/>
    </w:lvl>
  </w:abstractNum>
  <w:abstractNum w:abstractNumId="21">
    <w:nsid w:val="22221A70"/>
    <w:multiLevelType w:val="hybridMultilevel"/>
    <w:lvl w:ilvl="0">
      <w:lvlJc w:val="left"/>
      <w:lvlText w:val="Ø"/>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Roman"/>
      <w:start w:val="1"/>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Roman"/>
      <w:start w:val="2"/>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decimal"/>
      <w:start w:val="1"/>
    </w:lvl>
    <w:lvl w:ilvl="1">
      <w:lvlJc w:val="left"/>
      <w:lvlText w:val="%2."/>
      <w:numFmt w:val="lowerLetter"/>
      <w:start w:val="1"/>
    </w:lvl>
  </w:abstractNum>
  <w:abstractNum w:abstractNumId="30">
    <w:nsid w:val="77465F01"/>
    <w:multiLevelType w:val="hybridMultilevel"/>
    <w:lvl w:ilvl="0">
      <w:lvlJc w:val="left"/>
      <w:lvlText w:val="(%1)"/>
      <w:numFmt w:val="lowerRoman"/>
      <w:start w:val="3"/>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lowerLetter"/>
      <w:start w:val="5"/>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2019-12-07T04:07:36Z</dcterms:created>
  <dcterms:modified xsi:type="dcterms:W3CDTF">2019-12-07T04:07:36Z</dcterms:modified>
</cp:coreProperties>
</file>