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107315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1"/>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127000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1"/>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125730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651"/>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1"/>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jc w:val="center"/>
        <w:ind w:right="-651"/>
        <w:spacing w:after="0"/>
        <w:rPr>
          <w:sz w:val="20"/>
          <w:szCs w:val="20"/>
          <w:color w:val="auto"/>
        </w:rPr>
      </w:pPr>
      <w:r>
        <w:rPr>
          <w:rFonts w:ascii="Arial" w:cs="Arial" w:eastAsia="Arial" w:hAnsi="Arial"/>
          <w:sz w:val="22"/>
          <w:szCs w:val="22"/>
          <w:b w:val="1"/>
          <w:bCs w:val="1"/>
          <w:color w:val="auto"/>
        </w:rPr>
        <w:t>Date of Report (Date of earliest event reported): November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122555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right="-651"/>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72"/>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105410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52"/>
          </w:cols>
          <w:pgMar w:left="248" w:top="274" w:right="899" w:bottom="1440" w:gutter="0" w:footer="0" w:header="0"/>
        </w:sectPr>
      </w:pPr>
    </w:p>
    <w:p>
      <w:pPr>
        <w:spacing w:after="0" w:line="273" w:lineRule="exact"/>
        <w:rPr>
          <w:sz w:val="24"/>
          <w:szCs w:val="24"/>
          <w:color w:val="auto"/>
        </w:rPr>
      </w:pPr>
    </w:p>
    <w:p>
      <w:pPr>
        <w:ind w:left="1652"/>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32" w:space="720"/>
            <w:col w:w="3000" w:space="720"/>
            <w:col w:w="1580"/>
          </w:cols>
          <w:pgMar w:left="248" w:top="274" w:right="899" w:bottom="1440" w:gutter="0" w:footer="0" w:header="0"/>
          <w:type w:val="continuous"/>
        </w:sectPr>
      </w:pPr>
    </w:p>
    <w:p>
      <w:pPr>
        <w:ind w:left="652"/>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332" w:space="720"/>
            <w:col w:w="2840" w:space="720"/>
            <w:col w:w="2140"/>
          </w:cols>
          <w:pgMar w:left="248" w:top="274" w:right="899" w:bottom="1440" w:gutter="0" w:footer="0" w:header="0"/>
          <w:type w:val="continuous"/>
        </w:sectPr>
      </w:pPr>
    </w:p>
    <w:p>
      <w:pPr>
        <w:spacing w:after="0" w:line="1" w:lineRule="exact"/>
        <w:rPr>
          <w:sz w:val="24"/>
          <w:szCs w:val="24"/>
          <w:color w:val="auto"/>
        </w:rPr>
      </w:pPr>
    </w:p>
    <w:p>
      <w:pPr>
        <w:jc w:val="center"/>
        <w:ind w:left="1492"/>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left="1492"/>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6512" w:space="720"/>
            <w:col w:w="3520"/>
          </w:cols>
          <w:pgMar w:left="248" w:top="274" w:right="899" w:bottom="1440" w:gutter="0" w:footer="0" w:header="0"/>
          <w:type w:val="continuous"/>
        </w:sectPr>
      </w:pPr>
    </w:p>
    <w:p>
      <w:pPr>
        <w:ind w:left="2872"/>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6412" w:space="720"/>
            <w:col w:w="3620"/>
          </w:cols>
          <w:pgMar w:left="248" w:top="274" w:right="899" w:bottom="1440" w:gutter="0" w:footer="0" w:header="0"/>
          <w:type w:val="continuous"/>
        </w:sectPr>
      </w:pPr>
    </w:p>
    <w:p>
      <w:pPr>
        <w:jc w:val="center"/>
        <w:ind w:right="-671"/>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671"/>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71"/>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12"/>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left="452"/>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52"/>
          </w:cols>
          <w:pgMar w:left="248" w:top="27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 Amendments to Articles of Incorporation or Bylaws; Change in Fiscal Year.</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November 2, 2012, the Board of Directors (the “Board”) of Wynn Resorts, Limited (the “Company”) adopted the Fifth Amended and Restated Bylaws of the Company (the “Fifth Amended and Restated Bylaws”). The Fifth Amended and Restated Bylaws became effective immediately upon their adoption by the Board. The amendments are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Provisions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amendments provide that a stockholder must give any notice of intention to nominate directors or propose other business at an annual or special meeting not later than the close of business on the 90th day nor earlier than the close of business on the 120th day prior to the first anniversary of the preceding year’s annual meeting, or, if the date of the annual meeting is more than 30 days before or more than 70 days after such anniversary date, notice must be delivered not earlier than the close of business on the 120th day prior to such annual meeting date and not later than the close of business on the later of the 90th day prior to such annual meeting date or the 10th day following the day on which public announcement of the date of such meeting is first made. Previously, stockholders were required to deliver such notices not less than 60 nor more than 90 days prior to the day of the meeting, or, if the date of the meeting was first publicly announced or disclosed less than 70 days prior to the day of the meeting, not more than 10 days after such date was first announced or disclosed. Since the Company expects to hold its 2013 annual meeting of stockholders during the first week of May 2013, to be timely, a stockholder’s notice for the 2013 annual meeting of stockholders must be delivered to the Company’s principal executive offices not earlier than 5:00 p.m. (the close of business) on January 7, 2013 and not later than 5:00 p.m. (the close of business) on February 6, 2013.</w:t>
      </w:r>
    </w:p>
    <w:p>
      <w:pPr>
        <w:spacing w:after="0" w:line="12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amendments require additional information from a stockholder who wishes to nominate a director or propose other business at a stockholder meeting. Among other things, a stockholder must provide information about agreements, arrangements and understandings relating to a director nomination or other business and any agreement, arrangement or understanding that has the effect or intent of mitigating loss, managing risk or benefiting from changes in the share price of any class or series of Company shares, or increasing or decreasing voting power with respect to Company shares, including any derivative or short positions, profit interests, options, hedging transactions and borrowed or loaned shares. In addition within five business days after the record date of the meeting, the stockholder must provide the Company with a written update of certain information required to be included in the stockholder’s proposal or nomination notice to the Company. With respect to the proposal of business other than director nominations, the amendments also require additional information regarding the business the stockholder intends to propose. In addition, the amendments require any stockholder who wishes to nominate a director or propose other business at a stockholder meeting to appear in person or by proxy at the meeting to propose such nomination or other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by Electronic Transmission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Amendments were made to provide that, pursuant to Nevada corporation law, certain forms of electronic transmission may be used for communications and notices by or to the Company, directors and stockholders.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Conduct of Meetings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Amendments were made to the provisions relating to the conduct of stockholder meetings, including more detailed provisions regarding who presides at such meetings and the responsibilities of such presiding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Amendments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provision addressing exceptions to the Nevada acquisition of controlling interest statutes was amended to delete a reference to Aruze USA and its affiliates. In addition, amendments were made to improve readability, enhance consistency in the use of defined terms and cross-references, clarify the operation of various provisions and make other minor and conforming changes.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foregoing description is qualified in its entirety by reference to the Fifth Amended and Restated Bylaws, effective as of November 2, 2012, which is filed as Exhibit 3.1 to this report and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00" w:type="dxa"/>
            <w:vAlign w:val="bottom"/>
            <w:gridSpan w:val="3"/>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5300" w:type="dxa"/>
            <w:vAlign w:val="bottom"/>
            <w:gridSpan w:val="3"/>
          </w:tcPr>
          <w:p>
            <w:pPr>
              <w:ind w:left="860"/>
              <w:spacing w:after="0"/>
              <w:rPr>
                <w:sz w:val="20"/>
                <w:szCs w:val="20"/>
                <w:color w:val="auto"/>
              </w:rPr>
            </w:pPr>
            <w:r>
              <w:rPr>
                <w:rFonts w:ascii="Arial" w:cs="Arial" w:eastAsia="Arial" w:hAnsi="Arial"/>
                <w:sz w:val="18"/>
                <w:szCs w:val="18"/>
                <w:color w:val="auto"/>
                <w:w w:val="88"/>
              </w:rPr>
              <w:t>Fifth Amended and Restated Bylaws of Wynn Resorts, Limited</w:t>
            </w:r>
          </w:p>
        </w:tc>
      </w:tr>
      <w:tr>
        <w:trPr>
          <w:trHeight w:val="365"/>
        </w:trPr>
        <w:tc>
          <w:tcPr>
            <w:tcW w:w="720" w:type="dxa"/>
            <w:vAlign w:val="bottom"/>
          </w:tcPr>
          <w:p>
            <w:pPr>
              <w:spacing w:after="0"/>
              <w:rPr>
                <w:sz w:val="24"/>
                <w:szCs w:val="24"/>
                <w:color w:val="auto"/>
              </w:rPr>
            </w:pPr>
          </w:p>
        </w:tc>
        <w:tc>
          <w:tcPr>
            <w:tcW w:w="530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80"/>
          </w:cols>
          <w:pgMar w:left="240" w:top="274"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December 14, 2012</w:t>
            </w:r>
          </w:p>
        </w:tc>
        <w:tc>
          <w:tcPr>
            <w:tcW w:w="2560" w:type="dxa"/>
            <w:vAlign w:val="bottom"/>
          </w:tcPr>
          <w:p>
            <w:pPr>
              <w:ind w:left="20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 Maddox</w:t>
            </w:r>
          </w:p>
        </w:tc>
      </w:tr>
      <w:tr>
        <w:trPr>
          <w:trHeight w:val="203"/>
        </w:trPr>
        <w:tc>
          <w:tcPr>
            <w:tcW w:w="3740" w:type="dxa"/>
            <w:vAlign w:val="bottom"/>
          </w:tcPr>
          <w:p>
            <w:pPr>
              <w:spacing w:after="0"/>
              <w:rPr>
                <w:sz w:val="17"/>
                <w:szCs w:val="17"/>
                <w:color w:val="auto"/>
              </w:rPr>
            </w:pPr>
          </w:p>
        </w:tc>
        <w:tc>
          <w:tcPr>
            <w:tcW w:w="2560" w:type="dxa"/>
            <w:vAlign w:val="bottom"/>
          </w:tcPr>
          <w:p>
            <w:pPr>
              <w:ind w:left="2080"/>
              <w:spacing w:after="0" w:line="202"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Matt Maddox</w:t>
            </w:r>
          </w:p>
        </w:tc>
      </w:tr>
      <w:tr>
        <w:trPr>
          <w:trHeight w:val="222"/>
        </w:trPr>
        <w:tc>
          <w:tcPr>
            <w:tcW w:w="3740" w:type="dxa"/>
            <w:vAlign w:val="bottom"/>
          </w:tcPr>
          <w:p>
            <w:pPr>
              <w:spacing w:after="0"/>
              <w:rPr>
                <w:sz w:val="19"/>
                <w:szCs w:val="19"/>
                <w:color w:val="auto"/>
              </w:rPr>
            </w:pPr>
          </w:p>
        </w:tc>
        <w:tc>
          <w:tcPr>
            <w:tcW w:w="2560" w:type="dxa"/>
            <w:vAlign w:val="bottom"/>
          </w:tcPr>
          <w:p>
            <w:pPr>
              <w:ind w:left="208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r>
        <w:trPr>
          <w:trHeight w:val="365"/>
        </w:trPr>
        <w:tc>
          <w:tcPr>
            <w:tcW w:w="3740" w:type="dxa"/>
            <w:vAlign w:val="bottom"/>
          </w:tcPr>
          <w:p>
            <w:pPr>
              <w:spacing w:after="0"/>
              <w:rPr>
                <w:sz w:val="24"/>
                <w:szCs w:val="24"/>
                <w:color w:val="auto"/>
              </w:rPr>
            </w:pPr>
          </w:p>
        </w:tc>
        <w:tc>
          <w:tcPr>
            <w:tcW w:w="2560" w:type="dxa"/>
            <w:vAlign w:val="bottom"/>
          </w:tcPr>
          <w:p>
            <w:pPr>
              <w:ind w:left="1940"/>
              <w:spacing w:after="0"/>
              <w:rPr>
                <w:sz w:val="20"/>
                <w:szCs w:val="20"/>
                <w:color w:val="auto"/>
              </w:rPr>
            </w:pPr>
            <w:r>
              <w:rPr>
                <w:rFonts w:ascii="Arial" w:cs="Arial" w:eastAsia="Arial" w:hAnsi="Arial"/>
                <w:sz w:val="18"/>
                <w:szCs w:val="18"/>
                <w:color w:val="auto"/>
              </w:rPr>
              <w:t>4</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 NEVADA CORPORATION</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FIFTH AMENDED AND RESTATED BYLAWS</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EFFECTIVE AS 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NOVEMBER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153035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804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2120" w:type="dxa"/>
            <w:vAlign w:val="bottom"/>
          </w:tcPr>
          <w:p>
            <w:pPr>
              <w:spacing w:after="0"/>
              <w:rPr>
                <w:sz w:val="19"/>
                <w:szCs w:val="19"/>
                <w:color w:val="auto"/>
              </w:rPr>
            </w:pPr>
          </w:p>
        </w:tc>
      </w:tr>
      <w:tr>
        <w:trPr>
          <w:trHeight w:val="366"/>
        </w:trPr>
        <w:tc>
          <w:tcPr>
            <w:tcW w:w="11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160" w:type="dxa"/>
            <w:vAlign w:val="bottom"/>
          </w:tcPr>
          <w:p>
            <w:pPr>
              <w:spacing w:after="0"/>
              <w:rPr>
                <w:sz w:val="20"/>
                <w:szCs w:val="20"/>
                <w:color w:val="auto"/>
              </w:rPr>
            </w:pPr>
            <w:r>
              <w:rPr>
                <w:rFonts w:ascii="Arial" w:cs="Arial" w:eastAsia="Arial" w:hAnsi="Arial"/>
                <w:sz w:val="18"/>
                <w:szCs w:val="18"/>
                <w:color w:val="auto"/>
              </w:rPr>
              <w:t>ARTICLE I</w:t>
            </w:r>
          </w:p>
        </w:tc>
        <w:tc>
          <w:tcPr>
            <w:tcW w:w="8040" w:type="dxa"/>
            <w:vAlign w:val="bottom"/>
          </w:tcPr>
          <w:p>
            <w:pPr>
              <w:ind w:left="180"/>
              <w:spacing w:after="0"/>
              <w:rPr>
                <w:sz w:val="20"/>
                <w:szCs w:val="20"/>
                <w:color w:val="auto"/>
              </w:rPr>
            </w:pPr>
            <w:r>
              <w:rPr>
                <w:rFonts w:ascii="Arial" w:cs="Arial" w:eastAsia="Arial" w:hAnsi="Arial"/>
                <w:sz w:val="18"/>
                <w:szCs w:val="18"/>
                <w:color w:val="auto"/>
              </w:rPr>
              <w:t>OFFICES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160" w:type="dxa"/>
            <w:vAlign w:val="bottom"/>
          </w:tcPr>
          <w:p>
            <w:pPr>
              <w:ind w:left="440"/>
              <w:spacing w:after="0"/>
              <w:rPr>
                <w:sz w:val="20"/>
                <w:szCs w:val="20"/>
                <w:color w:val="auto"/>
              </w:rPr>
            </w:pPr>
            <w:r>
              <w:rPr>
                <w:rFonts w:ascii="Arial" w:cs="Arial" w:eastAsia="Arial" w:hAnsi="Arial"/>
                <w:sz w:val="18"/>
                <w:szCs w:val="18"/>
                <w:color w:val="auto"/>
              </w:rPr>
              <w:t>1.1</w:t>
            </w:r>
          </w:p>
        </w:tc>
        <w:tc>
          <w:tcPr>
            <w:tcW w:w="8040" w:type="dxa"/>
            <w:vAlign w:val="bottom"/>
          </w:tcPr>
          <w:p>
            <w:pPr>
              <w:ind w:left="180"/>
              <w:spacing w:after="0"/>
              <w:rPr>
                <w:sz w:val="20"/>
                <w:szCs w:val="20"/>
                <w:color w:val="auto"/>
              </w:rPr>
            </w:pPr>
            <w:r>
              <w:rPr>
                <w:rFonts w:ascii="Arial" w:cs="Arial" w:eastAsia="Arial" w:hAnsi="Arial"/>
                <w:sz w:val="18"/>
                <w:szCs w:val="18"/>
                <w:color w:val="auto"/>
              </w:rPr>
              <w:t>Principal Office</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160" w:type="dxa"/>
            <w:vAlign w:val="bottom"/>
          </w:tcPr>
          <w:p>
            <w:pPr>
              <w:ind w:left="440"/>
              <w:spacing w:after="0"/>
              <w:rPr>
                <w:sz w:val="20"/>
                <w:szCs w:val="20"/>
                <w:color w:val="auto"/>
              </w:rPr>
            </w:pPr>
            <w:r>
              <w:rPr>
                <w:rFonts w:ascii="Arial" w:cs="Arial" w:eastAsia="Arial" w:hAnsi="Arial"/>
                <w:sz w:val="18"/>
                <w:szCs w:val="18"/>
                <w:color w:val="auto"/>
              </w:rPr>
              <w:t>1.2</w:t>
            </w:r>
          </w:p>
        </w:tc>
        <w:tc>
          <w:tcPr>
            <w:tcW w:w="8040" w:type="dxa"/>
            <w:vAlign w:val="bottom"/>
          </w:tcPr>
          <w:p>
            <w:pPr>
              <w:ind w:left="180"/>
              <w:spacing w:after="0"/>
              <w:rPr>
                <w:sz w:val="20"/>
                <w:szCs w:val="20"/>
                <w:color w:val="auto"/>
              </w:rPr>
            </w:pPr>
            <w:r>
              <w:rPr>
                <w:rFonts w:ascii="Arial" w:cs="Arial" w:eastAsia="Arial" w:hAnsi="Arial"/>
                <w:sz w:val="18"/>
                <w:szCs w:val="18"/>
                <w:color w:val="auto"/>
              </w:rPr>
              <w:t>Other Offices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II</w:t>
            </w:r>
          </w:p>
        </w:tc>
        <w:tc>
          <w:tcPr>
            <w:tcW w:w="804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160" w:type="dxa"/>
            <w:vAlign w:val="bottom"/>
          </w:tcPr>
          <w:p>
            <w:pPr>
              <w:ind w:left="440"/>
              <w:spacing w:after="0"/>
              <w:rPr>
                <w:sz w:val="20"/>
                <w:szCs w:val="20"/>
                <w:color w:val="auto"/>
              </w:rPr>
            </w:pPr>
            <w:r>
              <w:rPr>
                <w:rFonts w:ascii="Arial" w:cs="Arial" w:eastAsia="Arial" w:hAnsi="Arial"/>
                <w:sz w:val="18"/>
                <w:szCs w:val="18"/>
                <w:color w:val="auto"/>
              </w:rPr>
              <w:t>2.1</w:t>
            </w:r>
          </w:p>
        </w:tc>
        <w:tc>
          <w:tcPr>
            <w:tcW w:w="8040" w:type="dxa"/>
            <w:vAlign w:val="bottom"/>
          </w:tcPr>
          <w:p>
            <w:pPr>
              <w:ind w:left="180"/>
              <w:spacing w:after="0"/>
              <w:rPr>
                <w:sz w:val="20"/>
                <w:szCs w:val="20"/>
                <w:color w:val="auto"/>
              </w:rPr>
            </w:pPr>
            <w:r>
              <w:rPr>
                <w:rFonts w:ascii="Arial" w:cs="Arial" w:eastAsia="Arial" w:hAnsi="Arial"/>
                <w:sz w:val="18"/>
                <w:szCs w:val="18"/>
                <w:color w:val="auto"/>
              </w:rPr>
              <w:t>Annual Meeting</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2.2</w:t>
            </w:r>
          </w:p>
        </w:tc>
        <w:tc>
          <w:tcPr>
            <w:tcW w:w="8040" w:type="dxa"/>
            <w:vAlign w:val="bottom"/>
          </w:tcPr>
          <w:p>
            <w:pPr>
              <w:ind w:left="180"/>
              <w:spacing w:after="0"/>
              <w:rPr>
                <w:sz w:val="20"/>
                <w:szCs w:val="20"/>
                <w:color w:val="auto"/>
              </w:rPr>
            </w:pPr>
            <w:r>
              <w:rPr>
                <w:rFonts w:ascii="Arial" w:cs="Arial" w:eastAsia="Arial" w:hAnsi="Arial"/>
                <w:sz w:val="18"/>
                <w:szCs w:val="18"/>
                <w:color w:val="auto"/>
              </w:rPr>
              <w:t>Special Meetings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2.3</w:t>
            </w:r>
          </w:p>
        </w:tc>
        <w:tc>
          <w:tcPr>
            <w:tcW w:w="8040" w:type="dxa"/>
            <w:vAlign w:val="bottom"/>
          </w:tcPr>
          <w:p>
            <w:pPr>
              <w:ind w:left="180"/>
              <w:spacing w:after="0"/>
              <w:rPr>
                <w:sz w:val="20"/>
                <w:szCs w:val="20"/>
                <w:color w:val="auto"/>
              </w:rPr>
            </w:pPr>
            <w:r>
              <w:rPr>
                <w:rFonts w:ascii="Arial" w:cs="Arial" w:eastAsia="Arial" w:hAnsi="Arial"/>
                <w:sz w:val="18"/>
                <w:szCs w:val="18"/>
                <w:color w:val="auto"/>
              </w:rPr>
              <w:t>Place of Meetings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2.4</w:t>
            </w:r>
          </w:p>
        </w:tc>
        <w:tc>
          <w:tcPr>
            <w:tcW w:w="8040" w:type="dxa"/>
            <w:vAlign w:val="bottom"/>
          </w:tcPr>
          <w:p>
            <w:pPr>
              <w:ind w:left="180"/>
              <w:spacing w:after="0"/>
              <w:rPr>
                <w:sz w:val="20"/>
                <w:szCs w:val="20"/>
                <w:color w:val="auto"/>
              </w:rPr>
            </w:pPr>
            <w:r>
              <w:rPr>
                <w:rFonts w:ascii="Arial" w:cs="Arial" w:eastAsia="Arial" w:hAnsi="Arial"/>
                <w:sz w:val="18"/>
                <w:szCs w:val="18"/>
                <w:color w:val="auto"/>
              </w:rPr>
              <w:t>Notice of Meetings; Waiver of Notice</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2.5</w:t>
            </w:r>
          </w:p>
        </w:tc>
        <w:tc>
          <w:tcPr>
            <w:tcW w:w="8040" w:type="dxa"/>
            <w:vAlign w:val="bottom"/>
          </w:tcPr>
          <w:p>
            <w:pPr>
              <w:ind w:left="180"/>
              <w:spacing w:after="0"/>
              <w:rPr>
                <w:sz w:val="20"/>
                <w:szCs w:val="20"/>
                <w:color w:val="auto"/>
              </w:rPr>
            </w:pPr>
            <w:r>
              <w:rPr>
                <w:rFonts w:ascii="Arial" w:cs="Arial" w:eastAsia="Arial" w:hAnsi="Arial"/>
                <w:sz w:val="18"/>
                <w:szCs w:val="18"/>
                <w:color w:val="auto"/>
              </w:rPr>
              <w:t>Determination of Stockholders of Record</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2.6</w:t>
            </w:r>
          </w:p>
        </w:tc>
        <w:tc>
          <w:tcPr>
            <w:tcW w:w="8040" w:type="dxa"/>
            <w:vAlign w:val="bottom"/>
          </w:tcPr>
          <w:p>
            <w:pPr>
              <w:ind w:left="180"/>
              <w:spacing w:after="0"/>
              <w:rPr>
                <w:sz w:val="20"/>
                <w:szCs w:val="20"/>
                <w:color w:val="auto"/>
              </w:rPr>
            </w:pPr>
            <w:r>
              <w:rPr>
                <w:rFonts w:ascii="Arial" w:cs="Arial" w:eastAsia="Arial" w:hAnsi="Arial"/>
                <w:sz w:val="18"/>
                <w:szCs w:val="18"/>
                <w:color w:val="auto"/>
              </w:rPr>
              <w:t>Quorum; Adjourned Meetings</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2.7</w:t>
            </w:r>
          </w:p>
        </w:tc>
        <w:tc>
          <w:tcPr>
            <w:tcW w:w="8040" w:type="dxa"/>
            <w:vAlign w:val="bottom"/>
          </w:tcPr>
          <w:p>
            <w:pPr>
              <w:ind w:left="180"/>
              <w:spacing w:after="0"/>
              <w:rPr>
                <w:sz w:val="20"/>
                <w:szCs w:val="20"/>
                <w:color w:val="auto"/>
              </w:rPr>
            </w:pPr>
            <w:r>
              <w:rPr>
                <w:rFonts w:ascii="Arial" w:cs="Arial" w:eastAsia="Arial" w:hAnsi="Arial"/>
                <w:sz w:val="18"/>
                <w:szCs w:val="18"/>
                <w:color w:val="auto"/>
              </w:rPr>
              <w:t>Voting</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2.8</w:t>
            </w:r>
          </w:p>
        </w:tc>
        <w:tc>
          <w:tcPr>
            <w:tcW w:w="8040" w:type="dxa"/>
            <w:vAlign w:val="bottom"/>
          </w:tcPr>
          <w:p>
            <w:pPr>
              <w:ind w:left="180"/>
              <w:spacing w:after="0"/>
              <w:rPr>
                <w:sz w:val="20"/>
                <w:szCs w:val="20"/>
                <w:color w:val="auto"/>
              </w:rPr>
            </w:pPr>
            <w:r>
              <w:rPr>
                <w:rFonts w:ascii="Arial" w:cs="Arial" w:eastAsia="Arial" w:hAnsi="Arial"/>
                <w:sz w:val="18"/>
                <w:szCs w:val="18"/>
                <w:color w:val="auto"/>
              </w:rPr>
              <w:t>Proxies</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2.9</w:t>
            </w:r>
          </w:p>
        </w:tc>
        <w:tc>
          <w:tcPr>
            <w:tcW w:w="8040" w:type="dxa"/>
            <w:vAlign w:val="bottom"/>
          </w:tcPr>
          <w:p>
            <w:pPr>
              <w:ind w:left="180"/>
              <w:spacing w:after="0"/>
              <w:rPr>
                <w:sz w:val="20"/>
                <w:szCs w:val="20"/>
                <w:color w:val="auto"/>
              </w:rPr>
            </w:pPr>
            <w:r>
              <w:rPr>
                <w:rFonts w:ascii="Arial" w:cs="Arial" w:eastAsia="Arial" w:hAnsi="Arial"/>
                <w:sz w:val="18"/>
                <w:szCs w:val="18"/>
                <w:color w:val="auto"/>
              </w:rPr>
              <w:t>No Action Without A Meeting</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2.10</w:t>
            </w:r>
          </w:p>
        </w:tc>
        <w:tc>
          <w:tcPr>
            <w:tcW w:w="8040" w:type="dxa"/>
            <w:vAlign w:val="bottom"/>
          </w:tcPr>
          <w:p>
            <w:pPr>
              <w:ind w:left="180"/>
              <w:spacing w:after="0"/>
              <w:rPr>
                <w:sz w:val="20"/>
                <w:szCs w:val="20"/>
                <w:color w:val="auto"/>
              </w:rPr>
            </w:pPr>
            <w:r>
              <w:rPr>
                <w:rFonts w:ascii="Arial" w:cs="Arial" w:eastAsia="Arial" w:hAnsi="Arial"/>
                <w:sz w:val="18"/>
                <w:szCs w:val="18"/>
                <w:color w:val="auto"/>
              </w:rPr>
              <w:t>Organization</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2.11</w:t>
            </w:r>
          </w:p>
        </w:tc>
        <w:tc>
          <w:tcPr>
            <w:tcW w:w="8040" w:type="dxa"/>
            <w:vAlign w:val="bottom"/>
          </w:tcPr>
          <w:p>
            <w:pPr>
              <w:ind w:left="180"/>
              <w:spacing w:after="0"/>
              <w:rPr>
                <w:sz w:val="20"/>
                <w:szCs w:val="20"/>
                <w:color w:val="auto"/>
              </w:rPr>
            </w:pPr>
            <w:r>
              <w:rPr>
                <w:rFonts w:ascii="Arial" w:cs="Arial" w:eastAsia="Arial" w:hAnsi="Arial"/>
                <w:sz w:val="18"/>
                <w:szCs w:val="18"/>
                <w:color w:val="auto"/>
              </w:rPr>
              <w:t>Consent to Meetings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2.12</w:t>
            </w:r>
          </w:p>
        </w:tc>
        <w:tc>
          <w:tcPr>
            <w:tcW w:w="8040" w:type="dxa"/>
            <w:vAlign w:val="bottom"/>
          </w:tcPr>
          <w:p>
            <w:pPr>
              <w:ind w:left="180"/>
              <w:spacing w:after="0"/>
              <w:rPr>
                <w:sz w:val="20"/>
                <w:szCs w:val="20"/>
                <w:color w:val="auto"/>
              </w:rPr>
            </w:pPr>
            <w:r>
              <w:rPr>
                <w:rFonts w:ascii="Arial" w:cs="Arial" w:eastAsia="Arial" w:hAnsi="Arial"/>
                <w:sz w:val="18"/>
                <w:szCs w:val="18"/>
                <w:color w:val="auto"/>
              </w:rPr>
              <w:t>Business Conducted at Meetings of Stockholders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1160" w:type="dxa"/>
            <w:vAlign w:val="bottom"/>
          </w:tcPr>
          <w:p>
            <w:pPr>
              <w:ind w:left="440"/>
              <w:spacing w:after="0"/>
              <w:rPr>
                <w:sz w:val="20"/>
                <w:szCs w:val="20"/>
                <w:color w:val="auto"/>
              </w:rPr>
            </w:pPr>
            <w:r>
              <w:rPr>
                <w:rFonts w:ascii="Arial" w:cs="Arial" w:eastAsia="Arial" w:hAnsi="Arial"/>
                <w:sz w:val="18"/>
                <w:szCs w:val="18"/>
                <w:color w:val="auto"/>
              </w:rPr>
              <w:t>2.13</w:t>
            </w:r>
          </w:p>
        </w:tc>
        <w:tc>
          <w:tcPr>
            <w:tcW w:w="8040" w:type="dxa"/>
            <w:vAlign w:val="bottom"/>
          </w:tcPr>
          <w:p>
            <w:pPr>
              <w:ind w:left="180"/>
              <w:spacing w:after="0"/>
              <w:rPr>
                <w:sz w:val="20"/>
                <w:szCs w:val="20"/>
                <w:color w:val="auto"/>
              </w:rPr>
            </w:pPr>
            <w:r>
              <w:rPr>
                <w:rFonts w:ascii="Arial" w:cs="Arial" w:eastAsia="Arial" w:hAnsi="Arial"/>
                <w:sz w:val="18"/>
                <w:szCs w:val="18"/>
                <w:color w:val="auto"/>
              </w:rPr>
              <w:t>Advance Notice of Stockholder Proposals and Director Nominations by Stockholders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III</w:t>
            </w:r>
          </w:p>
        </w:tc>
        <w:tc>
          <w:tcPr>
            <w:tcW w:w="8040" w:type="dxa"/>
            <w:vAlign w:val="bottom"/>
          </w:tcPr>
          <w:p>
            <w:pPr>
              <w:ind w:left="180"/>
              <w:spacing w:after="0"/>
              <w:rPr>
                <w:sz w:val="20"/>
                <w:szCs w:val="20"/>
                <w:color w:val="auto"/>
              </w:rPr>
            </w:pPr>
            <w:r>
              <w:rPr>
                <w:rFonts w:ascii="Arial" w:cs="Arial" w:eastAsia="Arial" w:hAnsi="Arial"/>
                <w:sz w:val="18"/>
                <w:szCs w:val="18"/>
                <w:color w:val="auto"/>
              </w:rPr>
              <w:t>DIRECTORS</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1160" w:type="dxa"/>
            <w:vAlign w:val="bottom"/>
          </w:tcPr>
          <w:p>
            <w:pPr>
              <w:ind w:left="440"/>
              <w:spacing w:after="0"/>
              <w:rPr>
                <w:sz w:val="20"/>
                <w:szCs w:val="20"/>
                <w:color w:val="auto"/>
              </w:rPr>
            </w:pPr>
            <w:r>
              <w:rPr>
                <w:rFonts w:ascii="Arial" w:cs="Arial" w:eastAsia="Arial" w:hAnsi="Arial"/>
                <w:sz w:val="18"/>
                <w:szCs w:val="18"/>
                <w:color w:val="auto"/>
              </w:rPr>
              <w:t>3.1</w:t>
            </w:r>
          </w:p>
        </w:tc>
        <w:tc>
          <w:tcPr>
            <w:tcW w:w="8040" w:type="dxa"/>
            <w:vAlign w:val="bottom"/>
          </w:tcPr>
          <w:p>
            <w:pPr>
              <w:ind w:left="180"/>
              <w:spacing w:after="0"/>
              <w:rPr>
                <w:sz w:val="20"/>
                <w:szCs w:val="20"/>
                <w:color w:val="auto"/>
              </w:rPr>
            </w:pPr>
            <w:r>
              <w:rPr>
                <w:rFonts w:ascii="Arial" w:cs="Arial" w:eastAsia="Arial" w:hAnsi="Arial"/>
                <w:sz w:val="18"/>
                <w:szCs w:val="18"/>
                <w:color w:val="auto"/>
              </w:rPr>
              <w:t>General Powers; Performance of Duties</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3.2</w:t>
            </w:r>
          </w:p>
        </w:tc>
        <w:tc>
          <w:tcPr>
            <w:tcW w:w="8040" w:type="dxa"/>
            <w:vAlign w:val="bottom"/>
          </w:tcPr>
          <w:p>
            <w:pPr>
              <w:ind w:left="180"/>
              <w:spacing w:after="0"/>
              <w:rPr>
                <w:sz w:val="20"/>
                <w:szCs w:val="20"/>
                <w:color w:val="auto"/>
              </w:rPr>
            </w:pPr>
            <w:r>
              <w:rPr>
                <w:rFonts w:ascii="Arial" w:cs="Arial" w:eastAsia="Arial" w:hAnsi="Arial"/>
                <w:sz w:val="18"/>
                <w:szCs w:val="18"/>
                <w:color w:val="auto"/>
              </w:rPr>
              <w:t>Number, Tenure, and Qualifications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3.3</w:t>
            </w:r>
          </w:p>
        </w:tc>
        <w:tc>
          <w:tcPr>
            <w:tcW w:w="8040" w:type="dxa"/>
            <w:vAlign w:val="bottom"/>
          </w:tcPr>
          <w:p>
            <w:pPr>
              <w:ind w:left="180"/>
              <w:spacing w:after="0"/>
              <w:rPr>
                <w:sz w:val="20"/>
                <w:szCs w:val="20"/>
                <w:color w:val="auto"/>
              </w:rPr>
            </w:pPr>
            <w:r>
              <w:rPr>
                <w:rFonts w:ascii="Arial" w:cs="Arial" w:eastAsia="Arial" w:hAnsi="Arial"/>
                <w:sz w:val="18"/>
                <w:szCs w:val="18"/>
                <w:color w:val="auto"/>
              </w:rPr>
              <w:t>Chairman of the Board</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3.4</w:t>
            </w:r>
          </w:p>
        </w:tc>
        <w:tc>
          <w:tcPr>
            <w:tcW w:w="8040" w:type="dxa"/>
            <w:vAlign w:val="bottom"/>
          </w:tcPr>
          <w:p>
            <w:pPr>
              <w:ind w:left="180"/>
              <w:spacing w:after="0"/>
              <w:rPr>
                <w:sz w:val="20"/>
                <w:szCs w:val="20"/>
                <w:color w:val="auto"/>
              </w:rPr>
            </w:pPr>
            <w:r>
              <w:rPr>
                <w:rFonts w:ascii="Arial" w:cs="Arial" w:eastAsia="Arial" w:hAnsi="Arial"/>
                <w:sz w:val="18"/>
                <w:szCs w:val="18"/>
                <w:color w:val="auto"/>
              </w:rPr>
              <w:t>Vice Chairman of the Board</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3.5</w:t>
            </w:r>
          </w:p>
        </w:tc>
        <w:tc>
          <w:tcPr>
            <w:tcW w:w="8040" w:type="dxa"/>
            <w:vAlign w:val="bottom"/>
          </w:tcPr>
          <w:p>
            <w:pPr>
              <w:ind w:left="180"/>
              <w:spacing w:after="0"/>
              <w:rPr>
                <w:sz w:val="20"/>
                <w:szCs w:val="20"/>
                <w:color w:val="auto"/>
              </w:rPr>
            </w:pPr>
            <w:r>
              <w:rPr>
                <w:rFonts w:ascii="Arial" w:cs="Arial" w:eastAsia="Arial" w:hAnsi="Arial"/>
                <w:sz w:val="18"/>
                <w:szCs w:val="18"/>
                <w:color w:val="auto"/>
              </w:rPr>
              <w:t>Classification and Elections</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3.6</w:t>
            </w:r>
          </w:p>
        </w:tc>
        <w:tc>
          <w:tcPr>
            <w:tcW w:w="8040" w:type="dxa"/>
            <w:vAlign w:val="bottom"/>
          </w:tcPr>
          <w:p>
            <w:pPr>
              <w:ind w:left="180"/>
              <w:spacing w:after="0"/>
              <w:rPr>
                <w:sz w:val="20"/>
                <w:szCs w:val="20"/>
                <w:color w:val="auto"/>
              </w:rPr>
            </w:pPr>
            <w:r>
              <w:rPr>
                <w:rFonts w:ascii="Arial" w:cs="Arial" w:eastAsia="Arial" w:hAnsi="Arial"/>
                <w:sz w:val="18"/>
                <w:szCs w:val="18"/>
                <w:color w:val="auto"/>
              </w:rPr>
              <w:t>Removal and Resignation of Directors</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3.7</w:t>
            </w:r>
          </w:p>
        </w:tc>
        <w:tc>
          <w:tcPr>
            <w:tcW w:w="8040" w:type="dxa"/>
            <w:vAlign w:val="bottom"/>
          </w:tcPr>
          <w:p>
            <w:pPr>
              <w:ind w:left="180"/>
              <w:spacing w:after="0"/>
              <w:rPr>
                <w:sz w:val="20"/>
                <w:szCs w:val="20"/>
                <w:color w:val="auto"/>
              </w:rPr>
            </w:pPr>
            <w:r>
              <w:rPr>
                <w:rFonts w:ascii="Arial" w:cs="Arial" w:eastAsia="Arial" w:hAnsi="Arial"/>
                <w:sz w:val="18"/>
                <w:szCs w:val="18"/>
                <w:color w:val="auto"/>
              </w:rPr>
              <w:t>Vacancies; Newly Created Directorships</w:t>
            </w:r>
          </w:p>
        </w:tc>
        <w:tc>
          <w:tcPr>
            <w:tcW w:w="2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3.8</w:t>
            </w:r>
          </w:p>
        </w:tc>
        <w:tc>
          <w:tcPr>
            <w:tcW w:w="8040" w:type="dxa"/>
            <w:vAlign w:val="bottom"/>
          </w:tcPr>
          <w:p>
            <w:pPr>
              <w:ind w:left="180"/>
              <w:spacing w:after="0"/>
              <w:rPr>
                <w:sz w:val="20"/>
                <w:szCs w:val="20"/>
                <w:color w:val="auto"/>
              </w:rPr>
            </w:pPr>
            <w:r>
              <w:rPr>
                <w:rFonts w:ascii="Arial" w:cs="Arial" w:eastAsia="Arial" w:hAnsi="Arial"/>
                <w:sz w:val="18"/>
                <w:szCs w:val="18"/>
                <w:color w:val="auto"/>
              </w:rPr>
              <w:t>Annual and Regular Meetings</w:t>
            </w:r>
          </w:p>
        </w:tc>
        <w:tc>
          <w:tcPr>
            <w:tcW w:w="2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3.9</w:t>
            </w:r>
          </w:p>
        </w:tc>
        <w:tc>
          <w:tcPr>
            <w:tcW w:w="8040" w:type="dxa"/>
            <w:vAlign w:val="bottom"/>
          </w:tcPr>
          <w:p>
            <w:pPr>
              <w:ind w:left="180"/>
              <w:spacing w:after="0"/>
              <w:rPr>
                <w:sz w:val="20"/>
                <w:szCs w:val="20"/>
                <w:color w:val="auto"/>
              </w:rPr>
            </w:pPr>
            <w:r>
              <w:rPr>
                <w:rFonts w:ascii="Arial" w:cs="Arial" w:eastAsia="Arial" w:hAnsi="Arial"/>
                <w:sz w:val="18"/>
                <w:szCs w:val="18"/>
                <w:color w:val="auto"/>
              </w:rPr>
              <w:t>Special Meetings</w:t>
            </w:r>
          </w:p>
        </w:tc>
        <w:tc>
          <w:tcPr>
            <w:tcW w:w="2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3.10</w:t>
            </w:r>
          </w:p>
        </w:tc>
        <w:tc>
          <w:tcPr>
            <w:tcW w:w="8040" w:type="dxa"/>
            <w:vAlign w:val="bottom"/>
          </w:tcPr>
          <w:p>
            <w:pPr>
              <w:ind w:left="180"/>
              <w:spacing w:after="0"/>
              <w:rPr>
                <w:sz w:val="20"/>
                <w:szCs w:val="20"/>
                <w:color w:val="auto"/>
              </w:rPr>
            </w:pPr>
            <w:r>
              <w:rPr>
                <w:rFonts w:ascii="Arial" w:cs="Arial" w:eastAsia="Arial" w:hAnsi="Arial"/>
                <w:sz w:val="18"/>
                <w:szCs w:val="18"/>
                <w:color w:val="auto"/>
              </w:rPr>
              <w:t>Place of Meetings</w:t>
            </w:r>
          </w:p>
        </w:tc>
        <w:tc>
          <w:tcPr>
            <w:tcW w:w="2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3.11</w:t>
            </w:r>
          </w:p>
        </w:tc>
        <w:tc>
          <w:tcPr>
            <w:tcW w:w="8040" w:type="dxa"/>
            <w:vAlign w:val="bottom"/>
          </w:tcPr>
          <w:p>
            <w:pPr>
              <w:ind w:left="180"/>
              <w:spacing w:after="0"/>
              <w:rPr>
                <w:sz w:val="20"/>
                <w:szCs w:val="20"/>
                <w:color w:val="auto"/>
              </w:rPr>
            </w:pPr>
            <w:r>
              <w:rPr>
                <w:rFonts w:ascii="Arial" w:cs="Arial" w:eastAsia="Arial" w:hAnsi="Arial"/>
                <w:sz w:val="18"/>
                <w:szCs w:val="18"/>
                <w:color w:val="auto"/>
              </w:rPr>
              <w:t>Notice of Meetings</w:t>
            </w:r>
          </w:p>
        </w:tc>
        <w:tc>
          <w:tcPr>
            <w:tcW w:w="2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3.12</w:t>
            </w:r>
          </w:p>
        </w:tc>
        <w:tc>
          <w:tcPr>
            <w:tcW w:w="8040" w:type="dxa"/>
            <w:vAlign w:val="bottom"/>
          </w:tcPr>
          <w:p>
            <w:pPr>
              <w:ind w:left="180"/>
              <w:spacing w:after="0"/>
              <w:rPr>
                <w:sz w:val="20"/>
                <w:szCs w:val="20"/>
                <w:color w:val="auto"/>
              </w:rPr>
            </w:pPr>
            <w:r>
              <w:rPr>
                <w:rFonts w:ascii="Arial" w:cs="Arial" w:eastAsia="Arial" w:hAnsi="Arial"/>
                <w:sz w:val="18"/>
                <w:szCs w:val="18"/>
                <w:color w:val="auto"/>
              </w:rPr>
              <w:t>Quorum; Adjourned Meetings</w:t>
            </w:r>
          </w:p>
        </w:tc>
        <w:tc>
          <w:tcPr>
            <w:tcW w:w="2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3.13</w:t>
            </w:r>
          </w:p>
        </w:tc>
        <w:tc>
          <w:tcPr>
            <w:tcW w:w="8040" w:type="dxa"/>
            <w:vAlign w:val="bottom"/>
          </w:tcPr>
          <w:p>
            <w:pPr>
              <w:ind w:left="180"/>
              <w:spacing w:after="0"/>
              <w:rPr>
                <w:sz w:val="20"/>
                <w:szCs w:val="20"/>
                <w:color w:val="auto"/>
              </w:rPr>
            </w:pPr>
            <w:r>
              <w:rPr>
                <w:rFonts w:ascii="Arial" w:cs="Arial" w:eastAsia="Arial" w:hAnsi="Arial"/>
                <w:sz w:val="18"/>
                <w:szCs w:val="18"/>
                <w:color w:val="auto"/>
              </w:rPr>
              <w:t>Manner of Acting</w:t>
            </w:r>
          </w:p>
        </w:tc>
        <w:tc>
          <w:tcPr>
            <w:tcW w:w="2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3.14</w:t>
            </w:r>
          </w:p>
        </w:tc>
        <w:tc>
          <w:tcPr>
            <w:tcW w:w="8040" w:type="dxa"/>
            <w:vAlign w:val="bottom"/>
          </w:tcPr>
          <w:p>
            <w:pPr>
              <w:ind w:left="180"/>
              <w:spacing w:after="0"/>
              <w:rPr>
                <w:sz w:val="20"/>
                <w:szCs w:val="20"/>
                <w:color w:val="auto"/>
              </w:rPr>
            </w:pPr>
            <w:r>
              <w:rPr>
                <w:rFonts w:ascii="Arial" w:cs="Arial" w:eastAsia="Arial" w:hAnsi="Arial"/>
                <w:sz w:val="18"/>
                <w:szCs w:val="18"/>
                <w:color w:val="auto"/>
              </w:rPr>
              <w:t>Super-majority Approval</w:t>
            </w:r>
          </w:p>
        </w:tc>
        <w:tc>
          <w:tcPr>
            <w:tcW w:w="2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3.15</w:t>
            </w:r>
          </w:p>
        </w:tc>
        <w:tc>
          <w:tcPr>
            <w:tcW w:w="8040" w:type="dxa"/>
            <w:vAlign w:val="bottom"/>
          </w:tcPr>
          <w:p>
            <w:pPr>
              <w:ind w:left="180"/>
              <w:spacing w:after="0"/>
              <w:rPr>
                <w:sz w:val="20"/>
                <w:szCs w:val="20"/>
                <w:color w:val="auto"/>
              </w:rPr>
            </w:pPr>
            <w:r>
              <w:rPr>
                <w:rFonts w:ascii="Arial" w:cs="Arial" w:eastAsia="Arial" w:hAnsi="Arial"/>
                <w:sz w:val="18"/>
                <w:szCs w:val="18"/>
                <w:color w:val="auto"/>
              </w:rPr>
              <w:t>Telephonic Meetings</w:t>
            </w:r>
          </w:p>
        </w:tc>
        <w:tc>
          <w:tcPr>
            <w:tcW w:w="2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3.16</w:t>
            </w:r>
          </w:p>
        </w:tc>
        <w:tc>
          <w:tcPr>
            <w:tcW w:w="8040" w:type="dxa"/>
            <w:vAlign w:val="bottom"/>
          </w:tcPr>
          <w:p>
            <w:pPr>
              <w:ind w:left="180"/>
              <w:spacing w:after="0"/>
              <w:rPr>
                <w:sz w:val="20"/>
                <w:szCs w:val="20"/>
                <w:color w:val="auto"/>
              </w:rPr>
            </w:pPr>
            <w:r>
              <w:rPr>
                <w:rFonts w:ascii="Arial" w:cs="Arial" w:eastAsia="Arial" w:hAnsi="Arial"/>
                <w:sz w:val="18"/>
                <w:szCs w:val="18"/>
                <w:color w:val="auto"/>
              </w:rPr>
              <w:t>Action Without Meeting</w:t>
            </w:r>
          </w:p>
        </w:tc>
        <w:tc>
          <w:tcPr>
            <w:tcW w:w="2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3.17</w:t>
            </w:r>
          </w:p>
        </w:tc>
        <w:tc>
          <w:tcPr>
            <w:tcW w:w="8040" w:type="dxa"/>
            <w:vAlign w:val="bottom"/>
          </w:tcPr>
          <w:p>
            <w:pPr>
              <w:ind w:left="180"/>
              <w:spacing w:after="0"/>
              <w:rPr>
                <w:sz w:val="20"/>
                <w:szCs w:val="20"/>
                <w:color w:val="auto"/>
              </w:rPr>
            </w:pPr>
            <w:r>
              <w:rPr>
                <w:rFonts w:ascii="Arial" w:cs="Arial" w:eastAsia="Arial" w:hAnsi="Arial"/>
                <w:sz w:val="18"/>
                <w:szCs w:val="18"/>
                <w:color w:val="auto"/>
              </w:rPr>
              <w:t>Powers and Duties</w:t>
            </w:r>
          </w:p>
        </w:tc>
        <w:tc>
          <w:tcPr>
            <w:tcW w:w="2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3.18</w:t>
            </w:r>
          </w:p>
        </w:tc>
        <w:tc>
          <w:tcPr>
            <w:tcW w:w="80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2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1160" w:type="dxa"/>
            <w:vAlign w:val="bottom"/>
          </w:tcPr>
          <w:p>
            <w:pPr>
              <w:ind w:left="440"/>
              <w:spacing w:after="0"/>
              <w:rPr>
                <w:sz w:val="20"/>
                <w:szCs w:val="20"/>
                <w:color w:val="auto"/>
              </w:rPr>
            </w:pPr>
            <w:r>
              <w:rPr>
                <w:rFonts w:ascii="Arial" w:cs="Arial" w:eastAsia="Arial" w:hAnsi="Arial"/>
                <w:sz w:val="18"/>
                <w:szCs w:val="18"/>
                <w:color w:val="auto"/>
              </w:rPr>
              <w:t>3.19</w:t>
            </w:r>
          </w:p>
        </w:tc>
        <w:tc>
          <w:tcPr>
            <w:tcW w:w="8040" w:type="dxa"/>
            <w:vAlign w:val="bottom"/>
          </w:tcPr>
          <w:p>
            <w:pPr>
              <w:ind w:left="180"/>
              <w:spacing w:after="0"/>
              <w:rPr>
                <w:sz w:val="20"/>
                <w:szCs w:val="20"/>
                <w:color w:val="auto"/>
              </w:rPr>
            </w:pPr>
            <w:r>
              <w:rPr>
                <w:rFonts w:ascii="Arial" w:cs="Arial" w:eastAsia="Arial" w:hAnsi="Arial"/>
                <w:sz w:val="18"/>
                <w:szCs w:val="18"/>
                <w:color w:val="auto"/>
              </w:rPr>
              <w:t>Organization</w:t>
            </w:r>
          </w:p>
        </w:tc>
        <w:tc>
          <w:tcPr>
            <w:tcW w:w="2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IV</w:t>
            </w:r>
          </w:p>
        </w:tc>
        <w:tc>
          <w:tcPr>
            <w:tcW w:w="8040" w:type="dxa"/>
            <w:vAlign w:val="bottom"/>
          </w:tcPr>
          <w:p>
            <w:pPr>
              <w:ind w:left="180"/>
              <w:spacing w:after="0"/>
              <w:rPr>
                <w:sz w:val="20"/>
                <w:szCs w:val="20"/>
                <w:color w:val="auto"/>
              </w:rPr>
            </w:pPr>
            <w:r>
              <w:rPr>
                <w:rFonts w:ascii="Arial" w:cs="Arial" w:eastAsia="Arial" w:hAnsi="Arial"/>
                <w:sz w:val="18"/>
                <w:szCs w:val="18"/>
                <w:color w:val="auto"/>
              </w:rPr>
              <w:t>OFFICERS</w:t>
            </w:r>
          </w:p>
        </w:tc>
        <w:tc>
          <w:tcPr>
            <w:tcW w:w="2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1160" w:type="dxa"/>
            <w:vAlign w:val="bottom"/>
          </w:tcPr>
          <w:p>
            <w:pPr>
              <w:ind w:left="440"/>
              <w:spacing w:after="0"/>
              <w:rPr>
                <w:sz w:val="20"/>
                <w:szCs w:val="20"/>
                <w:color w:val="auto"/>
              </w:rPr>
            </w:pPr>
            <w:r>
              <w:rPr>
                <w:rFonts w:ascii="Arial" w:cs="Arial" w:eastAsia="Arial" w:hAnsi="Arial"/>
                <w:sz w:val="18"/>
                <w:szCs w:val="18"/>
                <w:color w:val="auto"/>
              </w:rPr>
              <w:t>4.1</w:t>
            </w:r>
          </w:p>
        </w:tc>
        <w:tc>
          <w:tcPr>
            <w:tcW w:w="8040" w:type="dxa"/>
            <w:vAlign w:val="bottom"/>
          </w:tcPr>
          <w:p>
            <w:pPr>
              <w:ind w:left="180"/>
              <w:spacing w:after="0"/>
              <w:rPr>
                <w:sz w:val="20"/>
                <w:szCs w:val="20"/>
                <w:color w:val="auto"/>
              </w:rPr>
            </w:pPr>
            <w:r>
              <w:rPr>
                <w:rFonts w:ascii="Arial" w:cs="Arial" w:eastAsia="Arial" w:hAnsi="Arial"/>
                <w:sz w:val="18"/>
                <w:szCs w:val="18"/>
                <w:color w:val="auto"/>
              </w:rPr>
              <w:t>Election</w:t>
            </w:r>
          </w:p>
        </w:tc>
        <w:tc>
          <w:tcPr>
            <w:tcW w:w="2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4.2</w:t>
            </w:r>
          </w:p>
        </w:tc>
        <w:tc>
          <w:tcPr>
            <w:tcW w:w="8040" w:type="dxa"/>
            <w:vAlign w:val="bottom"/>
          </w:tcPr>
          <w:p>
            <w:pPr>
              <w:ind w:left="180"/>
              <w:spacing w:after="0"/>
              <w:rPr>
                <w:sz w:val="20"/>
                <w:szCs w:val="20"/>
                <w:color w:val="auto"/>
              </w:rPr>
            </w:pPr>
            <w:r>
              <w:rPr>
                <w:rFonts w:ascii="Arial" w:cs="Arial" w:eastAsia="Arial" w:hAnsi="Arial"/>
                <w:sz w:val="18"/>
                <w:szCs w:val="18"/>
                <w:color w:val="auto"/>
              </w:rPr>
              <w:t>Removal; Resignation</w:t>
            </w:r>
          </w:p>
        </w:tc>
        <w:tc>
          <w:tcPr>
            <w:tcW w:w="2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4.3</w:t>
            </w:r>
          </w:p>
        </w:tc>
        <w:tc>
          <w:tcPr>
            <w:tcW w:w="8040" w:type="dxa"/>
            <w:vAlign w:val="bottom"/>
          </w:tcPr>
          <w:p>
            <w:pPr>
              <w:ind w:left="180"/>
              <w:spacing w:after="0"/>
              <w:rPr>
                <w:sz w:val="20"/>
                <w:szCs w:val="20"/>
                <w:color w:val="auto"/>
              </w:rPr>
            </w:pPr>
            <w:r>
              <w:rPr>
                <w:rFonts w:ascii="Arial" w:cs="Arial" w:eastAsia="Arial" w:hAnsi="Arial"/>
                <w:sz w:val="18"/>
                <w:szCs w:val="18"/>
                <w:color w:val="auto"/>
              </w:rPr>
              <w:t>Vacancies</w:t>
            </w:r>
          </w:p>
        </w:tc>
        <w:tc>
          <w:tcPr>
            <w:tcW w:w="2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4.4</w:t>
            </w:r>
          </w:p>
        </w:tc>
        <w:tc>
          <w:tcPr>
            <w:tcW w:w="804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2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1160" w:type="dxa"/>
            <w:vAlign w:val="bottom"/>
          </w:tcPr>
          <w:p>
            <w:pPr>
              <w:ind w:left="440"/>
              <w:spacing w:after="0"/>
              <w:rPr>
                <w:sz w:val="20"/>
                <w:szCs w:val="20"/>
                <w:color w:val="auto"/>
              </w:rPr>
            </w:pPr>
            <w:r>
              <w:rPr>
                <w:rFonts w:ascii="Arial" w:cs="Arial" w:eastAsia="Arial" w:hAnsi="Arial"/>
                <w:sz w:val="18"/>
                <w:szCs w:val="18"/>
                <w:color w:val="auto"/>
              </w:rPr>
              <w:t>4.5</w:t>
            </w:r>
          </w:p>
        </w:tc>
        <w:tc>
          <w:tcPr>
            <w:tcW w:w="8040" w:type="dxa"/>
            <w:vAlign w:val="bottom"/>
          </w:tcPr>
          <w:p>
            <w:pPr>
              <w:ind w:left="180"/>
              <w:spacing w:after="0"/>
              <w:rPr>
                <w:sz w:val="20"/>
                <w:szCs w:val="20"/>
                <w:color w:val="auto"/>
              </w:rPr>
            </w:pPr>
            <w:r>
              <w:rPr>
                <w:rFonts w:ascii="Arial" w:cs="Arial" w:eastAsia="Arial" w:hAnsi="Arial"/>
                <w:sz w:val="18"/>
                <w:szCs w:val="18"/>
                <w:color w:val="auto"/>
              </w:rPr>
              <w:t>President</w:t>
            </w:r>
          </w:p>
        </w:tc>
        <w:tc>
          <w:tcPr>
            <w:tcW w:w="21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7580" w:type="dxa"/>
            <w:vAlign w:val="bottom"/>
          </w:tcPr>
          <w:p>
            <w:pPr>
              <w:jc w:val="center"/>
              <w:ind w:left="1252"/>
              <w:spacing w:after="0"/>
              <w:rPr>
                <w:sz w:val="20"/>
                <w:szCs w:val="20"/>
                <w:color w:val="auto"/>
              </w:rPr>
            </w:pPr>
            <w:r>
              <w:rPr>
                <w:rFonts w:ascii="Arial" w:cs="Arial" w:eastAsia="Arial" w:hAnsi="Arial"/>
                <w:sz w:val="18"/>
                <w:szCs w:val="18"/>
                <w:b w:val="1"/>
                <w:bCs w:val="1"/>
                <w:color w:val="auto"/>
                <w:w w:val="96"/>
              </w:rPr>
              <w:t>TABLE OF CONTENTS</w:t>
            </w:r>
          </w:p>
        </w:tc>
        <w:tc>
          <w:tcPr>
            <w:tcW w:w="2480" w:type="dxa"/>
            <w:vAlign w:val="bottom"/>
          </w:tcPr>
          <w:p>
            <w:pPr>
              <w:spacing w:after="0"/>
              <w:rPr>
                <w:sz w:val="19"/>
                <w:szCs w:val="19"/>
                <w:color w:val="auto"/>
              </w:rPr>
            </w:pPr>
          </w:p>
        </w:tc>
      </w:tr>
      <w:tr>
        <w:trPr>
          <w:trHeight w:val="222"/>
        </w:trPr>
        <w:tc>
          <w:tcPr>
            <w:tcW w:w="1260" w:type="dxa"/>
            <w:vAlign w:val="bottom"/>
          </w:tcPr>
          <w:p>
            <w:pPr>
              <w:spacing w:after="0"/>
              <w:rPr>
                <w:sz w:val="19"/>
                <w:szCs w:val="19"/>
                <w:color w:val="auto"/>
              </w:rPr>
            </w:pPr>
          </w:p>
        </w:tc>
        <w:tc>
          <w:tcPr>
            <w:tcW w:w="7580" w:type="dxa"/>
            <w:vAlign w:val="bottom"/>
          </w:tcPr>
          <w:p>
            <w:pPr>
              <w:jc w:val="center"/>
              <w:ind w:left="1232"/>
              <w:spacing w:after="0"/>
              <w:rPr>
                <w:sz w:val="20"/>
                <w:szCs w:val="20"/>
                <w:color w:val="auto"/>
              </w:rPr>
            </w:pPr>
            <w:r>
              <w:rPr>
                <w:rFonts w:ascii="Arial" w:cs="Arial" w:eastAsia="Arial" w:hAnsi="Arial"/>
                <w:sz w:val="18"/>
                <w:szCs w:val="18"/>
                <w:color w:val="auto"/>
                <w:w w:val="91"/>
              </w:rPr>
              <w:t>(continued)</w:t>
            </w:r>
          </w:p>
        </w:tc>
        <w:tc>
          <w:tcPr>
            <w:tcW w:w="2480" w:type="dxa"/>
            <w:vAlign w:val="bottom"/>
          </w:tcPr>
          <w:p>
            <w:pPr>
              <w:spacing w:after="0"/>
              <w:rPr>
                <w:sz w:val="19"/>
                <w:szCs w:val="19"/>
                <w:color w:val="auto"/>
              </w:rPr>
            </w:pPr>
          </w:p>
        </w:tc>
      </w:tr>
      <w:tr>
        <w:trPr>
          <w:trHeight w:val="312"/>
        </w:trPr>
        <w:tc>
          <w:tcPr>
            <w:tcW w:w="1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3"/>
        </w:trPr>
        <w:tc>
          <w:tcPr>
            <w:tcW w:w="1260" w:type="dxa"/>
            <w:vAlign w:val="bottom"/>
          </w:tcPr>
          <w:p>
            <w:pPr>
              <w:ind w:left="440"/>
              <w:spacing w:after="0"/>
              <w:rPr>
                <w:sz w:val="20"/>
                <w:szCs w:val="20"/>
                <w:color w:val="auto"/>
              </w:rPr>
            </w:pPr>
            <w:r>
              <w:rPr>
                <w:rFonts w:ascii="Arial" w:cs="Arial" w:eastAsia="Arial" w:hAnsi="Arial"/>
                <w:sz w:val="18"/>
                <w:szCs w:val="18"/>
                <w:color w:val="auto"/>
              </w:rPr>
              <w:t>4.6</w:t>
            </w:r>
          </w:p>
        </w:tc>
        <w:tc>
          <w:tcPr>
            <w:tcW w:w="7580" w:type="dxa"/>
            <w:vAlign w:val="bottom"/>
          </w:tcPr>
          <w:p>
            <w:pPr>
              <w:ind w:left="200"/>
              <w:spacing w:after="0"/>
              <w:rPr>
                <w:sz w:val="20"/>
                <w:szCs w:val="20"/>
                <w:color w:val="auto"/>
              </w:rPr>
            </w:pPr>
            <w:r>
              <w:rPr>
                <w:rFonts w:ascii="Arial" w:cs="Arial" w:eastAsia="Arial" w:hAnsi="Arial"/>
                <w:sz w:val="18"/>
                <w:szCs w:val="18"/>
                <w:color w:val="auto"/>
              </w:rPr>
              <w:t>Vice Presidents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60" w:type="dxa"/>
            <w:vAlign w:val="bottom"/>
          </w:tcPr>
          <w:p>
            <w:pPr>
              <w:ind w:left="440"/>
              <w:spacing w:after="0"/>
              <w:rPr>
                <w:sz w:val="20"/>
                <w:szCs w:val="20"/>
                <w:color w:val="auto"/>
              </w:rPr>
            </w:pPr>
            <w:r>
              <w:rPr>
                <w:rFonts w:ascii="Arial" w:cs="Arial" w:eastAsia="Arial" w:hAnsi="Arial"/>
                <w:sz w:val="18"/>
                <w:szCs w:val="18"/>
                <w:color w:val="auto"/>
              </w:rPr>
              <w:t>4.7</w:t>
            </w:r>
          </w:p>
        </w:tc>
        <w:tc>
          <w:tcPr>
            <w:tcW w:w="7580" w:type="dxa"/>
            <w:vAlign w:val="bottom"/>
          </w:tcPr>
          <w:p>
            <w:pPr>
              <w:ind w:left="200"/>
              <w:spacing w:after="0"/>
              <w:rPr>
                <w:sz w:val="20"/>
                <w:szCs w:val="20"/>
                <w:color w:val="auto"/>
              </w:rPr>
            </w:pPr>
            <w:r>
              <w:rPr>
                <w:rFonts w:ascii="Arial" w:cs="Arial" w:eastAsia="Arial" w:hAnsi="Arial"/>
                <w:sz w:val="18"/>
                <w:szCs w:val="18"/>
                <w:color w:val="auto"/>
              </w:rPr>
              <w:t>Secretary</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60" w:type="dxa"/>
            <w:vAlign w:val="bottom"/>
          </w:tcPr>
          <w:p>
            <w:pPr>
              <w:ind w:left="440"/>
              <w:spacing w:after="0"/>
              <w:rPr>
                <w:sz w:val="20"/>
                <w:szCs w:val="20"/>
                <w:color w:val="auto"/>
              </w:rPr>
            </w:pPr>
            <w:r>
              <w:rPr>
                <w:rFonts w:ascii="Arial" w:cs="Arial" w:eastAsia="Arial" w:hAnsi="Arial"/>
                <w:sz w:val="18"/>
                <w:szCs w:val="18"/>
                <w:color w:val="auto"/>
              </w:rPr>
              <w:t>4.8</w:t>
            </w:r>
          </w:p>
        </w:tc>
        <w:tc>
          <w:tcPr>
            <w:tcW w:w="7580" w:type="dxa"/>
            <w:vAlign w:val="bottom"/>
          </w:tcPr>
          <w:p>
            <w:pPr>
              <w:ind w:left="200"/>
              <w:spacing w:after="0"/>
              <w:rPr>
                <w:sz w:val="20"/>
                <w:szCs w:val="20"/>
                <w:color w:val="auto"/>
              </w:rPr>
            </w:pPr>
            <w:r>
              <w:rPr>
                <w:rFonts w:ascii="Arial" w:cs="Arial" w:eastAsia="Arial" w:hAnsi="Arial"/>
                <w:sz w:val="18"/>
                <w:szCs w:val="18"/>
                <w:color w:val="auto"/>
              </w:rPr>
              <w:t>Assistant Secretaries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60" w:type="dxa"/>
            <w:vAlign w:val="bottom"/>
          </w:tcPr>
          <w:p>
            <w:pPr>
              <w:ind w:left="440"/>
              <w:spacing w:after="0"/>
              <w:rPr>
                <w:sz w:val="20"/>
                <w:szCs w:val="20"/>
                <w:color w:val="auto"/>
              </w:rPr>
            </w:pPr>
            <w:r>
              <w:rPr>
                <w:rFonts w:ascii="Arial" w:cs="Arial" w:eastAsia="Arial" w:hAnsi="Arial"/>
                <w:sz w:val="18"/>
                <w:szCs w:val="18"/>
                <w:color w:val="auto"/>
              </w:rPr>
              <w:t>4.9</w:t>
            </w:r>
          </w:p>
        </w:tc>
        <w:tc>
          <w:tcPr>
            <w:tcW w:w="7580" w:type="dxa"/>
            <w:vAlign w:val="bottom"/>
          </w:tcPr>
          <w:p>
            <w:pPr>
              <w:ind w:left="200"/>
              <w:spacing w:after="0"/>
              <w:rPr>
                <w:sz w:val="20"/>
                <w:szCs w:val="20"/>
                <w:color w:val="auto"/>
              </w:rPr>
            </w:pPr>
            <w:r>
              <w:rPr>
                <w:rFonts w:ascii="Arial" w:cs="Arial" w:eastAsia="Arial" w:hAnsi="Arial"/>
                <w:sz w:val="18"/>
                <w:szCs w:val="18"/>
                <w:color w:val="auto"/>
              </w:rPr>
              <w:t>Treasurer</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60" w:type="dxa"/>
            <w:vAlign w:val="bottom"/>
          </w:tcPr>
          <w:p>
            <w:pPr>
              <w:ind w:left="440"/>
              <w:spacing w:after="0"/>
              <w:rPr>
                <w:sz w:val="20"/>
                <w:szCs w:val="20"/>
                <w:color w:val="auto"/>
              </w:rPr>
            </w:pPr>
            <w:r>
              <w:rPr>
                <w:rFonts w:ascii="Arial" w:cs="Arial" w:eastAsia="Arial" w:hAnsi="Arial"/>
                <w:sz w:val="18"/>
                <w:szCs w:val="18"/>
                <w:color w:val="auto"/>
              </w:rPr>
              <w:t>4.10</w:t>
            </w:r>
          </w:p>
        </w:tc>
        <w:tc>
          <w:tcPr>
            <w:tcW w:w="7580" w:type="dxa"/>
            <w:vAlign w:val="bottom"/>
          </w:tcPr>
          <w:p>
            <w:pPr>
              <w:ind w:left="200"/>
              <w:spacing w:after="0"/>
              <w:rPr>
                <w:sz w:val="20"/>
                <w:szCs w:val="20"/>
                <w:color w:val="auto"/>
              </w:rPr>
            </w:pPr>
            <w:r>
              <w:rPr>
                <w:rFonts w:ascii="Arial" w:cs="Arial" w:eastAsia="Arial" w:hAnsi="Arial"/>
                <w:sz w:val="18"/>
                <w:szCs w:val="18"/>
                <w:color w:val="auto"/>
              </w:rPr>
              <w:t>Assistant Treasurers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260" w:type="dxa"/>
            <w:vAlign w:val="bottom"/>
          </w:tcPr>
          <w:p>
            <w:pPr>
              <w:ind w:left="440"/>
              <w:spacing w:after="0"/>
              <w:rPr>
                <w:sz w:val="20"/>
                <w:szCs w:val="20"/>
                <w:color w:val="auto"/>
              </w:rPr>
            </w:pPr>
            <w:r>
              <w:rPr>
                <w:rFonts w:ascii="Arial" w:cs="Arial" w:eastAsia="Arial" w:hAnsi="Arial"/>
                <w:sz w:val="18"/>
                <w:szCs w:val="18"/>
                <w:color w:val="auto"/>
              </w:rPr>
              <w:t>4.11</w:t>
            </w:r>
          </w:p>
        </w:tc>
        <w:tc>
          <w:tcPr>
            <w:tcW w:w="7580" w:type="dxa"/>
            <w:vAlign w:val="bottom"/>
          </w:tcPr>
          <w:p>
            <w:pPr>
              <w:ind w:left="200"/>
              <w:spacing w:after="0"/>
              <w:rPr>
                <w:sz w:val="20"/>
                <w:szCs w:val="20"/>
                <w:color w:val="auto"/>
              </w:rPr>
            </w:pPr>
            <w:r>
              <w:rPr>
                <w:rFonts w:ascii="Arial" w:cs="Arial" w:eastAsia="Arial" w:hAnsi="Arial"/>
                <w:sz w:val="18"/>
                <w:szCs w:val="18"/>
                <w:color w:val="auto"/>
              </w:rPr>
              <w:t>Execution of Negotiable Instruments, Deeds and Contracts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V</w:t>
            </w:r>
          </w:p>
        </w:tc>
        <w:tc>
          <w:tcPr>
            <w:tcW w:w="7580" w:type="dxa"/>
            <w:vAlign w:val="bottom"/>
          </w:tcPr>
          <w:p>
            <w:pPr>
              <w:ind w:left="200"/>
              <w:spacing w:after="0"/>
              <w:rPr>
                <w:sz w:val="20"/>
                <w:szCs w:val="20"/>
                <w:color w:val="auto"/>
              </w:rPr>
            </w:pPr>
            <w:r>
              <w:rPr>
                <w:rFonts w:ascii="Arial" w:cs="Arial" w:eastAsia="Arial" w:hAnsi="Arial"/>
                <w:sz w:val="18"/>
                <w:szCs w:val="18"/>
                <w:color w:val="auto"/>
              </w:rPr>
              <w:t>CAPITAL STOCK</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1260" w:type="dxa"/>
            <w:vAlign w:val="bottom"/>
          </w:tcPr>
          <w:p>
            <w:pPr>
              <w:ind w:left="440"/>
              <w:spacing w:after="0"/>
              <w:rPr>
                <w:sz w:val="20"/>
                <w:szCs w:val="20"/>
                <w:color w:val="auto"/>
              </w:rPr>
            </w:pPr>
            <w:r>
              <w:rPr>
                <w:rFonts w:ascii="Arial" w:cs="Arial" w:eastAsia="Arial" w:hAnsi="Arial"/>
                <w:sz w:val="18"/>
                <w:szCs w:val="18"/>
                <w:color w:val="auto"/>
              </w:rPr>
              <w:t>5.1</w:t>
            </w:r>
          </w:p>
        </w:tc>
        <w:tc>
          <w:tcPr>
            <w:tcW w:w="7580" w:type="dxa"/>
            <w:vAlign w:val="bottom"/>
          </w:tcPr>
          <w:p>
            <w:pPr>
              <w:ind w:left="200"/>
              <w:spacing w:after="0"/>
              <w:rPr>
                <w:sz w:val="20"/>
                <w:szCs w:val="20"/>
                <w:color w:val="auto"/>
              </w:rPr>
            </w:pPr>
            <w:r>
              <w:rPr>
                <w:rFonts w:ascii="Arial" w:cs="Arial" w:eastAsia="Arial" w:hAnsi="Arial"/>
                <w:sz w:val="18"/>
                <w:szCs w:val="18"/>
                <w:color w:val="auto"/>
              </w:rPr>
              <w:t>Issuance</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60" w:type="dxa"/>
            <w:vAlign w:val="bottom"/>
          </w:tcPr>
          <w:p>
            <w:pPr>
              <w:ind w:left="440"/>
              <w:spacing w:after="0"/>
              <w:rPr>
                <w:sz w:val="20"/>
                <w:szCs w:val="20"/>
                <w:color w:val="auto"/>
              </w:rPr>
            </w:pPr>
            <w:r>
              <w:rPr>
                <w:rFonts w:ascii="Arial" w:cs="Arial" w:eastAsia="Arial" w:hAnsi="Arial"/>
                <w:sz w:val="18"/>
                <w:szCs w:val="18"/>
                <w:color w:val="auto"/>
              </w:rPr>
              <w:t>5.2</w:t>
            </w:r>
          </w:p>
        </w:tc>
        <w:tc>
          <w:tcPr>
            <w:tcW w:w="7580" w:type="dxa"/>
            <w:vAlign w:val="bottom"/>
          </w:tcPr>
          <w:p>
            <w:pPr>
              <w:ind w:left="200"/>
              <w:spacing w:after="0"/>
              <w:rPr>
                <w:sz w:val="20"/>
                <w:szCs w:val="20"/>
                <w:color w:val="auto"/>
              </w:rPr>
            </w:pPr>
            <w:r>
              <w:rPr>
                <w:rFonts w:ascii="Arial" w:cs="Arial" w:eastAsia="Arial" w:hAnsi="Arial"/>
                <w:sz w:val="18"/>
                <w:szCs w:val="18"/>
                <w:color w:val="auto"/>
              </w:rPr>
              <w:t>Stock Certificates and Uncertificated Shares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60" w:type="dxa"/>
            <w:vAlign w:val="bottom"/>
          </w:tcPr>
          <w:p>
            <w:pPr>
              <w:ind w:left="440"/>
              <w:spacing w:after="0"/>
              <w:rPr>
                <w:sz w:val="20"/>
                <w:szCs w:val="20"/>
                <w:color w:val="auto"/>
              </w:rPr>
            </w:pPr>
            <w:r>
              <w:rPr>
                <w:rFonts w:ascii="Arial" w:cs="Arial" w:eastAsia="Arial" w:hAnsi="Arial"/>
                <w:sz w:val="18"/>
                <w:szCs w:val="18"/>
                <w:color w:val="auto"/>
              </w:rPr>
              <w:t>5.3</w:t>
            </w:r>
          </w:p>
        </w:tc>
        <w:tc>
          <w:tcPr>
            <w:tcW w:w="7580" w:type="dxa"/>
            <w:vAlign w:val="bottom"/>
          </w:tcPr>
          <w:p>
            <w:pPr>
              <w:ind w:left="200"/>
              <w:spacing w:after="0"/>
              <w:rPr>
                <w:sz w:val="20"/>
                <w:szCs w:val="20"/>
                <w:color w:val="auto"/>
              </w:rPr>
            </w:pPr>
            <w:r>
              <w:rPr>
                <w:rFonts w:ascii="Arial" w:cs="Arial" w:eastAsia="Arial" w:hAnsi="Arial"/>
                <w:sz w:val="18"/>
                <w:szCs w:val="18"/>
                <w:color w:val="auto"/>
              </w:rPr>
              <w:t>Surrendered; Lost or Destroyed Certificates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60" w:type="dxa"/>
            <w:vAlign w:val="bottom"/>
          </w:tcPr>
          <w:p>
            <w:pPr>
              <w:ind w:left="440"/>
              <w:spacing w:after="0"/>
              <w:rPr>
                <w:sz w:val="20"/>
                <w:szCs w:val="20"/>
                <w:color w:val="auto"/>
              </w:rPr>
            </w:pPr>
            <w:r>
              <w:rPr>
                <w:rFonts w:ascii="Arial" w:cs="Arial" w:eastAsia="Arial" w:hAnsi="Arial"/>
                <w:sz w:val="18"/>
                <w:szCs w:val="18"/>
                <w:color w:val="auto"/>
              </w:rPr>
              <w:t>5.4</w:t>
            </w:r>
          </w:p>
        </w:tc>
        <w:tc>
          <w:tcPr>
            <w:tcW w:w="7580" w:type="dxa"/>
            <w:vAlign w:val="bottom"/>
          </w:tcPr>
          <w:p>
            <w:pPr>
              <w:ind w:left="200"/>
              <w:spacing w:after="0"/>
              <w:rPr>
                <w:sz w:val="20"/>
                <w:szCs w:val="20"/>
                <w:color w:val="auto"/>
              </w:rPr>
            </w:pPr>
            <w:r>
              <w:rPr>
                <w:rFonts w:ascii="Arial" w:cs="Arial" w:eastAsia="Arial" w:hAnsi="Arial"/>
                <w:sz w:val="18"/>
                <w:szCs w:val="18"/>
                <w:color w:val="auto"/>
              </w:rPr>
              <w:t>Replacement Certificate</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60" w:type="dxa"/>
            <w:vAlign w:val="bottom"/>
          </w:tcPr>
          <w:p>
            <w:pPr>
              <w:ind w:left="440"/>
              <w:spacing w:after="0"/>
              <w:rPr>
                <w:sz w:val="20"/>
                <w:szCs w:val="20"/>
                <w:color w:val="auto"/>
              </w:rPr>
            </w:pPr>
            <w:r>
              <w:rPr>
                <w:rFonts w:ascii="Arial" w:cs="Arial" w:eastAsia="Arial" w:hAnsi="Arial"/>
                <w:sz w:val="18"/>
                <w:szCs w:val="18"/>
                <w:color w:val="auto"/>
              </w:rPr>
              <w:t>5.5</w:t>
            </w:r>
          </w:p>
        </w:tc>
        <w:tc>
          <w:tcPr>
            <w:tcW w:w="7580" w:type="dxa"/>
            <w:vAlign w:val="bottom"/>
          </w:tcPr>
          <w:p>
            <w:pPr>
              <w:ind w:left="200"/>
              <w:spacing w:after="0"/>
              <w:rPr>
                <w:sz w:val="20"/>
                <w:szCs w:val="20"/>
                <w:color w:val="auto"/>
              </w:rPr>
            </w:pPr>
            <w:r>
              <w:rPr>
                <w:rFonts w:ascii="Arial" w:cs="Arial" w:eastAsia="Arial" w:hAnsi="Arial"/>
                <w:sz w:val="18"/>
                <w:szCs w:val="18"/>
                <w:color w:val="auto"/>
              </w:rPr>
              <w:t>Transfer of Shares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60" w:type="dxa"/>
            <w:vAlign w:val="bottom"/>
          </w:tcPr>
          <w:p>
            <w:pPr>
              <w:ind w:left="440"/>
              <w:spacing w:after="0"/>
              <w:rPr>
                <w:sz w:val="20"/>
                <w:szCs w:val="20"/>
                <w:color w:val="auto"/>
              </w:rPr>
            </w:pPr>
            <w:r>
              <w:rPr>
                <w:rFonts w:ascii="Arial" w:cs="Arial" w:eastAsia="Arial" w:hAnsi="Arial"/>
                <w:sz w:val="18"/>
                <w:szCs w:val="18"/>
                <w:color w:val="auto"/>
              </w:rPr>
              <w:t>5.6</w:t>
            </w:r>
          </w:p>
        </w:tc>
        <w:tc>
          <w:tcPr>
            <w:tcW w:w="7580" w:type="dxa"/>
            <w:vAlign w:val="bottom"/>
          </w:tcPr>
          <w:p>
            <w:pPr>
              <w:ind w:left="200"/>
              <w:spacing w:after="0"/>
              <w:rPr>
                <w:sz w:val="20"/>
                <w:szCs w:val="20"/>
                <w:color w:val="auto"/>
              </w:rPr>
            </w:pPr>
            <w:r>
              <w:rPr>
                <w:rFonts w:ascii="Arial" w:cs="Arial" w:eastAsia="Arial" w:hAnsi="Arial"/>
                <w:sz w:val="18"/>
                <w:szCs w:val="18"/>
                <w:color w:val="auto"/>
              </w:rPr>
              <w:t>Transfer Agent; Registrars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60" w:type="dxa"/>
            <w:vAlign w:val="bottom"/>
          </w:tcPr>
          <w:p>
            <w:pPr>
              <w:ind w:left="440"/>
              <w:spacing w:after="0"/>
              <w:rPr>
                <w:sz w:val="20"/>
                <w:szCs w:val="20"/>
                <w:color w:val="auto"/>
              </w:rPr>
            </w:pPr>
            <w:r>
              <w:rPr>
                <w:rFonts w:ascii="Arial" w:cs="Arial" w:eastAsia="Arial" w:hAnsi="Arial"/>
                <w:sz w:val="18"/>
                <w:szCs w:val="18"/>
                <w:color w:val="auto"/>
              </w:rPr>
              <w:t>5.7</w:t>
            </w:r>
          </w:p>
        </w:tc>
        <w:tc>
          <w:tcPr>
            <w:tcW w:w="7580" w:type="dxa"/>
            <w:vAlign w:val="bottom"/>
          </w:tcPr>
          <w:p>
            <w:pPr>
              <w:ind w:left="200"/>
              <w:spacing w:after="0"/>
              <w:rPr>
                <w:sz w:val="20"/>
                <w:szCs w:val="20"/>
                <w:color w:val="auto"/>
              </w:rPr>
            </w:pPr>
            <w:r>
              <w:rPr>
                <w:rFonts w:ascii="Arial" w:cs="Arial" w:eastAsia="Arial" w:hAnsi="Arial"/>
                <w:sz w:val="18"/>
                <w:szCs w:val="18"/>
                <w:color w:val="auto"/>
              </w:rPr>
              <w:t>Miscellaneous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260" w:type="dxa"/>
            <w:vAlign w:val="bottom"/>
          </w:tcPr>
          <w:p>
            <w:pPr>
              <w:ind w:left="440"/>
              <w:spacing w:after="0"/>
              <w:rPr>
                <w:sz w:val="20"/>
                <w:szCs w:val="20"/>
                <w:color w:val="auto"/>
              </w:rPr>
            </w:pPr>
            <w:r>
              <w:rPr>
                <w:rFonts w:ascii="Arial" w:cs="Arial" w:eastAsia="Arial" w:hAnsi="Arial"/>
                <w:sz w:val="18"/>
                <w:szCs w:val="18"/>
                <w:color w:val="auto"/>
              </w:rPr>
              <w:t>5.8</w:t>
            </w:r>
          </w:p>
        </w:tc>
        <w:tc>
          <w:tcPr>
            <w:tcW w:w="7580" w:type="dxa"/>
            <w:vAlign w:val="bottom"/>
          </w:tcPr>
          <w:p>
            <w:pPr>
              <w:ind w:left="200"/>
              <w:spacing w:after="0"/>
              <w:rPr>
                <w:sz w:val="20"/>
                <w:szCs w:val="20"/>
                <w:color w:val="auto"/>
              </w:rPr>
            </w:pPr>
            <w:r>
              <w:rPr>
                <w:rFonts w:ascii="Arial" w:cs="Arial" w:eastAsia="Arial" w:hAnsi="Arial"/>
                <w:sz w:val="18"/>
                <w:szCs w:val="18"/>
                <w:color w:val="auto"/>
              </w:rPr>
              <w:t>Inapplicability of Controlling Interest Statutes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VI</w:t>
            </w:r>
          </w:p>
        </w:tc>
        <w:tc>
          <w:tcPr>
            <w:tcW w:w="758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VII</w:t>
            </w:r>
          </w:p>
        </w:tc>
        <w:tc>
          <w:tcPr>
            <w:tcW w:w="7580" w:type="dxa"/>
            <w:vAlign w:val="bottom"/>
          </w:tcPr>
          <w:p>
            <w:pPr>
              <w:ind w:left="200"/>
              <w:spacing w:after="0"/>
              <w:rPr>
                <w:sz w:val="20"/>
                <w:szCs w:val="20"/>
                <w:color w:val="auto"/>
              </w:rPr>
            </w:pPr>
            <w:r>
              <w:rPr>
                <w:rFonts w:ascii="Arial" w:cs="Arial" w:eastAsia="Arial" w:hAnsi="Arial"/>
                <w:sz w:val="18"/>
                <w:szCs w:val="18"/>
                <w:color w:val="auto"/>
              </w:rPr>
              <w:t>RECORDS; REPORTS; SEAL; AND FINANCIAL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1260" w:type="dxa"/>
            <w:vAlign w:val="bottom"/>
          </w:tcPr>
          <w:p>
            <w:pPr>
              <w:ind w:left="440"/>
              <w:spacing w:after="0"/>
              <w:rPr>
                <w:sz w:val="20"/>
                <w:szCs w:val="20"/>
                <w:color w:val="auto"/>
              </w:rPr>
            </w:pPr>
            <w:r>
              <w:rPr>
                <w:rFonts w:ascii="Arial" w:cs="Arial" w:eastAsia="Arial" w:hAnsi="Arial"/>
                <w:sz w:val="18"/>
                <w:szCs w:val="18"/>
                <w:color w:val="auto"/>
              </w:rPr>
              <w:t>7.1</w:t>
            </w:r>
          </w:p>
        </w:tc>
        <w:tc>
          <w:tcPr>
            <w:tcW w:w="7580" w:type="dxa"/>
            <w:vAlign w:val="bottom"/>
          </w:tcPr>
          <w:p>
            <w:pPr>
              <w:ind w:left="200"/>
              <w:spacing w:after="0"/>
              <w:rPr>
                <w:sz w:val="20"/>
                <w:szCs w:val="20"/>
                <w:color w:val="auto"/>
              </w:rPr>
            </w:pPr>
            <w:r>
              <w:rPr>
                <w:rFonts w:ascii="Arial" w:cs="Arial" w:eastAsia="Arial" w:hAnsi="Arial"/>
                <w:sz w:val="18"/>
                <w:szCs w:val="18"/>
                <w:color w:val="auto"/>
              </w:rPr>
              <w:t>Records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60" w:type="dxa"/>
            <w:vAlign w:val="bottom"/>
          </w:tcPr>
          <w:p>
            <w:pPr>
              <w:ind w:left="440"/>
              <w:spacing w:after="0"/>
              <w:rPr>
                <w:sz w:val="20"/>
                <w:szCs w:val="20"/>
                <w:color w:val="auto"/>
              </w:rPr>
            </w:pPr>
            <w:r>
              <w:rPr>
                <w:rFonts w:ascii="Arial" w:cs="Arial" w:eastAsia="Arial" w:hAnsi="Arial"/>
                <w:sz w:val="18"/>
                <w:szCs w:val="18"/>
                <w:color w:val="auto"/>
              </w:rPr>
              <w:t>7.2</w:t>
            </w:r>
          </w:p>
        </w:tc>
        <w:tc>
          <w:tcPr>
            <w:tcW w:w="7580" w:type="dxa"/>
            <w:vAlign w:val="bottom"/>
          </w:tcPr>
          <w:p>
            <w:pPr>
              <w:ind w:left="200"/>
              <w:spacing w:after="0"/>
              <w:rPr>
                <w:sz w:val="20"/>
                <w:szCs w:val="20"/>
                <w:color w:val="auto"/>
              </w:rPr>
            </w:pPr>
            <w:r>
              <w:rPr>
                <w:rFonts w:ascii="Arial" w:cs="Arial" w:eastAsia="Arial" w:hAnsi="Arial"/>
                <w:sz w:val="18"/>
                <w:szCs w:val="18"/>
                <w:color w:val="auto"/>
              </w:rPr>
              <w:t>Corporate Seal</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1260" w:type="dxa"/>
            <w:vAlign w:val="bottom"/>
          </w:tcPr>
          <w:p>
            <w:pPr>
              <w:ind w:left="440"/>
              <w:spacing w:after="0"/>
              <w:rPr>
                <w:sz w:val="20"/>
                <w:szCs w:val="20"/>
                <w:color w:val="auto"/>
              </w:rPr>
            </w:pPr>
            <w:r>
              <w:rPr>
                <w:rFonts w:ascii="Arial" w:cs="Arial" w:eastAsia="Arial" w:hAnsi="Arial"/>
                <w:sz w:val="18"/>
                <w:szCs w:val="18"/>
                <w:color w:val="auto"/>
              </w:rPr>
              <w:t>7.3</w:t>
            </w:r>
          </w:p>
        </w:tc>
        <w:tc>
          <w:tcPr>
            <w:tcW w:w="7580" w:type="dxa"/>
            <w:vAlign w:val="bottom"/>
          </w:tcPr>
          <w:p>
            <w:pPr>
              <w:ind w:left="200"/>
              <w:spacing w:after="0"/>
              <w:rPr>
                <w:sz w:val="20"/>
                <w:szCs w:val="20"/>
                <w:color w:val="auto"/>
              </w:rPr>
            </w:pPr>
            <w:r>
              <w:rPr>
                <w:rFonts w:ascii="Arial" w:cs="Arial" w:eastAsia="Arial" w:hAnsi="Arial"/>
                <w:sz w:val="18"/>
                <w:szCs w:val="18"/>
                <w:color w:val="auto"/>
              </w:rPr>
              <w:t>Fiscal Year-End</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VIII</w:t>
            </w:r>
          </w:p>
        </w:tc>
        <w:tc>
          <w:tcPr>
            <w:tcW w:w="758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1260" w:type="dxa"/>
            <w:vAlign w:val="bottom"/>
          </w:tcPr>
          <w:p>
            <w:pPr>
              <w:ind w:left="440"/>
              <w:spacing w:after="0"/>
              <w:rPr>
                <w:sz w:val="20"/>
                <w:szCs w:val="20"/>
                <w:color w:val="auto"/>
              </w:rPr>
            </w:pPr>
            <w:r>
              <w:rPr>
                <w:rFonts w:ascii="Arial" w:cs="Arial" w:eastAsia="Arial" w:hAnsi="Arial"/>
                <w:sz w:val="18"/>
                <w:szCs w:val="18"/>
                <w:color w:val="auto"/>
              </w:rPr>
              <w:t>8.1</w:t>
            </w:r>
          </w:p>
        </w:tc>
        <w:tc>
          <w:tcPr>
            <w:tcW w:w="7580" w:type="dxa"/>
            <w:vAlign w:val="bottom"/>
          </w:tcPr>
          <w:p>
            <w:pPr>
              <w:ind w:left="200"/>
              <w:spacing w:after="0"/>
              <w:rPr>
                <w:sz w:val="20"/>
                <w:szCs w:val="20"/>
                <w:color w:val="auto"/>
              </w:rPr>
            </w:pPr>
            <w:r>
              <w:rPr>
                <w:rFonts w:ascii="Arial" w:cs="Arial" w:eastAsia="Arial" w:hAnsi="Arial"/>
                <w:sz w:val="18"/>
                <w:szCs w:val="18"/>
                <w:color w:val="auto"/>
              </w:rPr>
              <w:t>Indemnification and 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1260" w:type="dxa"/>
            <w:vAlign w:val="bottom"/>
          </w:tcPr>
          <w:p>
            <w:pPr>
              <w:ind w:left="440"/>
              <w:spacing w:after="0"/>
              <w:rPr>
                <w:sz w:val="20"/>
                <w:szCs w:val="20"/>
                <w:color w:val="auto"/>
              </w:rPr>
            </w:pPr>
            <w:r>
              <w:rPr>
                <w:rFonts w:ascii="Arial" w:cs="Arial" w:eastAsia="Arial" w:hAnsi="Arial"/>
                <w:sz w:val="18"/>
                <w:szCs w:val="18"/>
                <w:color w:val="auto"/>
              </w:rPr>
              <w:t>8.2</w:t>
            </w:r>
          </w:p>
        </w:tc>
        <w:tc>
          <w:tcPr>
            <w:tcW w:w="7580" w:type="dxa"/>
            <w:vAlign w:val="bottom"/>
          </w:tcPr>
          <w:p>
            <w:pPr>
              <w:ind w:left="200"/>
              <w:spacing w:after="0"/>
              <w:rPr>
                <w:sz w:val="20"/>
                <w:szCs w:val="20"/>
                <w:color w:val="auto"/>
              </w:rPr>
            </w:pPr>
            <w:r>
              <w:rPr>
                <w:rFonts w:ascii="Arial" w:cs="Arial" w:eastAsia="Arial" w:hAnsi="Arial"/>
                <w:sz w:val="18"/>
                <w:szCs w:val="18"/>
                <w:color w:val="auto"/>
              </w:rPr>
              <w:t>Amendment</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IX</w:t>
            </w:r>
          </w:p>
        </w:tc>
        <w:tc>
          <w:tcPr>
            <w:tcW w:w="7580" w:type="dxa"/>
            <w:vAlign w:val="bottom"/>
          </w:tcPr>
          <w:p>
            <w:pPr>
              <w:ind w:left="200"/>
              <w:spacing w:after="0"/>
              <w:rPr>
                <w:sz w:val="20"/>
                <w:szCs w:val="20"/>
                <w:color w:val="auto"/>
              </w:rPr>
            </w:pPr>
            <w:r>
              <w:rPr>
                <w:rFonts w:ascii="Arial" w:cs="Arial" w:eastAsia="Arial" w:hAnsi="Arial"/>
                <w:sz w:val="18"/>
                <w:szCs w:val="18"/>
                <w:color w:val="auto"/>
              </w:rPr>
              <w:t>CHANGES IN NEVADA LAW</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X</w:t>
            </w:r>
          </w:p>
        </w:tc>
        <w:tc>
          <w:tcPr>
            <w:tcW w:w="7580" w:type="dxa"/>
            <w:vAlign w:val="bottom"/>
          </w:tcPr>
          <w:p>
            <w:pPr>
              <w:ind w:left="200"/>
              <w:spacing w:after="0"/>
              <w:rPr>
                <w:sz w:val="20"/>
                <w:szCs w:val="20"/>
                <w:color w:val="auto"/>
              </w:rPr>
            </w:pPr>
            <w:r>
              <w:rPr>
                <w:rFonts w:ascii="Arial" w:cs="Arial" w:eastAsia="Arial" w:hAnsi="Arial"/>
                <w:sz w:val="18"/>
                <w:szCs w:val="18"/>
                <w:color w:val="auto"/>
              </w:rPr>
              <w:t>AMENDMENT OR REPEAL</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60" w:type="dxa"/>
            <w:vAlign w:val="bottom"/>
          </w:tcPr>
          <w:p>
            <w:pPr>
              <w:ind w:left="440"/>
              <w:spacing w:after="0"/>
              <w:rPr>
                <w:sz w:val="20"/>
                <w:szCs w:val="20"/>
                <w:color w:val="auto"/>
              </w:rPr>
            </w:pPr>
            <w:r>
              <w:rPr>
                <w:rFonts w:ascii="Arial" w:cs="Arial" w:eastAsia="Arial" w:hAnsi="Arial"/>
                <w:sz w:val="18"/>
                <w:szCs w:val="18"/>
                <w:color w:val="auto"/>
              </w:rPr>
              <w:t>10.1</w:t>
            </w:r>
          </w:p>
        </w:tc>
        <w:tc>
          <w:tcPr>
            <w:tcW w:w="7580" w:type="dxa"/>
            <w:vAlign w:val="bottom"/>
          </w:tcPr>
          <w:p>
            <w:pPr>
              <w:ind w:left="200"/>
              <w:spacing w:after="0"/>
              <w:rPr>
                <w:sz w:val="20"/>
                <w:szCs w:val="20"/>
                <w:color w:val="auto"/>
              </w:rPr>
            </w:pPr>
            <w:r>
              <w:rPr>
                <w:rFonts w:ascii="Arial" w:cs="Arial" w:eastAsia="Arial" w:hAnsi="Arial"/>
                <w:sz w:val="18"/>
                <w:szCs w:val="18"/>
                <w:color w:val="auto"/>
              </w:rPr>
              <w:t>Amendment of Bylaws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5"/>
        </w:trPr>
        <w:tc>
          <w:tcPr>
            <w:tcW w:w="1260" w:type="dxa"/>
            <w:vAlign w:val="bottom"/>
          </w:tcPr>
          <w:p>
            <w:pPr>
              <w:spacing w:after="0"/>
              <w:rPr>
                <w:sz w:val="24"/>
                <w:szCs w:val="24"/>
                <w:color w:val="auto"/>
              </w:rPr>
            </w:pPr>
          </w:p>
        </w:tc>
        <w:tc>
          <w:tcPr>
            <w:tcW w:w="7580" w:type="dxa"/>
            <w:vAlign w:val="bottom"/>
          </w:tcPr>
          <w:p>
            <w:pPr>
              <w:jc w:val="center"/>
              <w:ind w:left="1232"/>
              <w:spacing w:after="0"/>
              <w:rPr>
                <w:sz w:val="20"/>
                <w:szCs w:val="20"/>
                <w:color w:val="auto"/>
              </w:rPr>
            </w:pPr>
            <w:r>
              <w:rPr>
                <w:rFonts w:ascii="Arial" w:cs="Arial" w:eastAsia="Arial" w:hAnsi="Arial"/>
                <w:sz w:val="18"/>
                <w:szCs w:val="18"/>
                <w:color w:val="auto"/>
              </w:rPr>
              <w:t>-ii-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AMENDED AND RESTATED BYLAWS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Nevada corporation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OFFICES</w:t>
      </w:r>
    </w:p>
    <w:p>
      <w:pPr>
        <w:spacing w:after="0" w:line="159"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and place of business of Wynn Resorts, Limited (the “</w:t>
      </w:r>
      <w:r>
        <w:rPr>
          <w:rFonts w:ascii="Arial" w:cs="Arial" w:eastAsia="Arial" w:hAnsi="Arial"/>
          <w:sz w:val="18"/>
          <w:szCs w:val="18"/>
          <w:b w:val="1"/>
          <w:bCs w:val="1"/>
          <w:color w:val="auto"/>
        </w:rPr>
        <w:t>Corporation</w:t>
      </w:r>
      <w:r>
        <w:rPr>
          <w:rFonts w:ascii="Arial" w:cs="Arial" w:eastAsia="Arial" w:hAnsi="Arial"/>
          <w:sz w:val="18"/>
          <w:szCs w:val="18"/>
          <w:color w:val="auto"/>
        </w:rPr>
        <w:t>”) shall be at 3131 Las Vegas Boulevard South, Las Vegas, Nevada 89109 or at such other location as established from time to time by resolution of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w:t>
      </w:r>
    </w:p>
    <w:p>
      <w:pPr>
        <w:spacing w:after="0" w:line="13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Other offices and places of business either within or without the State of Nevada may be established from time to time by resolution of the Board of Directors or as the business of the Corporation may require. The street address of the Corporation’s registered agent is the registered office of the Corporation in Nevada.</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STOCKHOLDERS</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the stockholders of the Corporation shall be held on such date and at such time as may be designated from time to time by the Board of Directors. At the annual meeting, directors shall be elected and any other business may be transacted as may be properly brought before the meeting pursuant to these Fifth Amended and Restated Bylaws (as amended from time to time, these “</w:t>
      </w:r>
      <w:r>
        <w:rPr>
          <w:rFonts w:ascii="Arial" w:cs="Arial" w:eastAsia="Arial" w:hAnsi="Arial"/>
          <w:sz w:val="16"/>
          <w:szCs w:val="16"/>
          <w:b w:val="1"/>
          <w:bCs w:val="1"/>
          <w:color w:val="auto"/>
        </w:rPr>
        <w:t>Bylaws</w:t>
      </w:r>
      <w:r>
        <w:rPr>
          <w:rFonts w:ascii="Arial" w:cs="Arial" w:eastAsia="Arial" w:hAnsi="Arial"/>
          <w:sz w:val="16"/>
          <w:szCs w:val="16"/>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84" w:lineRule="exact"/>
        <w:rPr>
          <w:sz w:val="20"/>
          <w:szCs w:val="20"/>
          <w:color w:val="auto"/>
        </w:rPr>
      </w:pPr>
    </w:p>
    <w:p>
      <w:pPr>
        <w:jc w:val="both"/>
        <w:ind w:right="160" w:firstLine="921"/>
        <w:spacing w:after="0" w:line="301" w:lineRule="auto"/>
        <w:tabs>
          <w:tab w:leader="none" w:pos="1152" w:val="left"/>
        </w:tabs>
        <w:numPr>
          <w:ilvl w:val="0"/>
          <w:numId w:val="3"/>
        </w:numPr>
        <w:rPr>
          <w:rFonts w:ascii="Arial" w:cs="Arial" w:eastAsia="Arial" w:hAnsi="Arial"/>
          <w:sz w:val="16"/>
          <w:szCs w:val="16"/>
          <w:color w:val="auto"/>
        </w:rPr>
      </w:pPr>
      <w:r>
        <w:rPr>
          <w:rFonts w:ascii="Arial" w:cs="Arial" w:eastAsia="Arial" w:hAnsi="Arial"/>
          <w:sz w:val="16"/>
          <w:szCs w:val="16"/>
          <w:color w:val="auto"/>
        </w:rPr>
        <w:t>Subject to any rights of stockholders set forth in the articles of incorporation of the Corporation (as amended from time to time, the “</w:t>
      </w:r>
      <w:r>
        <w:rPr>
          <w:rFonts w:ascii="Arial" w:cs="Arial" w:eastAsia="Arial" w:hAnsi="Arial"/>
          <w:sz w:val="16"/>
          <w:szCs w:val="16"/>
          <w:b w:val="1"/>
          <w:bCs w:val="1"/>
          <w:color w:val="auto"/>
        </w:rPr>
        <w:t>Articles of</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Incorporation</w:t>
      </w:r>
      <w:r>
        <w:rPr>
          <w:rFonts w:ascii="Arial" w:cs="Arial" w:eastAsia="Arial" w:hAnsi="Arial"/>
          <w:sz w:val="16"/>
          <w:szCs w:val="16"/>
          <w:color w:val="auto"/>
        </w:rPr>
        <w:t>”), special meetings of the stockholders may be called only by the chairman of the board or the chief executive officer or, if there be no chairman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board and no chief executive officer, by the president, and shall be called by the secretary upon the written request of at least a majority of the Board of Directors. Such request shall state the purpose or purposes of the meeting. Stockholders shall have no right to request or call a special meeting.</w:t>
      </w:r>
    </w:p>
    <w:p>
      <w:pPr>
        <w:spacing w:after="0" w:line="109" w:lineRule="exact"/>
        <w:rPr>
          <w:rFonts w:ascii="Arial" w:cs="Arial" w:eastAsia="Arial" w:hAnsi="Arial"/>
          <w:sz w:val="16"/>
          <w:szCs w:val="16"/>
          <w:color w:val="auto"/>
        </w:rPr>
      </w:pPr>
    </w:p>
    <w:p>
      <w:pPr>
        <w:ind w:left="1160" w:hanging="239"/>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business shall be acted upon at a special meeting of stockholders except as set forth in the notice of the meeting.</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Place of Meetings</w:t>
      </w:r>
      <w:r>
        <w:rPr>
          <w:rFonts w:ascii="Arial" w:cs="Arial" w:eastAsia="Arial" w:hAnsi="Arial"/>
          <w:sz w:val="18"/>
          <w:szCs w:val="18"/>
          <w:color w:val="auto"/>
        </w:rPr>
        <w:t>. Any meeting of the stockholders of the Corporation may be held at the Corporation’s registered office in the State of Nevada or at such other place in or out of the State of Nevada and the United States as may be designated in the notice of meeting. A waiver of notice signed by all stockholders entitled to vote thereat may designate any place for the holding of such meeting.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Notice of Meetings; Waiver of Notice</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59" w:lineRule="auto"/>
        <w:tabs>
          <w:tab w:leader="none" w:pos="11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chief executive officer, if any, the president, any vice president, the secretary, an assistant secretary or any other individual designated by the Board of Directors shall sign and deliver or cause to be delivered to the stockholders written notice of any stockholders’ meeting not less than ten (10) days, but not more than sixty (60) days, before the date of such meeting. The notice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8" w:name="page9"/>
    <w:bookmarkEnd w:id="8"/>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state the place, date and time of the meeting, the means of electronic communication, if any, by which the stockholders or the proxies thereof shall be deemed to be present and vote and, in the case of a special meeting, the purpose or purposes for which the meeting is called. The notice shall be delivered in accordance with, and shall contain or be accompanied by such additional information as may be required by, the Nevada Revised Statutes (“</w:t>
      </w:r>
      <w:r>
        <w:rPr>
          <w:rFonts w:ascii="Arial" w:cs="Arial" w:eastAsia="Arial" w:hAnsi="Arial"/>
          <w:sz w:val="18"/>
          <w:szCs w:val="18"/>
          <w:b w:val="1"/>
          <w:bCs w:val="1"/>
          <w:color w:val="auto"/>
        </w:rPr>
        <w:t>NRS</w:t>
      </w:r>
      <w:r>
        <w:rPr>
          <w:rFonts w:ascii="Arial" w:cs="Arial" w:eastAsia="Arial" w:hAnsi="Arial"/>
          <w:sz w:val="18"/>
          <w:szCs w:val="18"/>
          <w:color w:val="auto"/>
        </w:rPr>
        <w:t>”), including, without limitation, NRS 78.379, 92A.120 or 92A.410.</w:t>
      </w:r>
    </w:p>
    <w:p>
      <w:pPr>
        <w:spacing w:after="0" w:line="143" w:lineRule="exact"/>
        <w:rPr>
          <w:sz w:val="20"/>
          <w:szCs w:val="20"/>
          <w:color w:val="auto"/>
        </w:rPr>
      </w:pPr>
    </w:p>
    <w:p>
      <w:pPr>
        <w:ind w:right="20" w:firstLine="921"/>
        <w:spacing w:after="0" w:line="294" w:lineRule="auto"/>
        <w:tabs>
          <w:tab w:leader="none" w:pos="1162" w:val="left"/>
        </w:tabs>
        <w:numPr>
          <w:ilvl w:val="1"/>
          <w:numId w:val="5"/>
        </w:numPr>
        <w:rPr>
          <w:rFonts w:ascii="Arial" w:cs="Arial" w:eastAsia="Arial" w:hAnsi="Arial"/>
          <w:sz w:val="16"/>
          <w:szCs w:val="16"/>
          <w:color w:val="auto"/>
        </w:rPr>
      </w:pPr>
      <w:r>
        <w:rPr>
          <w:rFonts w:ascii="Arial" w:cs="Arial" w:eastAsia="Arial" w:hAnsi="Arial"/>
          <w:sz w:val="16"/>
          <w:szCs w:val="16"/>
          <w:color w:val="auto"/>
        </w:rPr>
        <w:t>In the case of an annual meeting, subject to Section 2.13 below, any proper business may be presented for action, except that (i) if a proposed plan of merger, conversion or exchange is submitted to a vote, the notice of the meeting must state that the purpose, or one of the purposes, of the meeting is to consider the plan of merger, conversion or exchange and must contain or be accompanied by a copy or summary of the plan; and (ii) if a proposed action creating dissenters’ rights is to be submitted to a vote, the notice of the meeting must state that the stockholders are or may be entitled to assert dissenters’ rights under NRS 92A.300 to 92A.500, inclusive, and be accompanied by a copy of those sections.</w:t>
      </w:r>
    </w:p>
    <w:p>
      <w:pPr>
        <w:spacing w:after="0" w:line="115" w:lineRule="exact"/>
        <w:rPr>
          <w:rFonts w:ascii="Arial" w:cs="Arial" w:eastAsia="Arial" w:hAnsi="Arial"/>
          <w:sz w:val="16"/>
          <w:szCs w:val="16"/>
          <w:color w:val="auto"/>
        </w:rPr>
      </w:pPr>
    </w:p>
    <w:p>
      <w:pPr>
        <w:ind w:firstLine="921"/>
        <w:spacing w:after="0" w:line="301" w:lineRule="auto"/>
        <w:tabs>
          <w:tab w:leader="none" w:pos="1152" w:val="left"/>
        </w:tabs>
        <w:numPr>
          <w:ilvl w:val="1"/>
          <w:numId w:val="5"/>
        </w:numPr>
        <w:rPr>
          <w:rFonts w:ascii="Arial" w:cs="Arial" w:eastAsia="Arial" w:hAnsi="Arial"/>
          <w:sz w:val="15"/>
          <w:szCs w:val="15"/>
          <w:color w:val="auto"/>
        </w:rPr>
      </w:pPr>
      <w:r>
        <w:rPr>
          <w:rFonts w:ascii="Arial" w:cs="Arial" w:eastAsia="Arial" w:hAnsi="Arial"/>
          <w:sz w:val="15"/>
          <w:szCs w:val="15"/>
          <w:color w:val="auto"/>
        </w:rPr>
        <w:t>A copy of the notice shall be personally delivered or mailed postage prepaid to each stockholder of record at the address appearing on the records of the Corporation. Upon mailing, service of the notice is complete, and the time of the notice begins to run from the date upon which the notice is deposited in the mail. If the address of any stockholder does not appear upon the records of the Corporation or is incomplete, it will be sufficient to address any notice to such stockholder at the registered office of the Corporation. Notwithstanding the foregoing and in addition thereto, any notice to stockholders given by the Corporation pursuant to Chapters 78 or 92A of the NRS, the Articles of Incorporation or these Bylaws may be given pursuant to the forms of electronic transmission listed herein, if such forms of transmission are consented to in writing by the stockholder receiving such electronically transmitted notice and such consent is filed by the secretary in the corporate records. Notice shall be deemed given (i) by facsimile when directed to a number consented to by the stockholder to receive notice,</w:t>
      </w:r>
    </w:p>
    <w:p>
      <w:pPr>
        <w:spacing w:after="0" w:line="4" w:lineRule="exact"/>
        <w:rPr>
          <w:rFonts w:ascii="Arial" w:cs="Arial" w:eastAsia="Arial" w:hAnsi="Arial"/>
          <w:sz w:val="15"/>
          <w:szCs w:val="15"/>
          <w:color w:val="auto"/>
        </w:rPr>
      </w:pPr>
    </w:p>
    <w:p>
      <w:pPr>
        <w:ind w:firstLine="8"/>
        <w:spacing w:after="0" w:line="290" w:lineRule="auto"/>
        <w:tabs>
          <w:tab w:leader="none" w:pos="258" w:val="left"/>
        </w:tabs>
        <w:numPr>
          <w:ilvl w:val="0"/>
          <w:numId w:val="6"/>
        </w:numPr>
        <w:rPr>
          <w:rFonts w:ascii="Arial" w:cs="Arial" w:eastAsia="Arial" w:hAnsi="Arial"/>
          <w:sz w:val="16"/>
          <w:szCs w:val="16"/>
          <w:color w:val="auto"/>
        </w:rPr>
      </w:pPr>
      <w:r>
        <w:rPr>
          <w:rFonts w:ascii="Arial" w:cs="Arial" w:eastAsia="Arial" w:hAnsi="Arial"/>
          <w:sz w:val="16"/>
          <w:szCs w:val="16"/>
          <w:color w:val="auto"/>
        </w:rPr>
        <w:t>by electronic mail when directed to an e-mail address consented to by the stockholder to receive notice, (iii) by posting on an electronic network together with a separate notice to the stockholder of the specific posting on the later of the specific posting or the giving of the separate notice or (iv) by any other electronic transmission as consented to by and when directed to the stockholder. The stockholder consent necessary to permit electronic transmission to such stockholder shall be deemed revoked and of no force and effect if (A) the Corporation is unable to deliver by electronic transmission two consecutive notices given by the Corporation in accordance with the stockholder’s consent and (B) the inability to deliver by electronic transmission becomes known to the secretary, assistant secretary, transfer agent or other agent of the Corporation responsible for the giving of notice.</w:t>
      </w:r>
    </w:p>
    <w:p>
      <w:pPr>
        <w:spacing w:after="0" w:line="118" w:lineRule="exact"/>
        <w:rPr>
          <w:rFonts w:ascii="Arial" w:cs="Arial" w:eastAsia="Arial" w:hAnsi="Arial"/>
          <w:sz w:val="16"/>
          <w:szCs w:val="16"/>
          <w:color w:val="auto"/>
        </w:rPr>
      </w:pPr>
    </w:p>
    <w:p>
      <w:pPr>
        <w:ind w:right="20" w:firstLine="921"/>
        <w:spacing w:after="0" w:line="298" w:lineRule="auto"/>
        <w:tabs>
          <w:tab w:leader="none" w:pos="1162"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written certificate of an individual signing a notice of meeting, setting forth the substance of the notice or having a copy thereof attached thereto, the date the notice was mailed or personally delivered to the stockholders and the addresses to which the notice was mailed, shall be prima facie evidence of the manner and fact of giving such notice and, in the absence of fraud, an affidavit of the individual signing a notice of a meeting that the notice thereof has been given by a form of electronic transmission shall be prima facie evidence of the facts stated in the affidavit.</w:t>
      </w:r>
    </w:p>
    <w:p>
      <w:pPr>
        <w:spacing w:after="0" w:line="112" w:lineRule="exact"/>
        <w:rPr>
          <w:rFonts w:ascii="Arial" w:cs="Arial" w:eastAsia="Arial" w:hAnsi="Arial"/>
          <w:sz w:val="16"/>
          <w:szCs w:val="16"/>
          <w:color w:val="auto"/>
        </w:rPr>
      </w:pPr>
    </w:p>
    <w:p>
      <w:pPr>
        <w:ind w:right="520" w:firstLine="921"/>
        <w:spacing w:after="0" w:line="268" w:lineRule="auto"/>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stockholder may waive notice of any meeting by a signed writing or by transmission of an electronic record, either before or after the meeting. Such waiver of notice shall be deemed the equivalent of the giving of such notice.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9" w:name="page10"/>
    <w:bookmarkEnd w:id="9"/>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2.5 </w:t>
      </w:r>
      <w:r>
        <w:rPr>
          <w:rFonts w:ascii="Arial" w:cs="Arial" w:eastAsia="Arial" w:hAnsi="Arial"/>
          <w:sz w:val="18"/>
          <w:szCs w:val="18"/>
          <w:u w:val="single" w:color="auto"/>
          <w:color w:val="auto"/>
        </w:rPr>
        <w:t>Determination of Stockholders of Record</w:t>
      </w:r>
      <w:r>
        <w:rPr>
          <w:rFonts w:ascii="Arial" w:cs="Arial" w:eastAsia="Arial" w:hAnsi="Arial"/>
          <w:sz w:val="18"/>
          <w:szCs w:val="18"/>
          <w:color w:val="auto"/>
        </w:rPr>
        <w:t>.</w:t>
      </w:r>
    </w:p>
    <w:p>
      <w:pPr>
        <w:spacing w:after="0" w:line="90" w:lineRule="exact"/>
        <w:rPr>
          <w:sz w:val="20"/>
          <w:szCs w:val="20"/>
          <w:color w:val="auto"/>
        </w:rPr>
      </w:pPr>
    </w:p>
    <w:p>
      <w:pPr>
        <w:ind w:left="1152" w:hanging="239"/>
        <w:spacing w:after="0"/>
        <w:tabs>
          <w:tab w:leader="none" w:pos="1152" w:val="left"/>
        </w:tabs>
        <w:numPr>
          <w:ilvl w:val="1"/>
          <w:numId w:val="7"/>
        </w:numPr>
        <w:rPr>
          <w:rFonts w:ascii="Arial" w:cs="Arial" w:eastAsia="Arial" w:hAnsi="Arial"/>
          <w:sz w:val="16"/>
          <w:szCs w:val="16"/>
          <w:color w:val="auto"/>
        </w:rPr>
      </w:pPr>
      <w:r>
        <w:rPr>
          <w:rFonts w:ascii="Arial" w:cs="Arial" w:eastAsia="Arial" w:hAnsi="Arial"/>
          <w:sz w:val="16"/>
          <w:szCs w:val="16"/>
          <w:color w:val="auto"/>
        </w:rPr>
        <w:t>For the purpose of determining the stockholders entitled to (i) notice of and to vote at any meeting of stockholders or any adjournment thereof,</w:t>
      </w:r>
    </w:p>
    <w:p>
      <w:pPr>
        <w:spacing w:after="0" w:line="38" w:lineRule="exact"/>
        <w:rPr>
          <w:rFonts w:ascii="Arial" w:cs="Arial" w:eastAsia="Arial" w:hAnsi="Arial"/>
          <w:sz w:val="16"/>
          <w:szCs w:val="16"/>
          <w:color w:val="auto"/>
        </w:rPr>
      </w:pPr>
    </w:p>
    <w:p>
      <w:pPr>
        <w:ind w:left="-8" w:right="40" w:firstLine="8"/>
        <w:spacing w:after="0" w:line="255"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receive payment of any distribution or the allotment of any rights, or (iii) exercise any rights in respect of any change, conversion, or exchange of stock or for the purpose of any other lawful action, the Board of Directors may fix, in advance, a record date, which shall not be more than sixty (60) days nor less than ten (10) days before the date of such meeting, if applicable.</w:t>
      </w:r>
    </w:p>
    <w:p>
      <w:pPr>
        <w:spacing w:after="0" w:line="144" w:lineRule="exact"/>
        <w:rPr>
          <w:rFonts w:ascii="Arial" w:cs="Arial" w:eastAsia="Arial" w:hAnsi="Arial"/>
          <w:sz w:val="18"/>
          <w:szCs w:val="18"/>
          <w:color w:val="auto"/>
        </w:rPr>
      </w:pPr>
    </w:p>
    <w:p>
      <w:pPr>
        <w:ind w:left="-8" w:firstLine="921"/>
        <w:spacing w:after="0" w:line="290" w:lineRule="auto"/>
        <w:tabs>
          <w:tab w:leader="none" w:pos="1154"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no record date is fixed, the record date for determining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and (ii) for any other purpose shall be at the close of business on the day on which the Board of Directors adopts the resolution relating thereto. A determination of stockholders of record entitled to notice of or to vote at any meeting of stockholders shall apply to any postponement of any meeting of stockholders to a date not more than sixty (60) days after the record date or to any adjournment of the meeting; provided, however, that the Board of Directors may fix a new record date for the adjourned meeting and must fix a new record date if the meeting is adjourned to a date more than 60 days later than the date set for the original meeting.</w:t>
      </w:r>
    </w:p>
    <w:p>
      <w:pPr>
        <w:spacing w:after="0" w:line="19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Adjourned Meetings</w:t>
      </w:r>
      <w:r>
        <w:rPr>
          <w:rFonts w:ascii="Arial" w:cs="Arial" w:eastAsia="Arial" w:hAnsi="Arial"/>
          <w:sz w:val="18"/>
          <w:szCs w:val="18"/>
          <w:color w:val="auto"/>
        </w:rPr>
        <w:t>.</w:t>
      </w:r>
    </w:p>
    <w:p>
      <w:pPr>
        <w:spacing w:after="0" w:line="90" w:lineRule="exact"/>
        <w:rPr>
          <w:sz w:val="20"/>
          <w:szCs w:val="20"/>
          <w:color w:val="auto"/>
        </w:rPr>
      </w:pPr>
    </w:p>
    <w:p>
      <w:pPr>
        <w:ind w:left="-8" w:right="20" w:firstLine="921"/>
        <w:spacing w:after="0" w:line="294" w:lineRule="auto"/>
        <w:tabs>
          <w:tab w:leader="none" w:pos="1144" w:val="left"/>
        </w:tabs>
        <w:numPr>
          <w:ilvl w:val="0"/>
          <w:numId w:val="9"/>
        </w:numPr>
        <w:rPr>
          <w:rFonts w:ascii="Arial" w:cs="Arial" w:eastAsia="Arial" w:hAnsi="Arial"/>
          <w:sz w:val="16"/>
          <w:szCs w:val="16"/>
          <w:color w:val="auto"/>
        </w:rPr>
      </w:pPr>
      <w:r>
        <w:rPr>
          <w:rFonts w:ascii="Arial" w:cs="Arial" w:eastAsia="Arial" w:hAnsi="Arial"/>
          <w:sz w:val="16"/>
          <w:szCs w:val="16"/>
          <w:color w:val="auto"/>
        </w:rPr>
        <w:t>Unless the Articles of Incorporation provide for a different proportion, stockholders holding at least a majority of the voting power of the Corporation’s capital stock, represented in person or by proxy (regardless of whether the proxy has authority to vote on all matters), are necessary to constitute a quorum for the transaction of business at any meeting. If, on any issue, voting by classes or series is required by the laws of the State of Nevada, the Articles of Incorporation or these Bylaws, at least a majority of the voting power, represented in person or by proxy (regardless of whether the proxy has authority to vote on all matters), within each such class or series is necessary to constitute a quorum of each such class or series.</w:t>
      </w:r>
    </w:p>
    <w:p>
      <w:pPr>
        <w:spacing w:after="0" w:line="115" w:lineRule="exact"/>
        <w:rPr>
          <w:rFonts w:ascii="Arial" w:cs="Arial" w:eastAsia="Arial" w:hAnsi="Arial"/>
          <w:sz w:val="16"/>
          <w:szCs w:val="16"/>
          <w:color w:val="auto"/>
        </w:rPr>
      </w:pPr>
    </w:p>
    <w:p>
      <w:pPr>
        <w:ind w:left="-8" w:right="140" w:firstLine="921"/>
        <w:spacing w:after="0" w:line="290" w:lineRule="auto"/>
        <w:tabs>
          <w:tab w:leader="none" w:pos="1154"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 quorum is not represented, a majority of the voting power represented or the person presiding at the meeting may adjourn the meeting from time to time until a quorum shall be represented. At any such adjourned meeting at which a quorum shall be represented, any business may be transacted which might otherwise have been transacted at the adjourned meeting as originally called. When a stockholders’ meeting is adjourned to another time or place hereunder, notice need not be given of the adjourned meeting if the time and place thereof are announced at the meeting at which the adjournment is taken. However, if a new record date is fixed for the adjourned meeting, notice of the adjourned meeting must be given to each stockholder of record as of the new record date. The stockholders present at a duly convened meeting at which a quorum is present may continue to transact business until adjournment, notwithstanding the departure of enough stockholders to leave less than a quorum of the voting power.</w:t>
      </w:r>
    </w:p>
    <w:p>
      <w:pPr>
        <w:spacing w:after="0" w:line="19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90" w:lineRule="exact"/>
        <w:rPr>
          <w:sz w:val="20"/>
          <w:szCs w:val="20"/>
          <w:color w:val="auto"/>
        </w:rPr>
      </w:pPr>
    </w:p>
    <w:p>
      <w:pPr>
        <w:ind w:left="-8" w:right="100" w:firstLine="921"/>
        <w:spacing w:after="0" w:line="256" w:lineRule="auto"/>
        <w:tabs>
          <w:tab w:leader="none" w:pos="11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provided in the NRS, the Articles of Incorporation, or any resolution providing for the issuance of preferred stock adopted by the Board of Directors pursuant to authority expressly vested in it by the provisions of the Articles of Incorporation, each stockholder of record, or such stockholder’s duly authorized proxy, shall be entitled to one (1) vote for each share of voting stock standing registered in such stockholder’s name at the close of business on the record date.</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80" w:right="279" w:bottom="1440" w:gutter="0" w:footer="0" w:header="0"/>
        </w:sectPr>
      </w:pPr>
    </w:p>
    <w:bookmarkStart w:id="10" w:name="page11"/>
    <w:bookmarkEnd w:id="10"/>
    <w:p>
      <w:pPr>
        <w:ind w:firstLine="921"/>
        <w:spacing w:after="0" w:line="290"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provided herein, all votes with respect to shares standing in the name of an individual at the close of business on the record date (including pledged shares) shall be cast only by that individual or such individual’s duly authorized proxy. With respect to shares held by a representative of the estate of a deceased stockholder, or a guardian, conservator, custodian or trustee, even though the shares do not stand in the name of such holder, votes may be cast by such holder upon proof of such representative capacity. In the case of shares under the control of a receiver , the receiver may vote such shares even though the shares do not stand of record in the name of the receiver but only if and to the extent that the order of a court of competent jurisdiction which appoints the receiver contains the authority to vote such shares. If shares stand of record in the name of a minor, votes may be cast by the duly appointed guardian of the estate of such minor only if such guardian has provided the Corporation with written proof of such appointment.</w:t>
      </w:r>
    </w:p>
    <w:p>
      <w:pPr>
        <w:spacing w:after="0" w:line="118" w:lineRule="exact"/>
        <w:rPr>
          <w:rFonts w:ascii="Arial" w:cs="Arial" w:eastAsia="Arial" w:hAnsi="Arial"/>
          <w:sz w:val="16"/>
          <w:szCs w:val="16"/>
          <w:color w:val="auto"/>
        </w:rPr>
      </w:pPr>
    </w:p>
    <w:p>
      <w:pPr>
        <w:ind w:right="60" w:firstLine="921"/>
        <w:spacing w:after="0" w:line="291" w:lineRule="auto"/>
        <w:tabs>
          <w:tab w:leader="none" w:pos="11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respect to shares standing of record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without limitation, the officer making the authorization) authorized in writing to do so by the chairman of the board, if any, the chief executive officer, if any, the president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pacing w:after="0" w:line="120" w:lineRule="exact"/>
        <w:rPr>
          <w:rFonts w:ascii="Arial" w:cs="Arial" w:eastAsia="Arial" w:hAnsi="Arial"/>
          <w:sz w:val="16"/>
          <w:szCs w:val="16"/>
          <w:color w:val="auto"/>
        </w:rPr>
      </w:pPr>
    </w:p>
    <w:p>
      <w:pPr>
        <w:ind w:right="180" w:firstLine="921"/>
        <w:spacing w:after="0" w:line="259" w:lineRule="auto"/>
        <w:tabs>
          <w:tab w:leader="none" w:pos="11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and except for the Corporation’s shares held in a fiduciary capacity, the Corporation shall not vote, directly or indirectly, shares of its own stock owned or held by it, and such shares shall not be counted in determining the total number of outstanding shares entitled to vote.</w:t>
      </w:r>
    </w:p>
    <w:p>
      <w:pPr>
        <w:spacing w:after="0" w:line="140" w:lineRule="exact"/>
        <w:rPr>
          <w:rFonts w:ascii="Arial" w:cs="Arial" w:eastAsia="Arial" w:hAnsi="Arial"/>
          <w:sz w:val="18"/>
          <w:szCs w:val="18"/>
          <w:color w:val="auto"/>
        </w:rPr>
      </w:pPr>
    </w:p>
    <w:p>
      <w:pPr>
        <w:ind w:right="80" w:firstLine="921"/>
        <w:spacing w:after="0" w:line="256" w:lineRule="auto"/>
        <w:tabs>
          <w:tab w:leader="none" w:pos="11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holder of shares entitled to vote on any matter may cast a portion of the votes in favor of such matter and refrain from casting the remaining votes or cast the same against the proposal, except in the case of elections of directors. If such holder entitled to vote does vote any of such stockholder’s shares affirmatively and fails to specify the number of affirmative votes, it will be conclusively presumed that the holder is casting affirmative votes with respect to all shares held.</w:t>
      </w:r>
    </w:p>
    <w:p>
      <w:pPr>
        <w:spacing w:after="0" w:line="143" w:lineRule="exact"/>
        <w:rPr>
          <w:rFonts w:ascii="Arial" w:cs="Arial" w:eastAsia="Arial" w:hAnsi="Arial"/>
          <w:sz w:val="18"/>
          <w:szCs w:val="18"/>
          <w:color w:val="auto"/>
        </w:rPr>
      </w:pPr>
    </w:p>
    <w:p>
      <w:pPr>
        <w:ind w:firstLine="921"/>
        <w:spacing w:after="0" w:line="306" w:lineRule="auto"/>
        <w:tabs>
          <w:tab w:leader="none" w:pos="11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respect to shares standing of record in the name of two or more persons, whether fiduciaries, members of a partnership, joint tenants, tenants in common, husband and wife as community property, tenants by the entirety, voting trustees or otherwise and shares held by two or more persons (including proxy holders) having the same fiduciary relationship in respect to the same shares, votes may be cast in the following manner:</w:t>
      </w:r>
    </w:p>
    <w:p>
      <w:pPr>
        <w:spacing w:after="0" w:line="106" w:lineRule="exact"/>
        <w:rPr>
          <w:rFonts w:ascii="Arial" w:cs="Arial" w:eastAsia="Arial" w:hAnsi="Arial"/>
          <w:sz w:val="16"/>
          <w:szCs w:val="16"/>
          <w:color w:val="auto"/>
        </w:rPr>
      </w:pPr>
    </w:p>
    <w:p>
      <w:pPr>
        <w:ind w:left="1700" w:hanging="208"/>
        <w:spacing w:after="0"/>
        <w:tabs>
          <w:tab w:leader="none" w:pos="1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only one person votes, the vote of such person binds all.</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more than one person casts votes, the act of the majority so voting binds all.</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1"/>
          <w:numId w:val="11"/>
        </w:numPr>
        <w:rPr>
          <w:rFonts w:ascii="Arial" w:cs="Arial" w:eastAsia="Arial" w:hAnsi="Arial"/>
          <w:sz w:val="15"/>
          <w:szCs w:val="15"/>
          <w:color w:val="auto"/>
        </w:rPr>
      </w:pPr>
      <w:r>
        <w:rPr>
          <w:rFonts w:ascii="Arial" w:cs="Arial" w:eastAsia="Arial" w:hAnsi="Arial"/>
          <w:sz w:val="15"/>
          <w:szCs w:val="15"/>
          <w:color w:val="auto"/>
        </w:rPr>
        <w:t>If more than one person casts votes, but the vote is evenly split on a particular matter, the votes shall be deemed cast proportionately, as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split.</w:t>
      </w:r>
    </w:p>
    <w:p>
      <w:pPr>
        <w:spacing w:after="0" w:line="164" w:lineRule="exact"/>
        <w:rPr>
          <w:rFonts w:ascii="Arial" w:cs="Arial" w:eastAsia="Arial" w:hAnsi="Arial"/>
          <w:sz w:val="15"/>
          <w:szCs w:val="15"/>
          <w:color w:val="auto"/>
        </w:rPr>
      </w:pPr>
    </w:p>
    <w:p>
      <w:pPr>
        <w:ind w:right="60" w:firstLine="921"/>
        <w:spacing w:after="0" w:line="259" w:lineRule="auto"/>
        <w:tabs>
          <w:tab w:leader="none" w:pos="11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 quorum is present, unless the Articles of Incorporation, these Bylaws, the NRS, or other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1" w:name="page12"/>
    <w:bookmarkEnd w:id="11"/>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voting by classes or series is required for any action of the stockholders by the laws of the State of Nevada, the Articles of Incorporation or these Bylaws, in which case the number of votes cast in favor of the action by the voting power of each such class or series must exceed the number of votes cast in opposition to the action by the voting power of each such class or series.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 If a quorum is present, directors shall be elected by a plurality of the votes cast.</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Proxies</w:t>
      </w:r>
      <w:r>
        <w:rPr>
          <w:rFonts w:ascii="Arial" w:cs="Arial" w:eastAsia="Arial" w:hAnsi="Arial"/>
          <w:sz w:val="16"/>
          <w:szCs w:val="16"/>
          <w:color w:val="auto"/>
        </w:rPr>
        <w:t>. At any meeting of stockholders, any holder of shares entitled to vote may designate, in a manner permitted by the laws of the State of Nevada, another person or persons to act as a proxy or proxies. If a stockholder designates two or more persons to act as proxies, then a majority of those persons present at a meeting has and may exercise all of the powers conferred by the stockholder or, if only one is present, then that one has and may exercise all of the powers conferred by the stockholder, unless the stockholder’s designation of proxy provides otherwise. Every proxy shall continue in full force and effect until its expiration or revocation in a manner permitted by the laws of the State of Nevada.</w:t>
      </w:r>
    </w:p>
    <w:p>
      <w:pPr>
        <w:spacing w:after="0" w:line="1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No Action Without A Meeting</w:t>
      </w:r>
      <w:r>
        <w:rPr>
          <w:rFonts w:ascii="Arial" w:cs="Arial" w:eastAsia="Arial" w:hAnsi="Arial"/>
          <w:sz w:val="16"/>
          <w:szCs w:val="16"/>
          <w:color w:val="auto"/>
        </w:rPr>
        <w:t>. No action shall be taken by the stockholders except at an annual or special meeting of stockholders called and noticed in the manner required by these Bylaws. The stockholders may not in any circumstance take action by written consent.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6" w:lineRule="auto"/>
        <w:tabs>
          <w:tab w:leader="none" w:pos="11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Meetings of stockholders shall be presided over by the chairman of the board, or, in the absence of the chairman, by the vice chairman of the board, if any, or if there be no vice chairman or in the absence of the vice chairman, by the chief executive officer, if any, or if there be no chief executive officer or in the absence of the chief executive officer, by the president, or, in the absence of the president, or, in the absence of any of the foregoing persons, by a chairman designated by the Board of Directors, or by a chairman chosen at the meeting by the stockholders entitled to cast a majority of the votes which all stockholders present in person or by proxy are entitled to cast.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(i) the establishment of procedures for the maintenance of order and safety, (ii) limitation on participation in the meeting to stockholders of record of the Corporation, their duly authorized and constituted proxies and such other persons as the chairman of the meeting shall permit, (iii) limitation on the time allotted for consideration of each agenda item and for questions or comments by meeting participants, (iv) restrictions on entry to such meeting after the time prescribed for the commencement thereof and (v) the opening and closing of the voting polls. The Board of Directors, in its discretion, or the chairman of the meeting, in his or her discretion, may require that any votes cast at such meeting shall be cast by written ballot.</w:t>
      </w:r>
    </w:p>
    <w:p>
      <w:pPr>
        <w:spacing w:after="0" w:line="120" w:lineRule="exact"/>
        <w:rPr>
          <w:rFonts w:ascii="Arial" w:cs="Arial" w:eastAsia="Arial" w:hAnsi="Arial"/>
          <w:sz w:val="16"/>
          <w:szCs w:val="16"/>
          <w:color w:val="auto"/>
        </w:rPr>
      </w:pPr>
    </w:p>
    <w:p>
      <w:pPr>
        <w:ind w:right="60" w:firstLine="921"/>
        <w:spacing w:after="0" w:line="256" w:lineRule="auto"/>
        <w:tabs>
          <w:tab w:leader="none" w:pos="11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chairman of the meeting may appoint one or more inspectors of elections. The inspector or inspectors may (i) ascertain the number of shares outstanding and the voting power of each; (ii) determine the number of shares represented at a meeting and the validity of proxies or ballots; (iii) count all votes and ballots; (iv) determine any challenges made to any determination made by the inspector(s); and (v) certify the determination of the number of shares represented at the meeting and the count of all votes and ballots.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2" w:name="page13"/>
    <w:bookmarkEnd w:id="12"/>
    <w:p>
      <w:pPr>
        <w:ind w:firstLine="921"/>
        <w:spacing w:after="0" w:line="286" w:lineRule="auto"/>
        <w:tabs>
          <w:tab w:leader="none" w:pos="1152"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such persons who are nominated in accordance with the procedures set forth in Section 2.12 shall be eligible to be elected at any meeting of stockholders of the Corporation to serve as directors and only such business shall be conducted at a meeting of stockholders as shall have been brought before the meeting in accordance with the procedures set forth in Section 2.12. If any proposed nomination or business was not made or proposed in compliance with Section 2.12 (including proper notice under Section 2.13 and including whether the stockholder or beneficial owner, if any, on whose behalf the nomination or proposal is made solicited (or is part of a group which solicited) or did not so solicit, as the case may be, proxies in compliance with such stockholder’s representation pursuant to clause (a)(iv)(D) of Section 2.13), then the Chairman of the meeting shall have the power to declare that such nomination shall be disregarded or that such proposed business shall not be transacted.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2.10,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by such stockholder stating that such person is authorized to act for such stockholder as proxy at the meeting of stockholders.</w:t>
      </w:r>
    </w:p>
    <w:p>
      <w:pPr>
        <w:spacing w:after="0" w:line="12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Consent to Meetings</w:t>
      </w:r>
      <w:r>
        <w:rPr>
          <w:rFonts w:ascii="Arial" w:cs="Arial" w:eastAsia="Arial" w:hAnsi="Arial"/>
          <w:sz w:val="16"/>
          <w:szCs w:val="16"/>
          <w:color w:val="auto"/>
        </w:rPr>
        <w:t>. Attendance of a person at a meeting shall constitute a waiver of notice of such meeting, except when the person objects at the beginning of the meeting to the transaction of any business because the meeting is not lawfully called, noticed or convened and except that attendance at a meeting is not a waiver of any right to object to the consideration of matters not included in the notice, to the extent such notice is required, if such objection is expressly made at the time any such matters are presented at the meeting. Neither the business to be transacted at nor the purpose of any regular or special meeting of stockholders need be specified in any written waiver of notice or consent, except as otherwise provided in these Bylaws.</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Director Nominations and Business Conducted at Meetings of Stockholders</w:t>
      </w:r>
      <w:r>
        <w:rPr>
          <w:rFonts w:ascii="Arial" w:cs="Arial" w:eastAsia="Arial" w:hAnsi="Arial"/>
          <w:sz w:val="16"/>
          <w:szCs w:val="16"/>
          <w:color w:val="auto"/>
        </w:rPr>
        <w:t>. Nominations of persons for election to the Board of Directors of the Corporation and the proposal of business to be considered by the stockholders may be made at an annual meeting of stockholders (i) by or at the direction of the Board of Directors or the chairman of the board or (ii) by any stockholder of the Corporation who is entitled to vote on such matter at the meeting, who complied with the notice procedures set forth in Section 2.13 of these Bylaws and who was a stockholder of record at the time such notice is delivered to the secretary of the Corporation. Nominations of persons for election to the Board of Directors may be made at a special meeting of stockholders at which directors are to be elected pursuant to the Corporation’s notice of meeting (i) by or at the direction of the Board of Directors or the chairman of the board or (ii) by any stockholder of the Corporation who is entitled to vote on such matter at the meeting, who complied with the notice procedures set forth in Section 2.13 of these Bylaws and who was a stockholder of record at the time such notice is delivered to the secretary of the Corporation.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Advance Notice of Director Nominations and Stockholder Proposals by Stockholders</w:t>
      </w:r>
      <w:r>
        <w:rPr>
          <w:rFonts w:ascii="Arial" w:cs="Arial" w:eastAsia="Arial" w:hAnsi="Arial"/>
          <w:sz w:val="18"/>
          <w:szCs w:val="18"/>
          <w:color w:val="auto"/>
        </w:rPr>
        <w:t>.</w:t>
      </w:r>
    </w:p>
    <w:p>
      <w:pPr>
        <w:spacing w:after="0" w:line="90" w:lineRule="exact"/>
        <w:rPr>
          <w:sz w:val="20"/>
          <w:szCs w:val="20"/>
          <w:color w:val="auto"/>
        </w:rPr>
      </w:pPr>
    </w:p>
    <w:p>
      <w:pPr>
        <w:jc w:val="both"/>
        <w:ind w:right="120" w:firstLine="921"/>
        <w:spacing w:after="0" w:line="256" w:lineRule="auto"/>
        <w:tabs>
          <w:tab w:leader="none" w:pos="11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stockholder and for nominations to be properly brought before a special meeting by a stockholder in each case pursuant to Section 2.12 of these Bylaws, the stockholder of record must have given timely notice thereof in writing to the secretary of the Corporation, and, in the case of business other than nominations, such other business must be a proper matter for stockholder action. To be timely,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3" w:name="page14"/>
    <w:bookmarkEnd w:id="1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stockholder’s notice shall be delivered to the secretary at the principal executive offices of the Corporation not later than the close of business on the </w:t>
      </w:r>
      <w:r>
        <w:rPr>
          <w:rFonts w:ascii="Arial" w:cs="Arial" w:eastAsia="Arial" w:hAnsi="Arial"/>
          <w:sz w:val="16"/>
          <w:szCs w:val="16"/>
          <w:b w:val="1"/>
          <w:bCs w:val="1"/>
          <w:color w:val="auto"/>
        </w:rPr>
        <w:t>90</w:t>
      </w:r>
      <w:r>
        <w:rPr>
          <w:rFonts w:ascii="Arial" w:cs="Arial" w:eastAsia="Arial" w:hAnsi="Arial"/>
          <w:sz w:val="10"/>
          <w:szCs w:val="10"/>
          <w:b w:val="1"/>
          <w:bCs w:val="1"/>
          <w:color w:val="auto"/>
        </w:rPr>
        <w:t>th</w:t>
      </w:r>
      <w:r>
        <w:rPr>
          <w:rFonts w:ascii="Arial" w:cs="Arial" w:eastAsia="Arial" w:hAnsi="Arial"/>
          <w:sz w:val="16"/>
          <w:szCs w:val="16"/>
          <w:color w:val="auto"/>
        </w:rPr>
        <w:t xml:space="preserve"> day nor earlier than the close of business on the </w:t>
      </w:r>
      <w:r>
        <w:rPr>
          <w:rFonts w:ascii="Arial" w:cs="Arial" w:eastAsia="Arial" w:hAnsi="Arial"/>
          <w:sz w:val="16"/>
          <w:szCs w:val="16"/>
          <w:b w:val="1"/>
          <w:bCs w:val="1"/>
          <w:color w:val="auto"/>
        </w:rPr>
        <w:t>120</w:t>
      </w:r>
      <w:r>
        <w:rPr>
          <w:rFonts w:ascii="Arial" w:cs="Arial" w:eastAsia="Arial" w:hAnsi="Arial"/>
          <w:sz w:val="10"/>
          <w:szCs w:val="10"/>
          <w:b w:val="1"/>
          <w:bCs w:val="1"/>
          <w:color w:val="auto"/>
        </w:rPr>
        <w:t>th</w:t>
      </w:r>
      <w:r>
        <w:rPr>
          <w:rFonts w:ascii="Arial" w:cs="Arial" w:eastAsia="Arial" w:hAnsi="Arial"/>
          <w:sz w:val="16"/>
          <w:szCs w:val="16"/>
          <w:color w:val="auto"/>
        </w:rPr>
        <w:t xml:space="preserve"> day prior to the first anniversary of the preceding year’s annual meeting; provided, however, that in the event that the date of the annual meeting is more than 30 days before or more than </w:t>
      </w:r>
      <w:r>
        <w:rPr>
          <w:rFonts w:ascii="Arial" w:cs="Arial" w:eastAsia="Arial" w:hAnsi="Arial"/>
          <w:sz w:val="16"/>
          <w:szCs w:val="16"/>
          <w:b w:val="1"/>
          <w:bCs w:val="1"/>
          <w:color w:val="auto"/>
        </w:rPr>
        <w:t>70</w:t>
      </w:r>
      <w:r>
        <w:rPr>
          <w:rFonts w:ascii="Arial" w:cs="Arial" w:eastAsia="Arial" w:hAnsi="Arial"/>
          <w:sz w:val="16"/>
          <w:szCs w:val="16"/>
          <w:color w:val="auto"/>
        </w:rPr>
        <w:t xml:space="preserve"> days after such anniversary date, notice by the stockholder to be timely must be so delivered not earlier than the close of business on the </w:t>
      </w:r>
      <w:r>
        <w:rPr>
          <w:rFonts w:ascii="Arial" w:cs="Arial" w:eastAsia="Arial" w:hAnsi="Arial"/>
          <w:sz w:val="16"/>
          <w:szCs w:val="16"/>
          <w:b w:val="1"/>
          <w:bCs w:val="1"/>
          <w:color w:val="auto"/>
        </w:rPr>
        <w:t>120</w:t>
      </w:r>
      <w:r>
        <w:rPr>
          <w:rFonts w:ascii="Arial" w:cs="Arial" w:eastAsia="Arial" w:hAnsi="Arial"/>
          <w:sz w:val="10"/>
          <w:szCs w:val="10"/>
          <w:b w:val="1"/>
          <w:bCs w:val="1"/>
          <w:color w:val="auto"/>
        </w:rPr>
        <w:t>th</w:t>
      </w:r>
      <w:r>
        <w:rPr>
          <w:rFonts w:ascii="Arial" w:cs="Arial" w:eastAsia="Arial" w:hAnsi="Arial"/>
          <w:sz w:val="16"/>
          <w:szCs w:val="16"/>
          <w:color w:val="auto"/>
        </w:rPr>
        <w:t xml:space="preserve"> day prior to such annual meeting and not later than the close of business on the later of the </w:t>
      </w:r>
      <w:r>
        <w:rPr>
          <w:rFonts w:ascii="Arial" w:cs="Arial" w:eastAsia="Arial" w:hAnsi="Arial"/>
          <w:sz w:val="16"/>
          <w:szCs w:val="16"/>
          <w:b w:val="1"/>
          <w:bCs w:val="1"/>
          <w:color w:val="auto"/>
        </w:rPr>
        <w:t>90</w:t>
      </w:r>
      <w:r>
        <w:rPr>
          <w:rFonts w:ascii="Arial" w:cs="Arial" w:eastAsia="Arial" w:hAnsi="Arial"/>
          <w:sz w:val="10"/>
          <w:szCs w:val="10"/>
          <w:b w:val="1"/>
          <w:bCs w:val="1"/>
          <w:color w:val="auto"/>
        </w:rPr>
        <w:t>th</w:t>
      </w:r>
      <w:r>
        <w:rPr>
          <w:rFonts w:ascii="Arial" w:cs="Arial" w:eastAsia="Arial" w:hAnsi="Arial"/>
          <w:sz w:val="16"/>
          <w:szCs w:val="16"/>
          <w:color w:val="auto"/>
        </w:rPr>
        <w:t xml:space="preserve"> day prior to such annual meeting or the 10th day following the day on which public announcement (as defined below) of the date of such meeting is first made by the Corporation. In no event shall the public announcement of an adjournment or postponement of an annual meeting commence a new time period (or extend any time period) for the giving of a stockholder’s notice as described above. The notice must be provided by a stockholder of record and must set forth:</w:t>
      </w:r>
    </w:p>
    <w:p>
      <w:pPr>
        <w:spacing w:after="0" w:line="119" w:lineRule="exact"/>
        <w:rPr>
          <w:sz w:val="20"/>
          <w:szCs w:val="20"/>
          <w:color w:val="auto"/>
        </w:rPr>
      </w:pPr>
    </w:p>
    <w:p>
      <w:pPr>
        <w:ind w:right="120" w:firstLine="1492"/>
        <w:spacing w:after="0" w:line="256" w:lineRule="auto"/>
        <w:tabs>
          <w:tab w:leader="none" w:pos="16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w:t>
      </w:r>
    </w:p>
    <w:p>
      <w:pPr>
        <w:spacing w:after="0" w:line="143" w:lineRule="exact"/>
        <w:rPr>
          <w:rFonts w:ascii="Arial" w:cs="Arial" w:eastAsia="Arial" w:hAnsi="Arial"/>
          <w:sz w:val="18"/>
          <w:szCs w:val="18"/>
          <w:color w:val="auto"/>
        </w:rPr>
      </w:pPr>
    </w:p>
    <w:p>
      <w:pPr>
        <w:ind w:right="40" w:firstLine="1492"/>
        <w:spacing w:after="0" w:line="255" w:lineRule="auto"/>
        <w:tabs>
          <w:tab w:leader="none" w:pos="17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substantial interest (within the meaning of Item 5 of Schedule 14A under the Exchange Act) in such business of such stockholder and the beneficial owner, if any, on whose behalf the proposal is made;</w:t>
      </w:r>
    </w:p>
    <w:p>
      <w:pPr>
        <w:spacing w:after="0" w:line="142" w:lineRule="exact"/>
        <w:rPr>
          <w:rFonts w:ascii="Arial" w:cs="Arial" w:eastAsia="Arial" w:hAnsi="Arial"/>
          <w:sz w:val="18"/>
          <w:szCs w:val="18"/>
          <w:color w:val="auto"/>
        </w:rPr>
      </w:pPr>
    </w:p>
    <w:p>
      <w:pPr>
        <w:ind w:firstLine="1492"/>
        <w:spacing w:after="0" w:line="291" w:lineRule="auto"/>
        <w:tabs>
          <w:tab w:leader="none" w:pos="179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to the stockholder giving the notice and the beneficial owner, if any, on whose behalf the nomination is made or the business is proposed: (A) the name and address of such stockholder, as they appear on the Corporation’s books, and the name and address of such beneficial owner, (B) the class and number of shares of stock of the Corporation which are owned of record by such stockholder and such beneficial owner as of the date of the notice, and a representation that the stockholder will notify the Corporation in writing within five business days after the record date for such meeting of the class and number of shares of stock of the Corporation owned of record by the stockholder and such beneficial owner as of the record date for the meeting, and (C) a representation that the stockholder intends to appear in person or by proxy at the meeting to propose such nomination or business; and</w:t>
      </w:r>
    </w:p>
    <w:p>
      <w:pPr>
        <w:spacing w:after="0" w:line="120" w:lineRule="exact"/>
        <w:rPr>
          <w:rFonts w:ascii="Arial" w:cs="Arial" w:eastAsia="Arial" w:hAnsi="Arial"/>
          <w:sz w:val="16"/>
          <w:szCs w:val="16"/>
          <w:color w:val="auto"/>
        </w:rPr>
      </w:pPr>
    </w:p>
    <w:p>
      <w:pPr>
        <w:ind w:right="40" w:firstLine="1492"/>
        <w:spacing w:after="0" w:line="288" w:lineRule="auto"/>
        <w:tabs>
          <w:tab w:leader="none" w:pos="17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to the stockholder giving the notice or, if the notice is given on behalf of a beneficial owner on whose behalf the nomination is made or the business is proposed, as to such beneficial owner, and if such stockholder or beneficial owner is an entity, as to each director, executive, managing member or control person of such entity (any such person, a “control person”): (A) the class and number of shares of stock of the Corporation which are beneficially owned (as defined below) by such stockholder or beneficial owner and by any control person as of the date of the notice, and a representation that the stockholder will notify the Corporation in writing within five business days after the record date for such meeting of the class and number of shares of stock of the Corporation beneficially owned by such stockholder or beneficial owner and by any control person as of the record date for the meeting, (B) a description of any agreement, arrangement or understanding with respect to the nomination or other business between or among such stockholder or beneficial owner or control person and any other person, including without limitation any agreements that would be required to be disclosed pursuant to Item 5 or Item 6 of Exchange Act Schedule 13D (regardless of whether the requirement to file a Schedule 13D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4" w:name="page15"/>
    <w:bookmarkEnd w:id="14"/>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applicable to the stockholder, beneficial owner or control person) and a representation that the stockholder will notify the Corporation in writing within five business days after the record date for such meeting of any such agreement, arrangement or understanding in effect as of the record date for the meeting, (C) a description of any agreement, arrangement or understanding (including any derivative or short positions, profit interests, options, hedging transactions, and borrowed or loaned shares) that has been entered into as of the date of the stockholder’s notice by, or on behalf of, such stockholder or beneficial owner and by any control person, the effect or intent of which is to mitigate loss, manage risk or benefit from changes in the share price of any class of the Corporation’s stock, or maintain, increase or decrease the voting power of the stockholder or beneficial owner with respect to shares of stock of the Corporation, and a representation that the stockholder will notify the Corporation in writing within five business days after the record date for such meeting of any such agreement, arrangement or understanding in effect as of the record date for the meeting, (D) a representation whether the stockholder or the beneficial owner, if any, and any control person will engage in a solicitation with respect to the nomination or business and, if so, the name of each participant (as defined in Item 4 of Schedule 14A under the Exchange Act) in such solicitation and whether such person intends or is part of a group which intends to deliver a proxy statement and/or form of proxy to holders of at least the percentage of the Corporation’s outstanding stock required to approve or adopt the business to be proposed (in person or by proxy) by the stockholder.</w:t>
      </w:r>
    </w:p>
    <w:p>
      <w:pPr>
        <w:spacing w:after="0" w:line="124" w:lineRule="exact"/>
        <w:rPr>
          <w:sz w:val="20"/>
          <w:szCs w:val="20"/>
          <w:color w:val="auto"/>
        </w:rPr>
      </w:pPr>
    </w:p>
    <w:p>
      <w:pPr>
        <w:jc w:val="both"/>
        <w:ind w:right="460" w:firstLine="921"/>
        <w:spacing w:after="0" w:line="259"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Corporation may require any proposed nominee to furnish such other information as may reasonably be required by the Corporation to determine the eligibility of such proposed nominee to serve as a director of the Corporation, including information relevant to a determination whether such proposed nominee can be considered an independent director.</w:t>
      </w:r>
    </w:p>
    <w:p>
      <w:pPr>
        <w:spacing w:after="0" w:line="140" w:lineRule="exact"/>
        <w:rPr>
          <w:rFonts w:ascii="Arial" w:cs="Arial" w:eastAsia="Arial" w:hAnsi="Arial"/>
          <w:sz w:val="18"/>
          <w:szCs w:val="18"/>
          <w:color w:val="auto"/>
        </w:rPr>
      </w:pPr>
    </w:p>
    <w:p>
      <w:pPr>
        <w:ind w:firstLine="921"/>
        <w:spacing w:after="0" w:line="290" w:lineRule="auto"/>
        <w:tabs>
          <w:tab w:leader="none" w:pos="11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purposes of Section 2.13(a), a “public announcement” shall mean disclosure in a press release reported by the Dow Jones News Service, Associated Press or a comparable national news service or in a document publicly filed by the Corporation with the Securities and Exchange Commission pursuant to Sections 13, 14 or 15(d) of the Exchange Act. For purposes of clause (a)(iv)(A) of this Section 2.13,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(i) the right to acquire such shares (whether such right is exercisable immediately or only after the passage of time or the fulfillment of a condition or both), (ii) the right to vote such shares, alone or in concert with others and/or (iii) investment power with respect to such shares, including the power to dispose of, or to direct the disposition of, such shares.</w:t>
      </w:r>
    </w:p>
    <w:p>
      <w:pPr>
        <w:spacing w:after="0" w:line="118" w:lineRule="exact"/>
        <w:rPr>
          <w:rFonts w:ascii="Arial" w:cs="Arial" w:eastAsia="Arial" w:hAnsi="Arial"/>
          <w:sz w:val="16"/>
          <w:szCs w:val="16"/>
          <w:color w:val="auto"/>
        </w:rPr>
      </w:pPr>
    </w:p>
    <w:p>
      <w:pPr>
        <w:ind w:right="120" w:firstLine="921"/>
        <w:spacing w:after="0" w:line="306" w:lineRule="auto"/>
        <w:tabs>
          <w:tab w:leader="none" w:pos="11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Section 2.13 shall not apply to notice of a proposal to be made by a stockholder if the stockholder has notified the Corporation of his or her intention to present the proposal at an annual or special meeting only pursuant to and in compliance with Rule 14a-8 under the Exchange Act and such proposal has been included in a proxy statement that has been prepared by the Corporation to solicit proxies for such meeting.</w:t>
      </w:r>
    </w:p>
    <w:p>
      <w:pPr>
        <w:spacing w:after="0" w:line="106" w:lineRule="exact"/>
        <w:rPr>
          <w:rFonts w:ascii="Arial" w:cs="Arial" w:eastAsia="Arial" w:hAnsi="Arial"/>
          <w:sz w:val="16"/>
          <w:szCs w:val="16"/>
          <w:color w:val="auto"/>
        </w:rPr>
      </w:pPr>
    </w:p>
    <w:p>
      <w:pPr>
        <w:ind w:right="60" w:firstLine="921"/>
        <w:spacing w:after="0" w:line="290" w:lineRule="auto"/>
        <w:tabs>
          <w:tab w:leader="none" w:pos="11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stockholder does not provide the information required under clauses (a)(iii)(B) and (a)(iv)(A)-(C) of this Section 2.13 to the Corporation within the time frames specified herein, or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The chairman of the meeting shall have the power to determine whether notice of a nomination or of any business proposed to be brought before the meeting was properly made in accordance with the procedures set forth in this Section 2.13. Notwithstanding the foregoing provisions hereof, a stockholder shall also comply with all applicable requirements of the Act, and the rules and regulations thereunder with respect to the matters set forth herein.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5" w:name="page16"/>
    <w:bookmarkEnd w:id="15"/>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DIRECTORS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Powers; Performance of Duties</w:t>
      </w:r>
      <w:r>
        <w:rPr>
          <w:rFonts w:ascii="Arial" w:cs="Arial" w:eastAsia="Arial" w:hAnsi="Arial"/>
          <w:sz w:val="18"/>
          <w:szCs w:val="18"/>
          <w:color w:val="auto"/>
        </w:rPr>
        <w:t>. The business and affairs of the Corporation shall be managed by or under the direction of the Board of Directors, except as otherwise provided in Chapter 78 of the NRS or the Articles of Incorporation.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Board of Directors shall consist of at least one (1) individual and not more than thirteen</w:t>
      </w:r>
    </w:p>
    <w:p>
      <w:pPr>
        <w:spacing w:after="0" w:line="38" w:lineRule="exact"/>
        <w:rPr>
          <w:sz w:val="20"/>
          <w:szCs w:val="20"/>
          <w:color w:val="auto"/>
        </w:rPr>
      </w:pPr>
    </w:p>
    <w:p>
      <w:pPr>
        <w:ind w:right="20" w:firstLine="8"/>
        <w:spacing w:after="0" w:line="292" w:lineRule="auto"/>
        <w:tabs>
          <w:tab w:leader="none" w:pos="3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individuals. The number of directors within the foregoing fixed minimum and maximum may be established and changed from time to time solely by resolution adopted by the Board of Directors without amendment to these Bylaws or the Articles of Incorporation. Each director shall hold office until his or her successor shall be elected or appointed and qualified or until his or her earlier death, retirement, disqualification, resignation or removal. No reduction of the number of directors shall have the effect of removing any director prior to the expiration of his or her term of office. No provision of this Section shall restrict the right of the Board of Directors to fill vacancies or the right of the stockholders to remove directors as is hereinafter provided.</w:t>
      </w:r>
    </w:p>
    <w:p>
      <w:pPr>
        <w:spacing w:after="0" w:line="11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Board of Directors shall elect a chairman of the board from the members of the Board of Directors, who shall preside at all meetings of the Board of Directors and stockholders at which he or she shall be present and shall have and may exercise such powers as may, from time to time, be assigned to him or her by the Board of Directors, these Bylaws or as provided by law.</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Vice Chairman of the Board</w:t>
      </w:r>
      <w:r>
        <w:rPr>
          <w:rFonts w:ascii="Arial" w:cs="Arial" w:eastAsia="Arial" w:hAnsi="Arial"/>
          <w:sz w:val="16"/>
          <w:szCs w:val="16"/>
          <w:color w:val="auto"/>
        </w:rPr>
        <w:t>. The Board of Directors may elect a vice chairman of the board from the members of the Board of Directors who shall preside at all meetings of the Board of Directors and stockholders at which he or she shall be present and the chairman is not present and shall have and may exercise such powers as may, from time to time, be assigned to him or her by the Board of Directors, these Bylaws or as provided by law.</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Classification and Elections</w:t>
      </w:r>
      <w:r>
        <w:rPr>
          <w:rFonts w:ascii="Arial" w:cs="Arial" w:eastAsia="Arial" w:hAnsi="Arial"/>
          <w:sz w:val="16"/>
          <w:szCs w:val="16"/>
          <w:color w:val="auto"/>
        </w:rPr>
        <w:t>. The directors shall be classified, with respect to the time for which they shall hold their respective offices, by dividing them into three classes, to be known as “Class I,” “Class II” and “Class III.” Each director shall hold office for a three-year term or until the next annual meeting of stockholders at which his or her successor is elected and qualified. At each annual meeting of stockholders, successors to the directors of the class whose term of office expires at such annual meeting shall be elected to hold office until the third succeeding annual meeting of stockholders, so that the term of office of only one class of directors shall expire at each annual meeting. The number of directors in each class, which shall be such that as near as possible to one-third and at least one-fourth (or such other fraction as required by the NRS) in number are elected at each annual meeting, shall be established from time to time by resolution of the Board of Directors and shall be increased or decreased by resolution of the Board of Directors, as may be appropriate whenever the total number of directors is increased or decreased.</w:t>
      </w:r>
    </w:p>
    <w:p>
      <w:pPr>
        <w:spacing w:after="0" w:line="118"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Removal and Resignation of Directors</w:t>
      </w:r>
      <w:r>
        <w:rPr>
          <w:rFonts w:ascii="Arial" w:cs="Arial" w:eastAsia="Arial" w:hAnsi="Arial"/>
          <w:sz w:val="18"/>
          <w:szCs w:val="18"/>
          <w:color w:val="auto"/>
        </w:rPr>
        <w:t>. Subject to any rights of the holders of preferred stock, if any, and except as otherwise provided in the NRS, any director may be removed from office with or without cause by the affirmative vote of the holders of not less than two-thirds (2/3) of the voting power of the issued and outstanding stock of the Corporation entitled to vote generally in the election of directors (voting as a single class) excluding stock entitled to vote only upon the happening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6" w:name="page17"/>
    <w:bookmarkEnd w:id="1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 fact or event unless such fact or event shall have occurred. In addition, the Board of Directors of the Corporation, by majority vote, may declare vacant the office of a director who has been (a) declared incompetent by an order of a court of competent jurisdiction, or (b) convicted of a felony or (c) found to be unsuitable to serve as a director of the Corporation by a Gaming Authority in any jurisdiction in which the Corporation or any of its Affiliates holds a gaming license. Any director may resign effective upon giving written notice, unless the notice specifies a later time for effectiveness of such resignation, to the chairman of the board, if any, the president or the secretary, or in the absence of all of them, any other officer of the Corporation.</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Vacancies; Newly Created Directorships</w:t>
      </w:r>
      <w:r>
        <w:rPr>
          <w:rFonts w:ascii="Arial" w:cs="Arial" w:eastAsia="Arial" w:hAnsi="Arial"/>
          <w:sz w:val="16"/>
          <w:szCs w:val="16"/>
          <w:color w:val="auto"/>
        </w:rPr>
        <w:t>. Subject to any rights of the holders of preferred stock, if any, any vacancies on the Board of Directors resulting from death, resignation, retirement, disqualification, removal from office, or other cause, and newly created directorships resulting from any increase in the authorized number of directors, may be filled by a majority vote of the directors then in office or by a sole remaining director, in either case though less than a quorum, and the director(s) so chosen shall hold office for a term expiring at the next annual meeting of stockholders and when their successors are elected or appointed, at which the term of the class to which he or she has been elected expires, or until his or her earlier resignation or removal. No decrease in the number of directors constituting the Board of Directors shall shorten the term of any incumbent directors.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Immediately following the adjournment of, and at the same place as, the annual or any special meeting of the stockholders at which directors are elected, the Board of Directors, including directors newly elected, shall hold its annual meeting without call or notice, other than this provision, to elect officers and to transact such further business as may be necessary or appropriate. The Board of Directors may provide by resolution the place, date, and hour for holding regular meetings between annual meetings, and if the Board of Directors so provides with respect to a regular meeting, notice of such regular meeting shall not be required.</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any rights of the holders of preferred stock, if any, and except as otherwise required by law, special meetings of the Board of Directors may be called only by the chairman of the board, if any, or if there be no chairman of the board, by the chief executive officer, if any, or by the president or the secretary, and shall be called by the chairman of the board, if any, the chief executive officer, if any, the president, or the secretary upon the request of at least a majority of the Board of Directors. If the chairman of the board, or if there be no chairman of the board, each of the chief executive officer, the president, and the secretary, fails for any reason to call such special meeting, a special meeting may be called by a notice signed by at least a majority of the Board of Directors.</w:t>
      </w:r>
    </w:p>
    <w:p>
      <w:pPr>
        <w:spacing w:after="0" w:line="14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Place of Meetings</w:t>
      </w:r>
      <w:r>
        <w:rPr>
          <w:rFonts w:ascii="Arial" w:cs="Arial" w:eastAsia="Arial" w:hAnsi="Arial"/>
          <w:sz w:val="18"/>
          <w:szCs w:val="18"/>
          <w:color w:val="auto"/>
        </w:rPr>
        <w:t>. Any regular or special meeting of the Board of Directors may be held at such place as the Board of Directors, or in the absence of such designation, as the notice calling such meeting, may designate. A waiver of notice signed by the directors may designate any place for the holding of such meeting.</w:t>
      </w:r>
    </w:p>
    <w:p>
      <w:pPr>
        <w:spacing w:after="0" w:line="14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in Section 3.8 above, there shall be delivered to each director at the address appearing for him or her on the records of the Corporation, at least twenty-four (24) hours before the time of such meeting, a copy of a written notice of any meeting (i) by delivery of such notice personally, (ii) by mailing such notice postage prepaid, (iii) by facsimile, (iv) by overnight courier, (v) by telegram, or (vi) by electronic transmission or electronic writing, including, without limitation, e-mail. If mailed to an address inside the United States, the notice shall be deemed delivered two</w:t>
      </w:r>
    </w:p>
    <w:p>
      <w:pPr>
        <w:spacing w:after="0" w:line="3" w:lineRule="exact"/>
        <w:rPr>
          <w:sz w:val="20"/>
          <w:szCs w:val="20"/>
          <w:color w:val="auto"/>
        </w:rPr>
      </w:pPr>
    </w:p>
    <w:p>
      <w:pPr>
        <w:ind w:right="100" w:firstLine="8"/>
        <w:spacing w:after="0" w:line="261"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days following the date the same is deposited in the United States mail, postage prepaid. If mailed to an address outside the United States, the notice shall be deemed delivered four (4) business days following the date the same is deposited in the United States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7" w:name="page18"/>
    <w:bookmarkEnd w:id="1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mail, postage prepaid. If sent via facsimile, by electronic transmission or electronic writing, including, without limitation, e-mail, the notice shall be deemed delivered upon sender’s receipt of confirmation of the successful transmission. If sent via overnight courier, the notice shall be deemed delivered the business day following the delivery of such notice to the courier. If the address of any director is 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Quorum; Adjourned Meetings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majority of the directors in office, at a meeting duly assembled, is necessary to constitute a quorum for the transaction of business.</w:t>
      </w:r>
    </w:p>
    <w:p>
      <w:pPr>
        <w:spacing w:after="0" w:line="194" w:lineRule="exact"/>
        <w:rPr>
          <w:rFonts w:ascii="Arial" w:cs="Arial" w:eastAsia="Arial" w:hAnsi="Arial"/>
          <w:sz w:val="16"/>
          <w:szCs w:val="16"/>
          <w:color w:val="auto"/>
        </w:rPr>
      </w:pPr>
    </w:p>
    <w:p>
      <w:pPr>
        <w:ind w:right="320" w:firstLine="921"/>
        <w:spacing w:after="0" w:line="259"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Manner of Acting</w:t>
      </w:r>
      <w:r>
        <w:rPr>
          <w:rFonts w:ascii="Arial" w:cs="Arial" w:eastAsia="Arial" w:hAnsi="Arial"/>
          <w:sz w:val="18"/>
          <w:szCs w:val="18"/>
          <w:color w:val="auto"/>
        </w:rPr>
        <w:t>. Except as provided in Section 3.14 below, the affirmative vote of a majority of the directors present at a meeting at which a quorum is present is the act of the Board of Directors.</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Super-majority Approval</w:t>
      </w:r>
      <w:r>
        <w:rPr>
          <w:rFonts w:ascii="Arial" w:cs="Arial" w:eastAsia="Arial" w:hAnsi="Arial"/>
          <w:sz w:val="16"/>
          <w:szCs w:val="16"/>
          <w:color w:val="auto"/>
        </w:rPr>
        <w:t>. Notwithstanding anything to the contrary contained in these Bylaws or the Articles of Incorporation, the following actions may be taken by the Corporation only upon the approval of two-thirds of the directors present at a meeting at which a quorum is present:</w:t>
      </w:r>
    </w:p>
    <w:p>
      <w:pPr>
        <w:spacing w:after="0" w:line="85" w:lineRule="exact"/>
        <w:rPr>
          <w:sz w:val="20"/>
          <w:szCs w:val="20"/>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voluntary dissolution or liquidation of the Corporation.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the Corporation.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filing of a voluntary petition of bankruptcy by the Corporation.</w:t>
      </w:r>
    </w:p>
    <w:p>
      <w:pPr>
        <w:spacing w:after="0" w:line="171"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Telephonic Meetings</w:t>
      </w:r>
      <w:r>
        <w:rPr>
          <w:rFonts w:ascii="Arial" w:cs="Arial" w:eastAsia="Arial" w:hAnsi="Arial"/>
          <w:sz w:val="16"/>
          <w:szCs w:val="16"/>
          <w:color w:val="auto"/>
        </w:rPr>
        <w:t>. Members of the Board of Directors or of any committee designated by the Board of Directors may participate in a meeting of the Board of Directors or such committee by means of a telephone conference or video or similar method of communication by which all persons participating in such meeting can hear each other. Participation in a meeting pursuant to this Section 3.15 constitutes presence in person at the meeting.</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Action Without Meeting</w:t>
      </w:r>
      <w:r>
        <w:rPr>
          <w:rFonts w:ascii="Arial" w:cs="Arial" w:eastAsia="Arial" w:hAnsi="Arial"/>
          <w:sz w:val="16"/>
          <w:szCs w:val="16"/>
          <w:color w:val="auto"/>
        </w:rPr>
        <w:t>. Any action required or permitted to be taken at a meeting of the Board of Directors or of a committee thereof may be taken without a meeting if, before or after the action, a written consent thereto is signed by all of the members of the Board of Directors or the committee. The written consent may be signed manually or electronically (or by any other means then permitted under the NRS), and may be so signed in counterparts, including, without limitation, facsimile or email counterparts, and shall be filed with the minutes of the proceedings of the Board of Directors or committee.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3.17 </w:t>
      </w:r>
      <w:r>
        <w:rPr>
          <w:rFonts w:ascii="Arial" w:cs="Arial" w:eastAsia="Arial" w:hAnsi="Arial"/>
          <w:sz w:val="18"/>
          <w:szCs w:val="18"/>
          <w:u w:val="single" w:color="auto"/>
          <w:color w:val="auto"/>
        </w:rPr>
        <w:t>Powers and Duties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56" w:lineRule="auto"/>
        <w:tabs>
          <w:tab w:leader="none" w:pos="11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otherwise restricted by Chapter 78 of the NRS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 be agents of the Corporation with such powers, including the power to subdelegate, and upon such terms as it deems fit.</w:t>
      </w:r>
    </w:p>
    <w:p>
      <w:pPr>
        <w:spacing w:after="0" w:line="143" w:lineRule="exact"/>
        <w:rPr>
          <w:rFonts w:ascii="Arial" w:cs="Arial" w:eastAsia="Arial" w:hAnsi="Arial"/>
          <w:sz w:val="18"/>
          <w:szCs w:val="18"/>
          <w:color w:val="auto"/>
        </w:rPr>
      </w:pPr>
    </w:p>
    <w:p>
      <w:pPr>
        <w:jc w:val="both"/>
        <w:ind w:right="20" w:firstLine="921"/>
        <w:spacing w:after="0" w:line="259" w:lineRule="auto"/>
        <w:tabs>
          <w:tab w:leader="none" w:pos="11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in its discretion, or the chairman presiding at a meeting of stockholders, in his or her discretion, may submit any contract or act for approval or ratification at any annual meeting of the stockholders or any special meeting properly called and noticed for the purpose of considering any such contract or act, provided a quorum is present.</w:t>
      </w:r>
    </w:p>
    <w:p>
      <w:pPr>
        <w:spacing w:after="0" w:line="140" w:lineRule="exact"/>
        <w:rPr>
          <w:rFonts w:ascii="Arial" w:cs="Arial" w:eastAsia="Arial" w:hAnsi="Arial"/>
          <w:sz w:val="18"/>
          <w:szCs w:val="18"/>
          <w:color w:val="auto"/>
        </w:rPr>
      </w:pPr>
    </w:p>
    <w:p>
      <w:pPr>
        <w:ind w:right="40" w:firstLine="921"/>
        <w:spacing w:after="0" w:line="288" w:lineRule="auto"/>
        <w:tabs>
          <w:tab w:leader="none" w:pos="11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Board of Directors may, by resolution passed by a majority of the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 determined from time to time by resolution adopted by the Board of Directors. The committees shall keep regular minutes of their proceedings and report the same to the Board of Directors when required.</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of Directors, without regard to personal interest, may establish the compensation of directors for services in any capacity. If the Board of Directors establishes the compensation of directors pursuant to this Section 3.18, such compensation is presumed to be fair to the Corporation unless proven unfair by a preponderance of the evidence.</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Organization</w:t>
      </w:r>
      <w:r>
        <w:rPr>
          <w:rFonts w:ascii="Arial" w:cs="Arial" w:eastAsia="Arial" w:hAnsi="Arial"/>
          <w:sz w:val="16"/>
          <w:szCs w:val="16"/>
          <w:color w:val="auto"/>
        </w:rPr>
        <w:t>. Meetings of the Board of Directors shall be presided over by the chairman of the board, or in the absence of the chairman of the board by the vice chairman, if any, or in his or her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OFFICERS</w:t>
      </w:r>
    </w:p>
    <w:p>
      <w:pPr>
        <w:spacing w:after="0" w:line="16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Election</w:t>
      </w:r>
      <w:r>
        <w:rPr>
          <w:rFonts w:ascii="Arial" w:cs="Arial" w:eastAsia="Arial" w:hAnsi="Arial"/>
          <w:sz w:val="18"/>
          <w:szCs w:val="18"/>
          <w:color w:val="auto"/>
        </w:rPr>
        <w:t>. The Board of Directors shall elect or appoint a president, a secretary and a treasurer or the equivalents of such officers. Such officers shall serve until their respective successors are elected and appointed and shall qualify or until their earlier resignation or removal. The Board of Directors may from time to time, by resolution, elect or appoint such other officers and agents as it may deem advisable, who shall hold office at the pleasure of the Board of Directors, and shall have such powers and duties and be paid such compensation as may be directed by the Board of Directors. Any individual may hold two or more offices.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9" w:name="page20"/>
    <w:bookmarkEnd w:id="19"/>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4.2 </w:t>
      </w:r>
      <w:r>
        <w:rPr>
          <w:rFonts w:ascii="Arial" w:cs="Arial" w:eastAsia="Arial" w:hAnsi="Arial"/>
          <w:sz w:val="18"/>
          <w:szCs w:val="18"/>
          <w:u w:val="single" w:color="auto"/>
          <w:color w:val="auto"/>
        </w:rPr>
        <w:t>Removal; Resignation</w:t>
      </w:r>
      <w:r>
        <w:rPr>
          <w:rFonts w:ascii="Arial" w:cs="Arial" w:eastAsia="Arial" w:hAnsi="Arial"/>
          <w:sz w:val="18"/>
          <w:szCs w:val="18"/>
          <w:color w:val="auto"/>
        </w:rPr>
        <w:t>. Any officer or agent elected or appointed by the Board of Directors may be removed by the Board of Directors with or without cause. Any officer may resign at any time upon written notice to the Corporation. Any such removal or resignation shall be subject to the rights, if any, of the respective parties under any contract between the Corporation and such officer or agent.</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because of death, resignation, removal or otherwise may be filled by the Board of Directors for the unexpired portion of the term of such office.</w:t>
      </w:r>
    </w:p>
    <w:p>
      <w:pPr>
        <w:spacing w:after="0" w:line="1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may elect a chief executive officer who, subject to the supervision and control of the Board of Directors, shall have the ultimate responsibility for the management and control of the business and affairs of the Corporation, and perform such other duties and have such other powers which are delegated to him or her by the Board of Directors, these Bylaws or as provided by law.</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subject to the supervision and control of the Board of Directors, shall in general actively supervise and control the business and affairs of the Corporation. The president shall keep the Board of Directors fully informed as the Board of Directors may request and shall consult the Board of Directors concerning the business of the Corporation. The president shall perform such other duties and have such other powers which are delegated and assigned to him or her by the Board of Directors, the chief executive officer, if any, these Bylaws or as provided by law. The president shall be the chief executive officer of the Corporation unless the Board of Directors shall elect or appoint different individuals to hold such positions.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Vice Presidents</w:t>
      </w:r>
      <w:r>
        <w:rPr>
          <w:rFonts w:ascii="Arial" w:cs="Arial" w:eastAsia="Arial" w:hAnsi="Arial"/>
          <w:sz w:val="16"/>
          <w:szCs w:val="16"/>
          <w:color w:val="auto"/>
        </w:rPr>
        <w:t>. The Board of Directors may elect one or more vice presidents. In the absence or disability of the president, or at the president’s request, the vice president or vice presidents, in order of their rank as fixed by the Board of Directors, and if not ranked, the vice presidents in the order designated by the Board of Directors,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of Directors, the president, these Bylaws or as provided by law.</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stockholders, the Board of Directors and any committees thereof, and shall keep, or cause to be kept, the minutes of proceedings thereof in books provided for that purpose. He or she shall keep, or cause to be kept, a register of the stockholders of the Corporation and shall be responsible for the giving of notice of meetings of the stockholders, the Board of Directors and any committees, and shall see that all notices are duly given in accordance with the provisions of these Bylaws or as required by law. The secretary shall be custodian of the corporate seal, if any, the records of the Corporation, the stock certificate books, transfer books and stock ledgers, and such other books and papers as the Board of Directors or any appropriate committee may direct. The secretary shall perform all other duties commonly incident to his or her office and shall perform such other duties which are assigned to him or her by the Board of Directors, the chief executive officer, if any, the president, these Bylaws or as provided by law.</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An assistant secretary shall, at the request of the secretary, or in the absence or disability of the secretary, perform all the duties of the secretary. He or she shall perform such other duties as are assigned to him or her by the Board of Directors, the chief executive officer, if any, the president, these Bylaws or as provided by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0" w:name="page21"/>
    <w:bookmarkEnd w:id="20"/>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4.9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subject to the order of the Board of Directors, shall have the care and custody of, and be responsible for, all of the money, funds, securities, receipts and valuable papers, documents and instruments of the Corporation, and all books and records relating thereto. The treasurer shall keep, or cause to be kept, full and accurate books of accounts of the Corporation’s transactions, which shall be the property of the Corporation, and shall render financial reports and statements of condition of the Corporation when so requested by the Board of Directors, the chairman of the board, if any, the chief executive officer, if any, or the president. The treasurer shall perform all other duties commonly incident to his or her office and such other duties as may, from time to time, be assigned to him or her by the Board of Directors, the chief executive officer, if any, the president, these Bylaws or as provided by law. The treasurer shall, if required by the Board of Directors, give bond to the Corporation in such sum and with such security as shall be approved by the Board of Directors for the faithful performance of all the duties of the treasurer and for restoration to the Corporation, in the event of the treasurer’s death, resignation, retirement or removal from office, of all books, records, papers, vouchers, money and other property in the treasurer’s custody or control and belonging to the Corporation. The expense of such bond shall be borne by the Corporation. If a chief financial officer of the Corporation has not been appointed, the treasurer may be deemed the chief financial officer of the Corporation.</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Assistant Treasurers</w:t>
      </w:r>
      <w:r>
        <w:rPr>
          <w:rFonts w:ascii="Arial" w:cs="Arial" w:eastAsia="Arial" w:hAnsi="Arial"/>
          <w:sz w:val="16"/>
          <w:szCs w:val="16"/>
          <w:color w:val="auto"/>
        </w:rPr>
        <w:t>. An assistant treasurer shall, at the request of the treasurer, or in the absence or disability of the treasurer, perform all the duties of the treasurer. He or she shall perform such other duties which are assigned to him or her by the Board of Directors, the chief executive officer, if any, the president, the treasurer, these Bylaws or as provided by law. The Board of Directors may require an assistant treasurer to give a bond to the Corporation in such sum and with such security as it may approve, for the faithful performance of the duties of the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Execution of Negotiable Instruments, Deeds and Contracts</w:t>
      </w:r>
      <w:r>
        <w:rPr>
          <w:rFonts w:ascii="Arial" w:cs="Arial" w:eastAsia="Arial" w:hAnsi="Arial"/>
          <w:sz w:val="16"/>
          <w:szCs w:val="16"/>
          <w:color w:val="auto"/>
        </w:rPr>
        <w:t>. All (i) checks, drafts, notes, bonds, bills of exchange, and orders for the payment of money of the Corporation, (ii) deeds, mortgages, proxies, powers of attorney and other written contracts, documents, instruments and agreements to which the Corporation shall be a party and (iii) assignments or endorsements of stock certificates, registered bonds or other securities owned by the Corporation shall be signed in the name of the Corporation by such officers or other persons as the Board of Directors may from time to time designate. The Board of Directors may authorize the use of the facsimile signatures of any such persons. Any officer of the Corporation shall be authorized to attend, act and vote, or designate another officer or an agent of the Corporation to attend, act and vote, at any meeting of the owners of any entity in which the Corporation may own an interest or to take action by written consent in lieu thereof. Such officer or agent, at any such meeting or by such written action, shall possess and may exercise on behalf of the Corporation any and all rights and powers incident to the ownership of such interest.</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CAPITAL STOCK</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Issuance</w:t>
      </w:r>
      <w:r>
        <w:rPr>
          <w:rFonts w:ascii="Arial" w:cs="Arial" w:eastAsia="Arial" w:hAnsi="Arial"/>
          <w:sz w:val="18"/>
          <w:szCs w:val="18"/>
          <w:color w:val="auto"/>
        </w:rPr>
        <w:t>. Shares of the Corporation’s authorized capital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5.2 </w:t>
      </w:r>
      <w:r>
        <w:rPr>
          <w:rFonts w:ascii="Arial" w:cs="Arial" w:eastAsia="Arial" w:hAnsi="Arial"/>
          <w:sz w:val="18"/>
          <w:szCs w:val="18"/>
          <w:u w:val="single" w:color="auto"/>
          <w:color w:val="auto"/>
        </w:rPr>
        <w:t>Stock Certificates and Uncertificated Shares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286" w:lineRule="auto"/>
        <w:tabs>
          <w:tab w:leader="none" w:pos="11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Every holder of stock in the Corporation shall be entitled to have a certificate signed by or in the name of the Corporation by (i) the chief executive officer, if any, the president, or a vice president, and (ii) the secretary, an assistant secretary, the treasurer or the chief financial officer, if any, of the Corporation (or any other two officers or agents so authorized by the Board of Directors), certifying the number of shares of stock owned by him, her or it in the Corporation; provided, however, that the Board of Directors may authorize the issuance of uncertificated shares of some or all of any or all classes or series of the Corporation’s stock. Any such issuance of uncertificated shares shall have no effect on existing certificates for shares until such certificates are surrendered to the Corporation, or on the respective rights and obligations of the stockholders. Whenever any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spacing w:after="0" w:line="124" w:lineRule="exact"/>
        <w:rPr>
          <w:rFonts w:ascii="Arial" w:cs="Arial" w:eastAsia="Arial" w:hAnsi="Arial"/>
          <w:sz w:val="16"/>
          <w:szCs w:val="16"/>
          <w:color w:val="auto"/>
        </w:rPr>
      </w:pPr>
    </w:p>
    <w:p>
      <w:pPr>
        <w:ind w:right="60" w:firstLine="921"/>
        <w:spacing w:after="0" w:line="314" w:lineRule="auto"/>
        <w:tabs>
          <w:tab w:leader="none" w:pos="1162" w:val="left"/>
        </w:tabs>
        <w:numPr>
          <w:ilvl w:val="0"/>
          <w:numId w:val="22"/>
        </w:numPr>
        <w:rPr>
          <w:rFonts w:ascii="Arial" w:cs="Arial" w:eastAsia="Arial" w:hAnsi="Arial"/>
          <w:sz w:val="15"/>
          <w:szCs w:val="15"/>
          <w:color w:val="auto"/>
        </w:rPr>
      </w:pPr>
      <w:r>
        <w:rPr>
          <w:rFonts w:ascii="Arial" w:cs="Arial" w:eastAsia="Arial" w:hAnsi="Arial"/>
          <w:sz w:val="15"/>
          <w:szCs w:val="15"/>
          <w:color w:val="auto"/>
        </w:rPr>
        <w:t>Within a reasonable time after the issuance or transfer of uncertificated shares, the Corporation shall send to the registered owner thereof a written statement certifying the number and class (and the designation of the series, if any) of the shares owned by such stockholder in the Corporation and any restrictions on the transfer or registration of such shares imposed by the Articles of Incorporation, these Bylaws, any agreement among stockholders or any agreement between the stockholders and the Corporation, and, at least annually thereafter, the Corporation shall provide to such stockholders of record holding uncertificated shares, a written statement confirming the information contained in such written statement previously sent. Except as otherwise expressly provided by the NRS, the rights and obligations of the stockholders of the Corporation shall be identical whether or not their shares of stock are represented by certificates.</w:t>
      </w:r>
    </w:p>
    <w:p>
      <w:pPr>
        <w:spacing w:after="0" w:line="104" w:lineRule="exact"/>
        <w:rPr>
          <w:rFonts w:ascii="Arial" w:cs="Arial" w:eastAsia="Arial" w:hAnsi="Arial"/>
          <w:sz w:val="15"/>
          <w:szCs w:val="15"/>
          <w:color w:val="auto"/>
        </w:rPr>
      </w:pPr>
    </w:p>
    <w:p>
      <w:pPr>
        <w:ind w:right="40" w:firstLine="921"/>
        <w:spacing w:after="0" w:line="253" w:lineRule="auto"/>
        <w:tabs>
          <w:tab w:leader="none" w:pos="11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foregoing, all certificates evidencing shares of the Corporation’s stock or other securities issued by the Corporation shall contain such legend or legends as may from time to time be required by the NRS and/or the regulations of the Nevada Gaming Commission then in effect, or such other federal, state or local laws or regulations then in effect.</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Surrendered; Lost or Destroyed Certificates</w:t>
      </w:r>
      <w:r>
        <w:rPr>
          <w:rFonts w:ascii="Arial" w:cs="Arial" w:eastAsia="Arial" w:hAnsi="Arial"/>
          <w:sz w:val="18"/>
          <w:szCs w:val="18"/>
          <w:color w:val="auto"/>
        </w:rPr>
        <w:t>.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 alleged to have been lost, stolen, destroyed or mutilated shall, prior to the issuance of a replacement, provide the Corporation with his, her or its affidavit of the facts surrounding the loss, theft, destruction or mutilation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2" w:name="page23"/>
    <w:bookmarkEnd w:id="22"/>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if required by the Board of Directors, an indemnity bond in an amount not less than twice the current market value of the stock, and upon such terms as the treasurer or the Board of Directors shall require which shall indemnify the Corporation against any loss, damage, cost or inconvenience arising as a consequence of the issuance of a replacement certificate.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Replacement Certificate</w:t>
      </w:r>
      <w:r>
        <w:rPr>
          <w:rFonts w:ascii="Arial" w:cs="Arial" w:eastAsia="Arial" w:hAnsi="Arial"/>
          <w:sz w:val="16"/>
          <w:szCs w:val="16"/>
          <w:color w:val="auto"/>
        </w:rPr>
        <w:t>. When the Articles of Incorporation are amended in any way affecting the statements contained in the certificates for outstanding shares of capital stock of the Corporation or it becomes desirable for any reason, in the discretion of the Board of Directors, including, without limitation, the merger of the Corporation with another Corporation or the conversion or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spacing w:after="0" w:line="118"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Transfer of Shares</w:t>
      </w:r>
      <w:r>
        <w:rPr>
          <w:rFonts w:ascii="Arial" w:cs="Arial" w:eastAsia="Arial" w:hAnsi="Arial"/>
          <w:sz w:val="15"/>
          <w:szCs w:val="15"/>
          <w:color w:val="auto"/>
        </w:rPr>
        <w:t>. No transfer of stock shall be valid as against the Corporation except on surrender and cancellation of any certificate(s) therefor accompanied by an assignment or transfer by the registered owner made either in person or under assignment. Whenever any transfer shall be expressly made for collateral security and not absolutely, the collateral nature of the transfer shall be reflected in the entry of transfer in the records of the Corporation.</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Transfer Agent; Registrars</w:t>
      </w:r>
      <w:r>
        <w:rPr>
          <w:rFonts w:ascii="Arial" w:cs="Arial" w:eastAsia="Arial" w:hAnsi="Arial"/>
          <w:sz w:val="16"/>
          <w:szCs w:val="16"/>
          <w:color w:val="auto"/>
        </w:rPr>
        <w:t>. The Board of Directors may appoint one or more transfer agents, transfer clerks and registrars of transfer and may require all certificates for shares of stock to bear the signature of such transfer agents, transfer clerks and/or registrars of transfer.</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Miscellaneous</w:t>
      </w:r>
      <w:r>
        <w:rPr>
          <w:rFonts w:ascii="Arial" w:cs="Arial" w:eastAsia="Arial" w:hAnsi="Arial"/>
          <w:sz w:val="16"/>
          <w:szCs w:val="16"/>
          <w:color w:val="auto"/>
        </w:rPr>
        <w:t>. The Board of Directors shall have the power and authority to make such rules and regulations not inconsistent herewith as it may deem expedient concerning the issue, transfer, and registration of certificates for shares of the Corporation’s stock.</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Inapplicability of Controlling Interest Statutes</w:t>
      </w:r>
      <w:r>
        <w:rPr>
          <w:rFonts w:ascii="Arial" w:cs="Arial" w:eastAsia="Arial" w:hAnsi="Arial"/>
          <w:sz w:val="18"/>
          <w:szCs w:val="18"/>
          <w:color w:val="auto"/>
        </w:rPr>
        <w:t>. Notwithstanding any other provision in these Bylaws to the contrary, and in accordance with the provisions of NRS 78.378, the provisions of NRS 78.378 to 78.3793, inclusive (or any successor statutes thereto), relating to acquisitions of controlling interests in the Corporation do not apply to any and all acquisitions of shares of the Corporation’s common stock, par value $.01 per share, effected by Stephen A. Wynn or any of his affiliates.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DISTRIBUTIONS</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Distributions may be declared, subject to the provisions of the laws of the State of Nevada and the Articles of Incorporation, by the Board of Directors and may be paid in cash, property, shares of corporate stock, or any other medium. The Board of Directors may fix in advance a record date, in accordance with and as provided in Section 2.5, prior to the distribution for the purpose of determining stockholders entitled to receive any distribution.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RECORDS; REPORTS; SEAL; AND FINANCIAL MATTERS</w:t>
      </w:r>
    </w:p>
    <w:p>
      <w:pPr>
        <w:spacing w:after="0" w:line="165"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Records</w:t>
      </w:r>
      <w:r>
        <w:rPr>
          <w:rFonts w:ascii="Arial" w:cs="Arial" w:eastAsia="Arial" w:hAnsi="Arial"/>
          <w:sz w:val="16"/>
          <w:szCs w:val="16"/>
          <w:color w:val="auto"/>
        </w:rPr>
        <w:t>. All original records of the Corporation, shall be kept at the principal office of the Corporation by or under the direction of the secretary or at such other place or by such other person as may be prescribed by these Bylaws or the Board of Directors.</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by resolution, authorize a seal, and the seal may be used by causing it, or a facsimile, to be impressed or affixed or reproduced or otherwise. Except when otherwise specifically provided herein, any officer of the Corporation shall have the authority to affix the seal to any document requiring it.</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Fiscal Year-End</w:t>
      </w:r>
      <w:r>
        <w:rPr>
          <w:rFonts w:ascii="Arial" w:cs="Arial" w:eastAsia="Arial" w:hAnsi="Arial"/>
          <w:sz w:val="18"/>
          <w:szCs w:val="18"/>
          <w:color w:val="auto"/>
        </w:rPr>
        <w:t>. The fiscal year-end of the Corporation shall be such date as may be fixed from time to time by resolution of the Board of Directors.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right="120" w:firstLine="1492"/>
        <w:spacing w:after="0" w:line="291" w:lineRule="auto"/>
        <w:tabs>
          <w:tab w:leader="none" w:pos="1693" w:val="left"/>
        </w:tabs>
        <w:numPr>
          <w:ilvl w:val="1"/>
          <w:numId w:val="23"/>
        </w:numPr>
        <w:rPr>
          <w:rFonts w:ascii="Arial" w:cs="Arial" w:eastAsia="Arial" w:hAnsi="Arial"/>
          <w:sz w:val="16"/>
          <w:szCs w:val="16"/>
          <w:color w:val="auto"/>
        </w:rPr>
      </w:pPr>
      <w:r>
        <w:rPr>
          <w:rFonts w:ascii="Arial" w:cs="Arial" w:eastAsia="Arial" w:hAnsi="Arial"/>
          <w:sz w:val="16"/>
          <w:szCs w:val="16"/>
          <w:color w:val="auto"/>
        </w:rPr>
        <w:t>For purposes of this Article, (A) “</w:t>
      </w:r>
      <w:r>
        <w:rPr>
          <w:rFonts w:ascii="Arial" w:cs="Arial" w:eastAsia="Arial" w:hAnsi="Arial"/>
          <w:sz w:val="16"/>
          <w:szCs w:val="16"/>
          <w:b w:val="1"/>
          <w:bCs w:val="1"/>
          <w:color w:val="auto"/>
        </w:rPr>
        <w:t>Indemnitee</w:t>
      </w:r>
      <w:r>
        <w:rPr>
          <w:rFonts w:ascii="Arial" w:cs="Arial" w:eastAsia="Arial" w:hAnsi="Arial"/>
          <w:sz w:val="16"/>
          <w:szCs w:val="16"/>
          <w:color w:val="auto"/>
        </w:rPr>
        <w:t>” shall mean each director or officer who was or is a party to, or is threatened to be made a party to, or is otherwise involved in, any Proceeding (as hereinafter defined), by reason of the fact that he or she is or was a director or officer of the Corporation or member, manager or managing member of a predecessor limited liability company or affiliate of such limited liability company or is or was serving in any capacity at the request of the Corporation as a director, officer, employee, agent, partner, member, manager or fiduciary of, or in any other capacity for, another corporation or any partnership, joint venture, limited liability company, trust, or other enterprise; and (B) “</w:t>
      </w:r>
      <w:r>
        <w:rPr>
          <w:rFonts w:ascii="Arial" w:cs="Arial" w:eastAsia="Arial" w:hAnsi="Arial"/>
          <w:sz w:val="16"/>
          <w:szCs w:val="16"/>
          <w:b w:val="1"/>
          <w:bCs w:val="1"/>
          <w:color w:val="auto"/>
        </w:rPr>
        <w:t>Proceeding</w:t>
      </w:r>
      <w:r>
        <w:rPr>
          <w:rFonts w:ascii="Arial" w:cs="Arial" w:eastAsia="Arial" w:hAnsi="Arial"/>
          <w:sz w:val="16"/>
          <w:szCs w:val="16"/>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19" w:lineRule="exact"/>
        <w:rPr>
          <w:rFonts w:ascii="Arial" w:cs="Arial" w:eastAsia="Arial" w:hAnsi="Arial"/>
          <w:sz w:val="16"/>
          <w:szCs w:val="16"/>
          <w:color w:val="auto"/>
        </w:rPr>
      </w:pPr>
    </w:p>
    <w:p>
      <w:pPr>
        <w:ind w:firstLine="1492"/>
        <w:spacing w:after="0" w:line="286" w:lineRule="auto"/>
        <w:tabs>
          <w:tab w:leader="none" w:pos="1742"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Each Indemnitee shall be indemnified and held harmless by the Corporation to the fullest extent permitted by the laws of the State of Nevada,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4" w:name="page25"/>
    <w:bookmarkEnd w:id="24"/>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 including, but not limited to, in connection with such person being deemed an Unsuitable Person (as defined in Article VII of the Articles of Incorporation).</w:t>
      </w:r>
    </w:p>
    <w:p>
      <w:pPr>
        <w:spacing w:after="0" w:line="120" w:lineRule="exact"/>
        <w:rPr>
          <w:sz w:val="20"/>
          <w:szCs w:val="20"/>
          <w:color w:val="auto"/>
        </w:rPr>
      </w:pPr>
    </w:p>
    <w:p>
      <w:pPr>
        <w:ind w:firstLine="1492"/>
        <w:spacing w:after="0" w:line="298" w:lineRule="auto"/>
        <w:tabs>
          <w:tab w:leader="none" w:pos="1791"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Indemnification pursuant to this Section shall continue as to an Indemnitee who has ceased to be a director or officer of the Corporation or member, manager or managing member of a predecessor limited liability company or affiliate of such limited liability company or a director, officer, employee, agent,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12" w:lineRule="exact"/>
        <w:rPr>
          <w:rFonts w:ascii="Arial" w:cs="Arial" w:eastAsia="Arial" w:hAnsi="Arial"/>
          <w:sz w:val="16"/>
          <w:szCs w:val="16"/>
          <w:color w:val="auto"/>
        </w:rPr>
      </w:pPr>
    </w:p>
    <w:p>
      <w:pPr>
        <w:ind w:right="120" w:firstLine="1492"/>
        <w:spacing w:after="0" w:line="291" w:lineRule="auto"/>
        <w:tabs>
          <w:tab w:leader="none" w:pos="1781"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spacing w:after="0" w:line="120" w:lineRule="exact"/>
        <w:rPr>
          <w:rFonts w:ascii="Arial" w:cs="Arial" w:eastAsia="Arial" w:hAnsi="Arial"/>
          <w:sz w:val="16"/>
          <w:szCs w:val="16"/>
          <w:color w:val="auto"/>
        </w:rPr>
      </w:pPr>
    </w:p>
    <w:p>
      <w:pPr>
        <w:ind w:right="280" w:firstLine="921"/>
        <w:spacing w:after="0" w:line="268" w:lineRule="auto"/>
        <w:tabs>
          <w:tab w:leader="none" w:pos="116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Indemnification of Employees and Other Persons</w:t>
      </w:r>
      <w:r>
        <w:rPr>
          <w:rFonts w:ascii="Arial" w:cs="Arial" w:eastAsia="Arial" w:hAnsi="Arial"/>
          <w:sz w:val="18"/>
          <w:szCs w:val="18"/>
          <w:color w:val="auto"/>
        </w:rPr>
        <w:t>. The Corporation may, by action of its Board of Directors and to the extent provided in such action, indemnify employees and other persons as though they were Indemnitees.</w:t>
      </w:r>
    </w:p>
    <w:p>
      <w:pPr>
        <w:spacing w:after="0" w:line="131" w:lineRule="exact"/>
        <w:rPr>
          <w:rFonts w:ascii="Arial" w:cs="Arial" w:eastAsia="Arial" w:hAnsi="Arial"/>
          <w:sz w:val="18"/>
          <w:szCs w:val="18"/>
          <w:color w:val="auto"/>
        </w:rPr>
      </w:pPr>
    </w:p>
    <w:p>
      <w:pPr>
        <w:ind w:right="80" w:firstLine="921"/>
        <w:spacing w:after="0" w:line="370" w:lineRule="auto"/>
        <w:tabs>
          <w:tab w:leader="none" w:pos="1152"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Non-Exclusivity of Rights</w:t>
      </w:r>
      <w:r>
        <w:rPr>
          <w:rFonts w:ascii="Arial" w:cs="Arial" w:eastAsia="Arial" w:hAnsi="Arial"/>
          <w:sz w:val="15"/>
          <w:szCs w:val="15"/>
          <w:color w:val="auto"/>
        </w:rPr>
        <w:t>. The rights to indemnification provided in this Article shall not be exclusive of any other rights that any person may have or hereafter acquire under any statute, provision of the Articles of Incorporation or these Bylaws, agreement, vote of stockholders or directors, or otherwise.</w:t>
      </w:r>
    </w:p>
    <w:p>
      <w:pPr>
        <w:spacing w:after="0" w:line="62" w:lineRule="exact"/>
        <w:rPr>
          <w:rFonts w:ascii="Arial" w:cs="Arial" w:eastAsia="Arial" w:hAnsi="Arial"/>
          <w:sz w:val="15"/>
          <w:szCs w:val="15"/>
          <w:color w:val="auto"/>
        </w:rPr>
      </w:pPr>
    </w:p>
    <w:p>
      <w:pPr>
        <w:ind w:right="300" w:firstLine="921"/>
        <w:spacing w:after="0" w:line="256" w:lineRule="auto"/>
        <w:tabs>
          <w:tab w:leader="none" w:pos="116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or make other financial arrangements on behalf of any Indemnitee for any liability 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spacing w:after="0" w:line="143" w:lineRule="exact"/>
        <w:rPr>
          <w:rFonts w:ascii="Arial" w:cs="Arial" w:eastAsia="Arial" w:hAnsi="Arial"/>
          <w:sz w:val="18"/>
          <w:szCs w:val="18"/>
          <w:color w:val="auto"/>
        </w:rPr>
      </w:pPr>
    </w:p>
    <w:p>
      <w:pPr>
        <w:ind w:right="20" w:firstLine="921"/>
        <w:spacing w:after="0" w:line="294" w:lineRule="auto"/>
        <w:tabs>
          <w:tab w:leader="none" w:pos="115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Other Financial Arrangements</w:t>
      </w:r>
      <w:r>
        <w:rPr>
          <w:rFonts w:ascii="Arial" w:cs="Arial" w:eastAsia="Arial" w:hAnsi="Arial"/>
          <w:sz w:val="16"/>
          <w:szCs w:val="16"/>
          <w:color w:val="auto"/>
        </w:rPr>
        <w:t>. The other financial arrangements which may be made by the Corporation may include the 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5" w:name="page26"/>
    <w:bookmarkEnd w:id="25"/>
    <w:p>
      <w:pPr>
        <w:ind w:firstLine="921"/>
        <w:spacing w:after="0" w:line="291" w:lineRule="auto"/>
        <w:tabs>
          <w:tab w:leader="none" w:pos="113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 Relating to Insurance or Financial Arrangements</w:t>
      </w:r>
      <w:r>
        <w:rPr>
          <w:rFonts w:ascii="Arial" w:cs="Arial" w:eastAsia="Arial" w:hAnsi="Arial"/>
          <w:sz w:val="16"/>
          <w:szCs w:val="16"/>
          <w:color w:val="auto"/>
        </w:rPr>
        <w:t>. Any insurance or other financial arrangement made on behalf of a person pursuant to this Section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8.1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Amendment</w:t>
      </w:r>
      <w:r>
        <w:rPr>
          <w:rFonts w:ascii="Arial" w:cs="Arial" w:eastAsia="Arial" w:hAnsi="Arial"/>
          <w:sz w:val="16"/>
          <w:szCs w:val="16"/>
          <w:color w:val="auto"/>
        </w:rPr>
        <w:t>. The provisions of this Article VIII relating to indemnification shall constitute a contract between the Corporation and each of its directors and officers which may be modified as to any director or officer only with that person’s consent or as specifically provided in this Section 8.2. Notwithstanding any other provision of these Bylaws relating to their amendment generally, any repeal or amendment of this Article VIII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Article X), no repeal or amendment of these Bylaws shall affect any or all of this Article VIII so as to limit or reduce the indemnification in any manner unless adopted by (i) the unanimous vote of the directors of the Corporation then serving, or (ii) by the stockholders as set forth in Article X; provided that no such amendment shall have a retroactive effect inconsistent with the preceding sentence.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CHANGES IN NEVADA LAW</w:t>
      </w:r>
    </w:p>
    <w:p>
      <w:pPr>
        <w:spacing w:after="0" w:line="16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References in these Bylaws to the laws of the State of Nevada or the NRS or to any provision thereof shall be to such law as it existed on the date these Bylaws were adopted or as such law thereafter may be changed; provided that (i) in the case of any change which expands the liability of directors or officers or limits the indemnification rights or the rights to advancement of expenses which the Corporation may provide in Article VIII, the rights to limited liability, to indemnification and to the advancement of expenses provided in the Articles of Incorporation and/or these Bylaws shall continue as theretofore to the extent permitted by law; and (ii)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OR REPEAL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90" w:lineRule="exact"/>
        <w:rPr>
          <w:sz w:val="20"/>
          <w:szCs w:val="20"/>
          <w:color w:val="auto"/>
        </w:rPr>
      </w:pPr>
    </w:p>
    <w:p>
      <w:pPr>
        <w:ind w:right="460" w:firstLine="921"/>
        <w:spacing w:after="0" w:line="268" w:lineRule="auto"/>
        <w:tabs>
          <w:tab w:leader="none" w:pos="11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In furtherance and not in limitation of the powers conferred by statute, the Board of Directors is expressly authorized to amend or repeal these Bylaws or to adopt new bylaws.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6" w:name="page27"/>
    <w:bookmarkEnd w:id="26"/>
    <w:p>
      <w:pPr>
        <w:ind w:left="-160" w:firstLine="921"/>
        <w:spacing w:after="0" w:line="259" w:lineRule="auto"/>
        <w:tabs>
          <w:tab w:leader="none" w:pos="100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w:t>
      </w:r>
      <w:r>
        <w:rPr>
          <w:rFonts w:ascii="Arial" w:cs="Arial" w:eastAsia="Arial" w:hAnsi="Arial"/>
          <w:sz w:val="18"/>
          <w:szCs w:val="18"/>
          <w:color w:val="auto"/>
        </w:rPr>
        <w:t>. Notwithstanding Section 10.1(a), these Bylaws may be amended or repealed in any respect, and new bylaws may be adopted, in each case by the affirmative vote of the holders of at least sixty-six and two-thirds percent (66-2/3%) of the outstanding voting power of the Corporation, voting together as a single class.</w:t>
      </w:r>
    </w:p>
    <w:p>
      <w:pPr>
        <w:spacing w:after="0" w:line="140" w:lineRule="exact"/>
        <w:rPr>
          <w:sz w:val="20"/>
          <w:szCs w:val="20"/>
          <w:color w:val="auto"/>
        </w:rPr>
      </w:pPr>
    </w:p>
    <w:p>
      <w:pPr>
        <w:ind w:left="4820"/>
        <w:spacing w:after="0"/>
        <w:tabs>
          <w:tab w:leader="none" w:pos="5240" w:val="left"/>
          <w:tab w:leader="none" w:pos="568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400" w:top="280" w:right="39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CERTIFICATION</w:t>
      </w:r>
    </w:p>
    <w:p>
      <w:pPr>
        <w:spacing w:after="0" w:line="165"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The undersigned, as the duly elected Secretary of Wynn Resorts, Limited, a Nevada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that the Board of Directors of the Corporation adopted the foregoing Fifth Amended and Restated Bylaws as of the 2</w:t>
      </w:r>
      <w:r>
        <w:rPr>
          <w:rFonts w:ascii="Arial" w:cs="Arial" w:eastAsia="Arial" w:hAnsi="Arial"/>
          <w:sz w:val="11"/>
          <w:szCs w:val="11"/>
          <w:color w:val="auto"/>
        </w:rPr>
        <w:t>nd</w:t>
      </w:r>
      <w:r>
        <w:rPr>
          <w:rFonts w:ascii="Arial" w:cs="Arial" w:eastAsia="Arial" w:hAnsi="Arial"/>
          <w:sz w:val="18"/>
          <w:szCs w:val="18"/>
          <w:color w:val="auto"/>
        </w:rPr>
        <w:t xml:space="preserve"> day of November, 2012.</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Kim Sinatra, Secretary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4"/>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1"/>
    </w:lvl>
    <w:lvl w:ilvl="1">
      <w:lvlJc w:val="left"/>
      <w:lvlText w:val="(%2)"/>
      <w:numFmt w:val="lowerLetter"/>
      <w:start w:val="2"/>
    </w:lvl>
  </w:abstractNum>
  <w:abstractNum w:abstractNumId="5">
    <w:nsid w:val="25E45D32"/>
    <w:multiLevelType w:val="hybridMultilevel"/>
    <w:lvl w:ilvl="0">
      <w:lvlJc w:val="left"/>
      <w:lvlText w:val="(%1)"/>
      <w:numFmt w:val="lowerLetter"/>
      <w:start w:val="35"/>
    </w:lvl>
    <w:lvl w:ilvl="1">
      <w:lvlJc w:val="left"/>
      <w:lvlText w:val="(%2)"/>
      <w:numFmt w:val="lowerLetter"/>
      <w:start w:val="4"/>
    </w:lvl>
  </w:abstractNum>
  <w:abstractNum w:abstractNumId="6">
    <w:nsid w:val="519B500D"/>
    <w:multiLevelType w:val="hybridMultilevel"/>
    <w:lvl w:ilvl="0">
      <w:lvlJc w:val="left"/>
      <w:lvlText w:val="%1"/>
      <w:numFmt w:val="lowerLetter"/>
      <w:start w:val="1"/>
    </w:lvl>
    <w:lvl w:ilvl="1">
      <w:lvlJc w:val="left"/>
      <w:lvlText w:val="(%2)"/>
      <w:numFmt w:val="lowerLetter"/>
      <w:start w:val="1"/>
    </w:lvl>
  </w:abstractNum>
  <w:abstractNum w:abstractNumId="7">
    <w:nsid w:val="431BD7B7"/>
    <w:multiLevelType w:val="hybridMultilevel"/>
    <w:lvl w:ilvl="0">
      <w:lvlJc w:val="left"/>
      <w:lvlText w:val="(%1)"/>
      <w:numFmt w:val="lowerLetter"/>
      <w:start w:val="35"/>
    </w:lvl>
    <w:lvl w:ilvl="1">
      <w:lvlJc w:val="left"/>
      <w:lvlText w:val="(%2)"/>
      <w:numFmt w:val="lowerLetter"/>
      <w:start w:val="2"/>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lowerLetter"/>
      <w:start w:val="2"/>
    </w:lvl>
    <w:lvl w:ilvl="1">
      <w:lvlJc w:val="left"/>
      <w:lvlText w:val="(%2)"/>
      <w:numFmt w:val="lowerRoman"/>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3"/>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Roman"/>
      <w:start w:val="1"/>
    </w:lvl>
  </w:abstractNum>
  <w:abstractNum w:abstractNumId="15">
    <w:nsid w:val="721DA317"/>
    <w:multiLevelType w:val="hybridMultilevel"/>
    <w:lvl w:ilvl="0">
      <w:lvlJc w:val="left"/>
      <w:lvlText w:val="(%1)"/>
      <w:numFmt w:val="lowerLetter"/>
      <w:start w:val="2"/>
    </w:lvl>
  </w:abstractNum>
  <w:abstractNum w:abstractNumId="16">
    <w:nsid w:val="2443A858"/>
    <w:multiLevelType w:val="hybridMultilevel"/>
    <w:lvl w:ilvl="0">
      <w:lvlJc w:val="left"/>
      <w:lvlText w:val="(%1)"/>
      <w:numFmt w:val="decimal"/>
      <w:start w:val="13"/>
    </w:lvl>
  </w:abstractNum>
  <w:abstractNum w:abstractNumId="17">
    <w:nsid w:val="2D1D5AE9"/>
    <w:multiLevelType w:val="hybridMultilevel"/>
    <w:lvl w:ilvl="0">
      <w:lvlJc w:val="left"/>
      <w:lvlText w:val="(%1)"/>
      <w:numFmt w:val="decimal"/>
      <w:start w:val="2"/>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lvl w:ilvl="1">
      <w:lvlJc w:val="left"/>
      <w:lvlText w:val="(%2)"/>
      <w:numFmt w:val="lowerRoman"/>
      <w:start w:val="1"/>
    </w:lvl>
  </w:abstractNum>
  <w:abstractNum w:abstractNumId="23">
    <w:nsid w:val="B03E0C6"/>
    <w:multiLevelType w:val="hybridMultilevel"/>
    <w:lvl w:ilvl="0">
      <w:lvlJc w:val="left"/>
      <w:lvlText w:val="%1"/>
      <w:numFmt w:val="lowerLetter"/>
      <w:start w:val="1"/>
    </w:lvl>
    <w:lvl w:ilvl="1">
      <w:lvlJc w:val="left"/>
      <w:lvlText w:val="(%2)"/>
      <w:numFmt w:val="lowerRoman"/>
      <w:start w:val="3"/>
    </w:lvl>
  </w:abstractNum>
  <w:abstractNum w:abstractNumId="24">
    <w:nsid w:val="189A769B"/>
    <w:multiLevelType w:val="hybridMultilevel"/>
    <w:lvl w:ilvl="0">
      <w:lvlJc w:val="left"/>
      <w:lvlText w:val="(%1)"/>
      <w:numFmt w:val="lowerLetter"/>
      <w:start w:val="2"/>
    </w:lvl>
    <w:lvl w:ilvl="1">
      <w:lvlJc w:val="left"/>
      <w:lvlText w:val="%2"/>
      <w:numFmt w:val="lowerRoman"/>
      <w:start w:val="1"/>
    </w:lvl>
  </w:abstractNum>
  <w:abstractNum w:abstractNumId="25">
    <w:nsid w:val="54E49EB4"/>
    <w:multiLevelType w:val="hybridMultilevel"/>
    <w:lvl w:ilvl="0">
      <w:lvlJc w:val="left"/>
      <w:lvlText w:val="(%1)"/>
      <w:numFmt w:val="lowerLetter"/>
      <w:start w:val="6"/>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2019-12-09T15:13:15Z</dcterms:created>
  <dcterms:modified xsi:type="dcterms:W3CDTF">2019-12-09T15:13:15Z</dcterms:modified>
</cp:coreProperties>
</file>