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September 30, 2006</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4" w:lineRule="exact"/>
        <w:rPr>
          <w:sz w:val="24"/>
          <w:szCs w:val="24"/>
          <w:color w:val="auto"/>
        </w:rPr>
      </w:pPr>
    </w:p>
    <w:p>
      <w:pPr>
        <w:ind w:left="580"/>
        <w:spacing w:after="0"/>
        <w:tabs>
          <w:tab w:leader="none" w:pos="32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39"/>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39"/>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72"/>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1440" w:gutter="0" w:footer="0" w:header="0"/>
        </w:sectPr>
      </w:pPr>
    </w:p>
    <w:p>
      <w:pPr>
        <w:spacing w:after="0" w:line="118"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6">
            <w:col w:w="2160" w:space="180"/>
            <w:col w:w="2220" w:space="720"/>
            <w:col w:w="1180" w:space="180"/>
            <w:col w:w="1660" w:space="720"/>
            <w:col w:w="1480" w:space="180"/>
            <w:col w:w="74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440" w:space="160"/>
            <w:col w:w="260" w:space="180"/>
            <w:col w:w="160" w:space="180"/>
            <w:col w:w="220" w:space="160"/>
            <w:col w:w="16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4740" w:type="dxa"/>
            <w:vAlign w:val="bottom"/>
            <w:gridSpan w:val="2"/>
          </w:tcPr>
          <w:p>
            <w:pPr>
              <w:jc w:val="center"/>
              <w:ind w:right="4280"/>
              <w:spacing w:after="0"/>
              <w:rPr>
                <w:sz w:val="20"/>
                <w:szCs w:val="20"/>
                <w:color w:val="auto"/>
              </w:rPr>
            </w:pPr>
            <w:r>
              <w:rPr>
                <w:rFonts w:ascii="Arial" w:cs="Arial" w:eastAsia="Arial" w:hAnsi="Arial"/>
                <w:sz w:val="14"/>
                <w:szCs w:val="14"/>
                <w:b w:val="1"/>
                <w:bCs w:val="1"/>
                <w:color w:val="auto"/>
                <w:w w:val="80"/>
              </w:rPr>
              <w:t>Class</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November 2, 2006</w:t>
            </w:r>
          </w:p>
        </w:tc>
        <w:tc>
          <w:tcPr>
            <w:tcW w:w="124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r>
      <w:tr>
        <w:trPr>
          <w:trHeight w:val="316"/>
        </w:trPr>
        <w:tc>
          <w:tcPr>
            <w:tcW w:w="7320" w:type="dxa"/>
            <w:vAlign w:val="bottom"/>
            <w:gridSpan w:val="3"/>
          </w:tcPr>
          <w:p>
            <w:pPr>
              <w:jc w:val="center"/>
              <w:ind w:right="1700"/>
              <w:spacing w:after="0"/>
              <w:rPr>
                <w:sz w:val="20"/>
                <w:szCs w:val="20"/>
                <w:color w:val="auto"/>
              </w:rPr>
            </w:pPr>
            <w:r>
              <w:rPr>
                <w:rFonts w:ascii="Arial" w:cs="Arial" w:eastAsia="Arial" w:hAnsi="Arial"/>
                <w:sz w:val="18"/>
                <w:szCs w:val="18"/>
                <w:color w:val="auto"/>
                <w:w w:val="88"/>
              </w:rPr>
              <w:t>Common stock, $0.01 par value</w:t>
            </w:r>
          </w:p>
        </w:tc>
        <w:tc>
          <w:tcPr>
            <w:tcW w:w="2860" w:type="dxa"/>
            <w:vAlign w:val="bottom"/>
          </w:tcPr>
          <w:p>
            <w:pPr>
              <w:jc w:val="right"/>
              <w:ind w:right="922"/>
              <w:spacing w:after="0"/>
              <w:rPr>
                <w:sz w:val="20"/>
                <w:szCs w:val="20"/>
                <w:color w:val="auto"/>
              </w:rPr>
            </w:pPr>
            <w:r>
              <w:rPr>
                <w:rFonts w:ascii="Arial" w:cs="Arial" w:eastAsia="Arial" w:hAnsi="Arial"/>
                <w:sz w:val="18"/>
                <w:szCs w:val="18"/>
                <w:color w:val="auto"/>
              </w:rPr>
              <w:t>101,542,972</w:t>
            </w:r>
          </w:p>
        </w:tc>
        <w:tc>
          <w:tcPr>
            <w:tcW w:w="1240" w:type="dxa"/>
            <w:vAlign w:val="bottom"/>
          </w:tcPr>
          <w:p>
            <w:pPr>
              <w:spacing w:after="0"/>
              <w:rPr>
                <w:sz w:val="24"/>
                <w:szCs w:val="24"/>
                <w:color w:val="auto"/>
              </w:rPr>
            </w:pPr>
          </w:p>
        </w:tc>
      </w:tr>
      <w:tr>
        <w:trPr>
          <w:trHeight w:val="282"/>
        </w:trPr>
        <w:tc>
          <w:tcPr>
            <w:tcW w:w="2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6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40" w:type="dxa"/>
            <w:vAlign w:val="bottom"/>
          </w:tcPr>
          <w:p>
            <w:pPr>
              <w:spacing w:after="0"/>
              <w:rPr>
                <w:sz w:val="17"/>
                <w:szCs w:val="17"/>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720" w:type="dxa"/>
            <w:vAlign w:val="bottom"/>
            <w:tcBorders>
              <w:top w:val="single" w:sz="8" w:color="0000EE"/>
            </w:tcBorders>
            <w:gridSpan w:val="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834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2006 and December 31, 2005</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40" w:type="dxa"/>
            <w:vAlign w:val="bottom"/>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 - Three and nine months ended September 30, 2006 and 2005 (as restated)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80" w:type="dxa"/>
            <w:vAlign w:val="bottom"/>
            <w:tcBorders>
              <w:top w:val="single" w:sz="8" w:color="0000EE"/>
            </w:tcBorders>
            <w:gridSpan w:val="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(unaudited) - Nine months ended September 30, 2006 and 2005 (as restated)</w:t>
              </w:r>
            </w:hyperlink>
          </w:p>
        </w:tc>
        <w:tc>
          <w:tcPr>
            <w:tcW w:w="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20" w:type="dxa"/>
            <w:vAlign w:val="bottom"/>
            <w:tcBorders>
              <w:top w:val="single" w:sz="8" w:color="0000EE"/>
            </w:tcBorders>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20" w:type="dxa"/>
            <w:vAlign w:val="bottom"/>
            <w:gridSpan w:val="2"/>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760" w:type="dxa"/>
            <w:vAlign w:val="bottom"/>
            <w:gridSpan w:val="4"/>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55">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32"/>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1,402,279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100,393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60,580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1,705,148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223,394</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3,057,030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68,749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98,949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5,236,768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Current portion of long-term land concession obligation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87,023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51,798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121,922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2,363,378</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2,090,846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14,089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2,944,274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5"/>
              </w:rPr>
              <w:t>Common stock, par value $0.01; authorized 400,000,000 shares; 101,526,722 and 99,331,294 shares issued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2,003,701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288,990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(395,161)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2,292,494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5,236,768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-4986020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-4986020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-4986020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-4986020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-4986020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-4986020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315"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315"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172,019</w:t>
            </w:r>
          </w:p>
        </w:tc>
        <w:tc>
          <w:tcPr>
            <w:tcW w:w="4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123,049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412,060</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204,236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72,091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61,211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224,411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144,646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357,247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287,710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985,353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(39,155)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(36,269)</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(116,666)</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(61,203)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318,092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251,441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868,687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452,569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93,480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53,388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214,636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47,772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42,477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141,954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56,195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44,814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152,172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36,820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124,797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337,289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238,626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877,557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497,469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2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(18,709)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(44,186)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11,837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29,885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(36,969)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(36,138)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(108,218)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899,409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(10,758)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(10,758)</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854,762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(22,525)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812,153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836,053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804,857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(80,951)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120,397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120,706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715,656</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684,151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(80,951)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4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100,480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98,472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99,688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111,702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111,083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-1056005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-1056005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-1056005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-1056005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-1056005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-1056005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-1056005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-1056005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-1056005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-1056005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-1056005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60325</wp:posOffset>
            </wp:positionV>
            <wp:extent cx="1294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684,151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124,797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in income of unsoncolidated affiliates</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Gain on sale of subconcession right</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(899,409)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640"/>
              <w:spacing w:after="0"/>
              <w:rPr>
                <w:sz w:val="20"/>
                <w:szCs w:val="20"/>
                <w:color w:val="auto"/>
              </w:rPr>
            </w:pPr>
            <w:r>
              <w:rPr>
                <w:rFonts w:ascii="Arial" w:cs="Arial" w:eastAsia="Arial" w:hAnsi="Arial"/>
                <w:sz w:val="18"/>
                <w:szCs w:val="18"/>
                <w:color w:val="auto"/>
              </w:rPr>
              <w:t>Inventories and prepaid expenses</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(16,683)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(456,741)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(61,947)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subconcession right,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499,536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(259,419)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long-term debt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713,615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(414,310)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 for deferred financing costs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967,990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1,402,279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552,880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currently owns and operates two casino hotel resort properties, Wynn Las Vegas, which opened on April 28, 2005 and Wynn Macau, which opened on September 6, 2006. In addition, the Company is constructing “Encore at Wynn Las Vegas” or “Encore” and continues development of the second phase of Wynn Macau. Encore will be fully integrated with Wynn Las Vegas and is being constructed on 20 acres of land immediately adjacent to Wynn Las Vegas. Encore is expected to open to the public in early 2009. The second phase of Wynn Macau will be integrated into the first phase and is being constructed on the five remaining acres of the 16 acres of land for Wynn Macau. Wynn Macau’s second phase is scheduled to open in stages commencing in February 2007 and to be completed in the fourth quarter of 2007.</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opening of Wynn Las Vegas on April 28, 2005, the Company was solely a development stage company.</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940" w:hanging="232"/>
        <w:spacing w:after="0" w:line="373" w:lineRule="auto"/>
        <w:tabs>
          <w:tab w:leader="none" w:pos="1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2006 and December 31, 2005, approximately 58% and 70%, respectively, of the Company’s markers were due from customers residing outside the United States. Business or economic conditions or other significant events in these countries could affect the collectibility of such receivables.</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and nine months ended September 30, 2006 and 2005 is primarily included in casino expenses as follows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September 30, 2006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3 months</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9 months</w:t>
            </w:r>
          </w:p>
        </w:tc>
        <w:tc>
          <w:tcPr>
            <w:tcW w:w="4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3 months</w:t>
            </w:r>
          </w:p>
        </w:tc>
        <w:tc>
          <w:tcPr>
            <w:tcW w:w="44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Food &amp; Beverage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13,918</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43,150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23,153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$69,185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23,745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820" w:type="dxa"/>
            <w:vAlign w:val="bottom"/>
            <w:vMerge w:val="restart"/>
          </w:tcPr>
          <w:p>
            <w:pPr>
              <w:jc w:val="right"/>
              <w:ind w:right="189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37274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runs. For the three and nine months ended September 30, 2006, advertising costs totaled approximately $4.2 million and $15.8 million, respectively. Advertising costs for the three and nine months ended September 30, 2005 were approximately $3.2 million and $14.2 million,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11 “Share-Based Compensation.”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is effective January 1, 2007. The Company is currently evaluating FIN 48 and has not yet determined the impact the adoption will have on the Company’s consolidated financial statements.</w:t>
      </w:r>
    </w:p>
    <w:p>
      <w:pPr>
        <w:spacing w:after="0" w:line="10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8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 an amendment of FASB Statements No. 87, 88, 106, and 132(R)”. This statement requires an employer to recognize the overfunded or underfunded status of a defined benefit postretirement plan (other than a multiemployer plan) as an asset or liability on the balance sheet and to recognize changes in that funded status in the year in which the changes occur through comprehensive income. The Company is required to initially recognize the funded status of a defined benefit postretirement plan and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provide the required disclosures as of December 31, 2006. Since the Company does not sponsor any defined benefit postretirment plans, this statement is not expected to have a material impact on the Company’s financial position or results of operations.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2006, the SEC issued Staff Accounting Bulletin No. 108, “Considering the Effects of Prior Year Misstatements when Quantifying Misstatements in Current Year Financial Statements,” (“SAB 108”). SAB 108 requires companies to evaluate the materiality of identified unadjusted errors on each financial statement and related financial statement disclosure using both the rollover approach and the iron curtain approach. The rollover approach quantifies 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108 is effective for interim periods of the first fiscal year ending after November 15, 2006. The company is currently evaluating what effect, if any, adoption of SAB 108 will have on the company’s consolidated results of operations and financial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for the three and nine months ended September 30, 2006 consisted of the following (amounts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7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September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w w:val="96"/>
              </w:rPr>
              <w:t>3 months</w:t>
            </w:r>
          </w:p>
        </w:tc>
        <w:tc>
          <w:tcPr>
            <w:tcW w:w="30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1"/>
              </w:rPr>
              <w:t>Potential dilution from the assumed exercise of stock options, unvested restricted stock, and Convertible Debentures</w:t>
            </w:r>
          </w:p>
        </w:tc>
        <w:tc>
          <w:tcPr>
            <w:tcW w:w="720" w:type="dxa"/>
            <w:vAlign w:val="bottom"/>
          </w:tcPr>
          <w:p>
            <w:pPr>
              <w:jc w:val="right"/>
              <w:spacing w:after="0"/>
              <w:rPr>
                <w:sz w:val="20"/>
                <w:szCs w:val="20"/>
                <w:color w:val="auto"/>
              </w:rPr>
            </w:pPr>
            <w:r>
              <w:rPr>
                <w:rFonts w:ascii="Arial" w:cs="Arial" w:eastAsia="Arial" w:hAnsi="Arial"/>
                <w:sz w:val="18"/>
                <w:szCs w:val="18"/>
                <w:color w:val="auto"/>
              </w:rPr>
              <w:t>11,222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common and common equivalent shares outstanding (used in calculation of diluted earnings per</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calculation of diluted EPS for the three and nine months ended September 30, 2006 also includes an addition to net income to reflect the interest expense, net of related tax effects that would not be incurred on the Debentures, if converted, of $2.3 million and $7.1 million, respectively.</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and nine months ended September 30, 2005, the Company incurred net losses. As a result, basic EPS is equal to diluted EPS for those periods. The calculation of diluted EPS at September 30, 2005 excludes the following anti-dilutive securities: 3,208,550 shares issuable upon exercise of stock options, 1,033,892 shares under nonvested stock grants and 10,869,550 shares issuable upon conversion of the Debentures.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for the three and nine months ended September 30, 2006 consisted of the following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September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3 months</w:t>
            </w:r>
          </w:p>
        </w:tc>
        <w:tc>
          <w:tcPr>
            <w:tcW w:w="24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$684,151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420" w:type="dxa"/>
            <w:vAlign w:val="bottom"/>
            <w:gridSpan w:val="4"/>
          </w:tcPr>
          <w:p>
            <w:pPr>
              <w:jc w:val="right"/>
              <w:ind w:right="220"/>
              <w:spacing w:after="0"/>
              <w:rPr>
                <w:sz w:val="20"/>
                <w:szCs w:val="20"/>
                <w:color w:val="auto"/>
              </w:rPr>
            </w:pPr>
            <w:r>
              <w:rPr>
                <w:rFonts w:ascii="Arial" w:cs="Arial" w:eastAsia="Arial" w:hAnsi="Arial"/>
                <w:sz w:val="18"/>
                <w:szCs w:val="18"/>
                <w:color w:val="auto"/>
              </w:rPr>
              <w:t>(983)</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$714,673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584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three and nine months ended September 30, 2005, the impact of the currency translation adjustment on the financial statements of the Company was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8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Interest paid for the nine months ended September 30, 2006 and 2005 totaled approximately $103.0 million and $81.1 million, respectively. Interest capitalized for the nine months ended September 30, 2006 and 2005 totaled approximately $23.7 million and $44.6 million, respectively.</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Wynn Macau that was capitalized into construction in progress for the nine months ended September 30, 2006 and 2005 totaled approximately $1.2 million and $1.6 million, respectively.</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nine months ended September 30, 2006, approximately $25.8 million principal amount of the Debentures were converted into 1,123,428 shares of the common stock of Wynn Resorts, Limited. Accordingly, long-term debt was reduced by approximately $25.8 million, equity was increased by approximately $25.5 million and deferred financing costs were reduced by approximately $357,000.</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September 30, 2006, approximately $48.0 million of increases in construction payables and retention were included as a reduction to capital expenditures. During the nine months ended September 30, 2005, capital expenditures include approximately $57.5 million of payments made to decrease construction payables and retention.</w:t>
      </w:r>
    </w:p>
    <w:p>
      <w:pPr>
        <w:spacing w:after="0" w:line="121" w:lineRule="exact"/>
        <w:rPr>
          <w:sz w:val="20"/>
          <w:szCs w:val="20"/>
          <w:color w:val="auto"/>
        </w:rPr>
      </w:pPr>
    </w:p>
    <w:p>
      <w:pPr>
        <w:ind w:left="240" w:right="9180" w:hanging="232"/>
        <w:spacing w:after="0" w:line="398"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services, construction work and other personal services. Mr. Wynn and these other officers have amounts on deposit with the Company to prepay any such items, which are replenished on an ongoing basis as needed. At September 30, 2006 and December 31, 2005, the Company owed Mr. Wynn and the other officers approximately $361,000 and $412,000,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All services for, and maintenance of, the suite are included in the rental, with certain exceptions.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200" w:type="dxa"/>
            <w:vAlign w:val="bottom"/>
            <w:gridSpan w:val="4"/>
          </w:tcPr>
          <w:p>
            <w:pPr>
              <w:ind w:left="396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tcPr>
          <w:p>
            <w:pPr>
              <w:ind w:left="3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14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106,286</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Hotel</w:t>
            </w: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12,652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127,855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(25,953)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101,902</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960" w:type="dxa"/>
            <w:vAlign w:val="bottom"/>
            <w:vMerge w:val="restart"/>
          </w:tcPr>
          <w:p>
            <w:pPr>
              <w:jc w:val="right"/>
              <w:ind w:right="2517"/>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-325755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53594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602,592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1,555,576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1,159,364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772,286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212,327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286,570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3,267,430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2,764,386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(210,400)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(100,516)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3,057,030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2005, construction in progress includes interest and other costs capitalized in conjunction with the Wynn Macau and Encore projects. On September 6, 2006, Wynn Macau opened to the public. Accordingly, amounts relating to the first phase of Wynn Macau were transferred to the appropriate property and equipment categories and capitalization of interest on the first phase ceased. As of September 30, 2006, construction in progress includes interest and other costs capitalized in conjunction with the second phase of Wynn Macau and Encore.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$ 1,300,000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224,161</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4"/>
              </w:rPr>
              <w:t>$600.0 million Revolving Credit Facility; due December 14, 2009; interest at LIBOR plus 2.25% (approximately 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4"/>
              </w:rPr>
              <w:t>$400.0 million Delay Draw Term Loan Facility; due December 14, 2011 interest at LIBOR plus 2.125% (approximately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6"/>
              </w:rPr>
              <w:t>$900.0 million Revolving Credit Facility; due August 15, 2011; interest at LIBOR plus 1.625% (approximately 7.0%)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88,629</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2"/>
              </w:rPr>
              <w:t>$225.0 million Term Loan Facility; $112.5 million due September 30, 2012 with remaining $112.5 million due August 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2013; interest at LIBOR plus 1.875% (approximately 7.2%)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225,000</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Term Loan Facilities; due September 14, 2011; interest at LIBOR or HIBOR plus 3.0%, decreasing to LIBOR or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HIBOR plus 2.75% upon substantial completion of Wynn Macau (approximately 7.8% and 7.3%)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478,240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8"/>
              </w:rPr>
              <w:t>$44.75 million note payable; due March 31, 2010; interest at LIBOR plus 2.375% (approximately 7.2% and 6.9%)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39,792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Note payable - Aircraft; interest at 5.67%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1"/>
              </w:rPr>
              <w:t>12% Second Mortgage Notes, net of original issue discount of approximately $372 and $440, respectively due November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1, 2010; effective interest at approximately 12.9%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9,770</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2,379,179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40" w:type="dxa"/>
            <w:vAlign w:val="bottom"/>
            <w:gridSpan w:val="4"/>
          </w:tcPr>
          <w:p>
            <w:pPr>
              <w:jc w:val="right"/>
              <w:ind w:right="460"/>
              <w:spacing w:after="0"/>
              <w:rPr>
                <w:sz w:val="20"/>
                <w:szCs w:val="20"/>
                <w:color w:val="auto"/>
              </w:rPr>
            </w:pPr>
            <w:r>
              <w:rPr>
                <w:rFonts w:ascii="Arial" w:cs="Arial" w:eastAsia="Arial" w:hAnsi="Arial"/>
                <w:sz w:val="18"/>
                <w:szCs w:val="18"/>
                <w:color w:val="auto"/>
              </w:rPr>
              <w:t>(15,801)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$ 2,363,378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57848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August 15, 2006 the Company refinanced its $600.0 million Revolving Credit Facility (the “Revolver”) and its $400 million Delay Draw Term Loan Facility (the “Term Loans”) (together, the “Wynn Las Vegas Credit Facilities”).</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August 15, 2006, the Company entered into an Amended and Restated Credit Agreement (the “Amended and Restated Credit Agreement”) which, among other things, (i) increased the Wynn Las Vegas Credit Facilities from $1.0 billion to $1.125 billion by increasing the Revolver from $600.0 million to $900.0 million and reducing the Term Loans from $400.0 million to $225.0 million; (ii) reduced the borrowing margins on London Interbank Offered Rate (“LIBOR”)-based Revolver and Term Loans by 0.625% and 0.250%, respectively; (iii) extended the maturity dates for the Revolver and the Term Loans to August 15, 2011 and August 15,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1.00% to 1.75%, depending on the Company’s leverage ratio; and (ii) simplified the procedures for and conditions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 xml:space="preserve">obtaining advances under, and reduced the reporting obligations under, the Amended and Restated Credit Agreement upon the satisfaction of certain conditions, including fully utilizing all previously funded amounts under the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“First Mortgage Notes) for payment of Encore project costs.</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accordance with Emerging Issues Task Force issue 96-19, “Debtor’s Accounting for a Modification or Exchange of Debt Instruments,” (“EITF 96-19”) the Company recorded a loss on extinguishment of debt for the three and nine months ended September 30, 2006 of approximately $10.8 million to reflect the write-off of the previous Term Loan’s unamortized deferred financing costs and the payment of certain third-party bank fees incurred during the refinancing.</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 other increases in Wynn Macau’s project budget entirely from its existing $764 million senior secured credit facilities. The additional costs are to be incurred in connection with preparatory work for additional gaming space located in the expansion of Wynn Macau’s second phase, a series of enhancements and upgrades to the overall project and an electronic marquee sign at the entrance to Wynn Macau.</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Wynn Macau will fund $60.5 million from its existing $72 million contingent debt facility and $7.9 million of costs from its existing $20 million credit facility with Banco Nacional Ultramarino, S.A.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 the Company was in compliance with all covenants governing the Company’s debt facilities.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The Company has entered into floating-for-fixed interest rate swap arrangements relating to several of its debt facilities. The Company accounts for its interest rate swaps in accordance with Statement of Financial Accounting Standards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No. 133”), and its related interpretations. The following table represents the historical asset (liability) fair values (reflected in deposits and other assets or in other long-term liabilities as appropriate) as of September 30, 2006 and December 31, 2005.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7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7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Asset / (Liability) Fair Value at:</w:t>
            </w: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Swaps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Swaps</w:t>
            </w:r>
          </w:p>
        </w:tc>
        <w:tc>
          <w:tcPr>
            <w:tcW w:w="3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September 30,2006</w:t>
            </w:r>
          </w:p>
        </w:tc>
        <w:tc>
          <w:tcPr>
            <w:tcW w:w="498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December 31, 2005</w:t>
            </w:r>
          </w:p>
        </w:tc>
        <w:tc>
          <w:tcPr>
            <w:tcW w:w="4980" w:type="dxa"/>
            <w:vAlign w:val="bottom"/>
            <w:gridSpan w:val="2"/>
          </w:tcPr>
          <w:p>
            <w:pPr>
              <w:ind w:left="48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10,523</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(1,788)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80" w:type="dxa"/>
            <w:vAlign w:val="bottom"/>
          </w:tcPr>
          <w:p>
            <w:pPr>
              <w:jc w:val="right"/>
              <w:ind w:right="16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14, 2004, the Company entered into two $200.0 million notional amount interest rate swap arrangements to fix the interest rate on the $400.0 million of floating-rate Term Loan borrowings outstanding prior to the August 15, 2006 refinancing of the Wynn Las Vegas Credit Facilities (See Note 9 Long-term Debt). Under these arrangements, the Company paid 3.793% of the notional amount and received payments equal to 1-month LIBOR multiplied by the notional amount. Although these interest rate swaps essentially fixed the interest rate at approximately 5.9%, changes in the fair value of the interest rate swaps for each reporting period were recorded in the increase (or decrease) in swap fair value as a component of other income (expense), net since the interest rate swaps did not qualify for hedge accounting.</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15, 2006, the Company reduced its Term Loan facility as part of the refinancing of the Wynn Las Vegas Credit Facilities, and concurrently terminated one of its two $200.0 million interest rate swap arrangements. The Company received approximately $6.6 million in cash from unwinding this interest rate swap. The Company elected to retain the second $200.0 million interest rate swap to essentially fix the interest rate on $200.0 million of the new $225.0 million of Term Loan borrowings. Because the Company continues to pay a fixed rate of 3.793% on the $200.0 million notional amount and receives payments based on LIBOR, the interest rate on $200.0 million of the new $225.0 million Term Loan is fixed at approximately 5.668%. The interest rate on the remaining $25.0 million of Term Loan is subject to the changes in the LIBOR rates over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October 14, 2005, the Company entered into two interest rate swaps to hedge a portion of the underlying interest rate risk on future borrowings under Wynn Macau S.A.’s $749 million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US$140.3 million), in exchange for receipts on the same amounts at a variable interest rate based on the applicable Hong Kong Interbank Offered Rate (“HIBOR”) at the time of payment. The term of both swap agreements is from November 28, 2005 through November 28, 2008.</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These interest rate swaps are expected to be highly effective in fixing the interest rate on 50% of the US dollar and 50% of the Hong Kong dollar borrowings under the senior bank facility at approximately 7.84% and 7.77%, respectively. However, because these swaps do not qualify for hedge accounting, changes in fair value of these interest rate swaps for each reporting period are recognized as a component of other income (expense), net.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established the 2002 Stock Incentive Plan (the “Stock Plan”) to provide for the grant of (i) incentive stock options, (ii) compensatory (i.e. nonqualified) stock options, and (iii) nonvested shares of the common stock of Wynn Resorts, Limited (“Common Stock”). Employees, directors (whether employee or nonemployee) and independent contractors or consultants of the Company are eligible to participate in the Stock Plan. However, only employees of Wynn Resorts, Limited and its subsidiaries are eligible to receive incentive stock options.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September 30, 2006, 3,920,712 shares remain available for the grant of stock options or nonvested shares of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summary of option activity under the Stock Plan as of September 30, 2006, and the changes during the nine months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3,484,800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$ 36.62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153,500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$ 68.81</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5"/>
              </w:rPr>
              <w:t>(270,000)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$ 22.05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w w:val="95"/>
              </w:rPr>
              <w:t>(149,800)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$ 39.36</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3,218,500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$ 39.22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$93,459,008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1,141,000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$ 23.15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$51,264,308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-329565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-329565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nine months ended September 30, 2006 and 2005 was $31.01 and $22.91, respectively. The total intrinsic value of the options exercised for the nine months ended September 30, 2006 and 2005 was $13.1 million and $2.7 million, respectively. Net cash proceeds from the exercise of stock options were $6.0 million and $1.3 million for the nine months ended September 30, 2006 and 2005, respectively. No tax benefits were recognized since these benefits did not reduce taxes payable.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summary of the status of the Stock Plan’s nonvested shares as of September 30, 2006 and changes during the nine months ended September 30, 2006,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789,169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802,000</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(569,169)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1,022,000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and construction in progress for the Company’s development projects, and the Company’s general and administrative expenses (including corporate expenses).</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 2006</w:t>
            </w:r>
          </w:p>
        </w:tc>
        <w:tc>
          <w:tcPr>
            <w:tcW w:w="320" w:type="dxa"/>
            <w:vAlign w:val="bottom"/>
          </w:tcPr>
          <w:p>
            <w:pPr>
              <w:spacing w:after="0"/>
              <w:rPr>
                <w:sz w:val="15"/>
                <w:szCs w:val="15"/>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3 months</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9 months</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3 months</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00" w:type="dxa"/>
            <w:vAlign w:val="bottom"/>
            <w:gridSpan w:val="3"/>
          </w:tcPr>
          <w:p>
            <w:pPr>
              <w:jc w:val="right"/>
              <w:ind w:right="320"/>
              <w:spacing w:after="0"/>
              <w:rPr>
                <w:sz w:val="20"/>
                <w:szCs w:val="20"/>
                <w:color w:val="auto"/>
              </w:rPr>
            </w:pPr>
            <w:r>
              <w:rPr>
                <w:rFonts w:ascii="Arial" w:cs="Arial" w:eastAsia="Arial" w:hAnsi="Arial"/>
                <w:sz w:val="18"/>
                <w:szCs w:val="18"/>
                <w:color w:val="auto"/>
              </w:rPr>
              <w:t>35.9%</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32.5%</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35.3%</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adoption of SFAS No. 123(R) and the related interpretations on January 1, 2006 resulted in the Company’s elimination of approximately $15.8 million of deferred compensation against additional paid-in capital. It also resulted in the recognition of approximately $3.0 million ($0.03 per share) and $9.0 million ($0.09 per share) of compensation cost related to stock options for the three and nine months ended September 30, 2006.</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three and nine months ended September 30, 2006, the Company recognized compensation cost related to nonvested shares of Common Stock of approximately $3.4 million ($0.03 per share) and $6.2 million ($0.06 per share), respectively. Approximately $60.9 million of unamortized compensation cost relating to nonvested shares of Common Stock at September 30, 2006, will be recognized as compensation over the vesting period of the related grants through May 2016.</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three and nine months ended September 30, 2006 is allocated as follows (amounts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6"/>
              </w:rPr>
              <w:t>September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 months</w:t>
            </w:r>
          </w:p>
        </w:tc>
        <w:tc>
          <w:tcPr>
            <w:tcW w:w="5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Rooms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Pre-opening</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1,468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Total stock-based compensation capitalized</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costs</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360" w:type="dxa"/>
            <w:vAlign w:val="bottom"/>
            <w:vMerge w:val="restart"/>
          </w:tcPr>
          <w:p>
            <w:pPr>
              <w:jc w:val="right"/>
              <w:ind w:right="33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16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three and nine months ended September 30, 2005. Accordingly, compensation expense was recognized only to the extent that the market value at the date of grant exceeded the exercise price.</w:t>
      </w:r>
    </w:p>
    <w:p>
      <w:pPr>
        <w:spacing w:after="0" w:line="99"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the three and nine months ended September 30, 2005, the Company recognized compensation cost related to the nonvested shares of Common Stock of approximately $1.5 million ($0.02 per share) and $5.3 million ($0.05 per share), respectively. Of these amounts, approximately $539,000 and $1.6 million, respectively, was capitalized to construction in progress.</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illustrates the effect on the net loss that would have resulted had the Company applied the fair value recognition provisions of SFAS No. 123, “Accounting for Stock-Based Compensation” to stock-based employee compensation during the three and nine months ended September 30, 2005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40" w:type="dxa"/>
            <w:vAlign w:val="bottom"/>
          </w:tcPr>
          <w:p>
            <w:pPr>
              <w:spacing w:after="0"/>
              <w:rPr>
                <w:sz w:val="22"/>
                <w:szCs w:val="22"/>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3 months</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restated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(80,951)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Less: total stock-based employee compensation expenses determined under the fair value method for all awards</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(87,632)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-766445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-766445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-766445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-766445</wp:posOffset>
            </wp:positionV>
            <wp:extent cx="44132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44132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4330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 of Macau Subconcession Right</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4, 2006, Wynn Macau, S.A. entered into an agreement with Publishing &amp; Broadcasting, Ltd. (“PBL”) pursuant to which Wynn Macau, S.A. agreed to sell to PBL for $900.0 million, the right to negotiate with the government of Macau for a subconcession to allow PBL to construct and operate casinos in Macau.</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September 8, 2006, the government of Macau approved the sale of the subconcession right. Accordingly, on September 11, 2006, Wynn Macau, S.A. completed the sale to PBL and received a cash payment of $900.0 million. As a result of the sale and the subconcession awarded to PBL by the government of Macau, Wynn Macau, S.A. has no rights or obligations with respect to the subconcession. The proceeds from this sale, net of related costs, are recorded as gain on sale of subconcession right in the Company’s statement of operations for the three and nine months ended September 30,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is subject to income taxes in the United States and other foreign jurisdictions where the Company operates. The Company accounts for income taxes in accordance with SFAS No. 109, “Accounting for Income Taxes” (“SFAS 109”). SFAS 109 requires the recognition of deferred tax assets, net of applicable reserves, and liabilities for the estimated future tax consequences attributable to differences between financial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SFAS No. 5, “Accounting for Contingencies”. Quarterly, the Company reviews any potentially unfavorable tax outcome and when an unfavorable outcome is identified as probable and can be reasonably estimated, the Company then establishes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SFAS 109 requires recognition of a future tax benefit to the extent that realization of such benefit is more likely than not. Otherwise, a valuation allowance is applied. During its development stage, the Company accumulated significant net operating losses, which generated significant deferred tax assets. Because of the Company’s limited operating history, the Company had previously fully reserved these net deferred tax assets. On September 11, 2006, the Company recorded a gain on the sale of the subconcession right in Macau (See Note 12 “Sale of Macau Subconcession Right”). Accordingly the Company determined that a substantial portion of these net deferred tax assets have become more likely than not realizable as defined by SFAS 109. Consequently, the Company reduced the valuation allowance on its U.S. and foreign net deferred tax assets by approximately $90.3 million and $14.3 million, respectively.</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$500,000 in such taxes. The Company’s non-gaming profits remain subject to the Macau Complementary Tax and its casino winnings remain subject to the Macau Special Gaming tax and other levies in accordance with its concession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provision for income taxes for the three and nine months ended September 30, 2006 are as follows (amounts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3 months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w w:val="80"/>
              </w:rPr>
              <w:t>9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 Federal</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 Federal</w:t>
            </w: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33,314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federal income taxes</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 Foreign</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 Foreign</w:t>
            </w: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deferred income taxes</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120,397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120,706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4320" w:type="dxa"/>
            <w:vAlign w:val="bottom"/>
            <w:vMerge w:val="restart"/>
          </w:tcPr>
          <w:p>
            <w:pPr>
              <w:jc w:val="right"/>
              <w:ind w:right="3012"/>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Substantially all of the above amounts relate to the gain on the sale of the subconcession right. There were no comparable charges for the three and nine months ended September 30, 2005. Included in the above table are taxes of $60,000 and $369,000 the Company recorded for the three and nine months ended September 30, 2006, respectively, relating to the Company’s international marketing branch offices.</w:t>
      </w:r>
    </w:p>
    <w:p>
      <w:pPr>
        <w:spacing w:after="0" w:line="87" w:lineRule="exact"/>
        <w:rPr>
          <w:sz w:val="20"/>
          <w:szCs w:val="20"/>
          <w:color w:val="auto"/>
        </w:rPr>
      </w:pPr>
    </w:p>
    <w:p>
      <w:pPr>
        <w:ind w:right="8620" w:firstLine="8"/>
        <w:spacing w:after="0" w:line="332"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Las Vegas</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Wynn Las Vegas Enhancements. </w:t>
      </w:r>
      <w:r>
        <w:rPr>
          <w:rFonts w:ascii="Arial" w:cs="Arial" w:eastAsia="Arial" w:hAnsi="Arial"/>
          <w:sz w:val="18"/>
          <w:szCs w:val="18"/>
          <w:color w:val="auto"/>
        </w:rPr>
        <w:t>The Company continues to make certain enhancements and refinements to Wynn Las Vegas. As a result,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 will continue to incur capital expenditures relating to these enhancements and refinements. Under the terms of the Wynn Las Vegas Credit Facilities, the Company is permitted up to $100.0 million of Wynn Las Vegas, LLC’s cash on capital expenditures in 2006, of which approximately $47.9 million was spent during the first nine months of 2006.</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Entertainment Productions</w:t>
      </w:r>
      <w:r>
        <w:rPr>
          <w:rFonts w:ascii="Arial" w:cs="Arial" w:eastAsia="Arial" w:hAnsi="Arial"/>
          <w:sz w:val="16"/>
          <w:szCs w:val="16"/>
          <w:color w:val="auto"/>
        </w:rPr>
        <w:t>. In 2002, the Company became a party to long-term agreements for the licensing, creation, development and production of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the water-based production show which opened at Wynn Las Vegas on April 28, 2005. In 2004, the Company also purchased the rights to, and in August 2005 began to present, the Tony Award-winning musical production “Avenue Q,” in Wynn Las Vegas’ Broadway Theater. In connection with Avenue Q, the Company was a party to a production services agreement for all production services related to the show.</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was required to make payments to the creators and producers of each show based upon certain criteria including net ticket sales or profits.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May 28, 2006, the Company ended Avenue Q’s production run at Wynn Las Vegas. To terminate the contract, the Company paid a termination fee of $5.0 million, which was recorded in the first quarter of 2006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 The Company intends to present “Monty Python’s Spamalot” in the renovated Broadway Theater. The Company expects to commence public performances of “Monty Python’s Spamalot” in the first quarter of 2007.</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April 2006, the Company canceled the 189,723 nonvested shares of Wynn Resorts’ common stock granted, subject to certain performance criteria, to the executive producer of “Le Reve.”</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May 31, 2006, the Company entered into an agreement to acquire substantially all intellectual property rights related to “Le Reve” which were previously only licensed to the Company. The Company paid $15.9 million to acquire substantially all of the rights in and to “Le Reve,” and to repay approximately $1.4 million of production costs, which were reimbursable to the executive producer of “Le Reve.” The rights acquired enable the Company to produce, present, enhance, or alter the performance of “Le Reve” after May 31, 2006.</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Encore Construction and Development</w:t>
      </w:r>
      <w:r>
        <w:rPr>
          <w:rFonts w:ascii="Arial" w:cs="Arial" w:eastAsia="Arial" w:hAnsi="Arial"/>
          <w:sz w:val="16"/>
          <w:szCs w:val="16"/>
          <w:color w:val="auto"/>
        </w:rPr>
        <w:t>. On March 31, 2006, Wynn Las Vegas, LLC’s lenders approved a $1.74 billion project budget and the related plans</w:t>
      </w:r>
      <w:r>
        <w:rPr>
          <w:rFonts w:ascii="Arial" w:cs="Arial" w:eastAsia="Arial" w:hAnsi="Arial"/>
          <w:sz w:val="16"/>
          <w:szCs w:val="16"/>
          <w:i w:val="1"/>
          <w:iCs w:val="1"/>
          <w:color w:val="auto"/>
        </w:rPr>
        <w:t xml:space="preserve"> </w:t>
      </w:r>
      <w:r>
        <w:rPr>
          <w:rFonts w:ascii="Arial" w:cs="Arial" w:eastAsia="Arial" w:hAnsi="Arial"/>
          <w:sz w:val="16"/>
          <w:szCs w:val="16"/>
          <w:color w:val="auto"/>
        </w:rPr>
        <w:t>and specifications for Encore (the “Encore Budget, Plans and Specs”). The Company continues to refine the design of Encore and is evaluating certain enhancements, which may increase the project budget. In addition, we are negotiating the guaranteed maximum price contract for Encore (the “Encore GMP”). Any increase to the Encore budget would be funded by contributions of debt and/or equity from Wynn Resorts. Encore’s current design includes a 2,042-room hotel tower fully integrated with Wynn Las Vegas, consisting of 132 suites and 1,910 guest rooms, as well as an approximately 54,000 square foot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casino, additional convention and meeting space, as well as restaurants, a nightclub, swimming pools, a spa and salon and retail outlets. The Encore Budget, Plans and Specs include approximately $70.0 million to be incurred for an additional employee parking garage located on the Company’s Koval property across Sands Avenue from Wynn Las Vegas, a related pedestrian bridge, and costs to be incurred in connection with preparing the Broadway Theater to host “Monty Python’s Spamalot.” The Company commenced construction of Encore on April 28, 2006 and expects to open Encore to the public by early 2009.</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31, 2006, Wynn Resorts delivered an equity commitment agreement to the lenders under the Wynn Las Vegas Credit Facilities. Under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Wynn Resorts had committed to pay up to $215.3 million of Encore project costs if the Company was unable to do so. The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(See Note 9 “Long-term Debt”) increased the aggregate amount available under the Wynn Las Vegas Credit Facilities from $1.0 billion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$1.125 billion. As a result of this increase and with other funds becoming available to pay for Encore project costs, Wynn Resorts’ maximum commitment to pay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Encore project costs was reduced from $215.3 million to $70.0 million.</w:t>
      </w:r>
    </w:p>
    <w:p>
      <w:pPr>
        <w:spacing w:after="0" w:line="151"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Through September 30, 2006, the Company incurred approximately $200.7 million of the Encore project costs. These costs, net of approximately $6.4 million of retention, have been funded from the Wynn Las Vegas Credit Facilities, the First Mortgage Notes and cash flow from the operations of Wynn Las Vegas. Prior to signing a guaranteed maximum price construction contract, the Company is permitted to spend up to $300.0 million of the proceeds of the First Mortgage Notes and the Wynn Las Vegas Credit Facilities on Encore project costs. As of September 30, 2006, the Company has spent approximately $155.9 million using the debt proceeds. The remaining $38.4 million has been funded from cash flows from operations. The Company expects that the remaining proceeds from the First Mortgage Notes, together with availability under the Wynn Las Vegas Credit Facilities, cash flow from operations and the equity commitment from Wynn Resorts will be sufficient to fund Encore’s $1.74 billion budget.</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Completion Guarantee and Liquidity Reserve</w:t>
      </w:r>
      <w:r>
        <w:rPr>
          <w:rFonts w:ascii="Arial" w:cs="Arial" w:eastAsia="Arial" w:hAnsi="Arial"/>
          <w:sz w:val="16"/>
          <w:szCs w:val="16"/>
          <w:color w:val="auto"/>
        </w:rPr>
        <w:t>. As part of the Wynn Las Vegas financing, the Company contributed $50.0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9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the Company’s common stock into a liquidity reserve account to secure the completion and opening of Wynn Las Vegas.</w:t>
      </w:r>
    </w:p>
    <w:p>
      <w:pPr>
        <w:spacing w:after="0" w:line="11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liquidity reserve is solely for use of the Wynn Las Vegas project. Upon final payment of the small remaining retention required for final completion, the liquidity reserve will be released. These funds are then expected to be applied to construction costs incurred in connection with Encore. In addition, at final completion of Wynn Las Vegas, $30.0 million of the $50.0 million completion guarantee will be retained as Encore’s completion guarantee, with the remaining $20.0 million used for Encore’s construction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Macau</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Construction and Development</w:t>
      </w:r>
      <w:r>
        <w:rPr>
          <w:rFonts w:ascii="Arial" w:cs="Arial" w:eastAsia="Arial" w:hAnsi="Arial"/>
          <w:sz w:val="16"/>
          <w:szCs w:val="16"/>
          <w:color w:val="auto"/>
        </w:rPr>
        <w:t>. We began construction on Wynn Macau in June 2004, under a guaranteed maximum price construction contract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Contract”) between Wynn Macau, S.A. and Leighton Contractors (Asia) Limited, China State Construction Engineering (Hong Kong) Limited and China Construction Engineering (Macau) Company Limited, acting together as general contractor. In September 2005,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Construction Contract was amended and restated to include the second phase of Wynn Macau. Wynn Macau opened to the public on September 6, 2006. Wynn Macau’s second phase is scheduled to open in stages in 2007, commencing in February with approximately 119 table games and 300 slot machines.</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amended and restated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The performance of the contractors is backed by a full completion guarantee given jointly and severally by Leighton Holdings Limited and China Overseas Holdings Limited, the parent companies of the general contractor.</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 enhancements and upgrades to the overall project, and adding an electronic marquee sign at the entrance to Wynn Macau. The change orders increased the guaranteed maximum price under the Construction Contract from $457 million to approximately $483 million.</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September 30, 2006, the Company had incurred approximately $816 million of the approximate total $1.2 billion of budgeted project costs for Wynn Macau. Total budgeted project costs include construction and design costs (including construction contingencies) of approximately $685 million, land acquisition costs of approximately $49 million, the additional casino expansion and suite enhancements of approximately $68 million and capitalized interest, pre-opening expenses, financing fees and other costs totaling in the aggregate approximately $351 million. These costs have been paid from the previously funded $230 million intercompany loans from Wynn Resorts, $80 million from Wynn Las Vegas, LLC and loaned through affiliates to Wynn Macau, S.A. as subordinated debt, Wynn Macau, S.A.’s $764 million senior secured credit facility and cash flows from operations. In October 2006, Wynn Macau, S.A. repaid the intercompany loan to Wynn Resorts using proceeds from the PBL transaction.</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Wynn Macau, S.A. has made five payments to the Macau government under the land concession contract and is required to make six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Strip Development</w:t>
      </w:r>
    </w:p>
    <w:p>
      <w:pPr>
        <w:spacing w:after="0" w:line="77" w:lineRule="exact"/>
        <w:rPr>
          <w:sz w:val="20"/>
          <w:szCs w:val="20"/>
          <w:color w:val="auto"/>
        </w:rPr>
      </w:pPr>
    </w:p>
    <w:p>
      <w:pPr>
        <w:jc w:val="both"/>
        <w:ind w:right="340" w:firstLine="456"/>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land concession for an additional 54 acres of land on the Cotai Strip in Macau for future development.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License Agreements, and Joint Ventures</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Retail operations </w:t>
      </w:r>
      <w:r>
        <w:rPr>
          <w:rFonts w:ascii="Arial" w:cs="Arial" w:eastAsia="Arial" w:hAnsi="Arial"/>
          <w:sz w:val="18"/>
          <w:szCs w:val="18"/>
          <w:color w:val="auto"/>
        </w:rPr>
        <w:t>- The Company is the lessor under seven leases for retail operations at Wynn Las Vegas and has entered into license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five additional retail outlets in Wynn Las Vegas. The Company also is a party to a joint venture agreement for the operation of one other retail outlet and the Ferrari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Maserati automobile dealership at Wynn Las Vegas. Each of these retail outlets opened concurrently with the opening of Wynn Las Vegas. Wynn Macau has entered into fifteen lease agreements for retail, food and beverage, and other operations.</w:t>
      </w:r>
    </w:p>
    <w:p>
      <w:pPr>
        <w:spacing w:after="0" w:line="11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Other commitments </w:t>
      </w:r>
      <w:r>
        <w:rPr>
          <w:rFonts w:ascii="Arial" w:cs="Arial" w:eastAsia="Arial" w:hAnsi="Arial"/>
          <w:sz w:val="18"/>
          <w:szCs w:val="18"/>
          <w:color w:val="auto"/>
        </w:rPr>
        <w:t>- In addition, the Company is the lessee under several leases for office space in Las Vegas, Macau and certain other 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 facilities, the land underlying the Company’s aircraft hangar and certain office equipment. The Company also leases land from the government of Macau for the site of Wynn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$200,000 per year for each insured person. Amounts in excess of this threshold are covered by the Company’s insurance programs, subject to customary policy limits. The Company’s foreign subsidiaries are fully-insured.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indicate a base salary. Certain agreements also contain provisions for guaranteed bonuses. Certain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83"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Company monitors its operations and evaluates earnings by reviewing the assets and operations of Wynn Las Vegas and Wynn Macau. Wynn Las Vegas opened on April 28, 2005. Wynn Macau’s first phase opened on September 6, 2006. The Company’s total assets by segment are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3,020,409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3,115,814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1,835,102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381,257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5,236,768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3,945,283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820" w:type="dxa"/>
            <w:vAlign w:val="bottom"/>
            <w:vMerge w:val="restart"/>
          </w:tcPr>
          <w:p>
            <w:pPr>
              <w:jc w:val="right"/>
              <w:ind w:right="32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5873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Company’s segment information on its results of operations for the three and nine months ended September 30, 2006 and 2005,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Three Months Ended</w:t>
            </w:r>
          </w:p>
        </w:tc>
        <w:tc>
          <w:tcPr>
            <w:tcW w:w="20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273,062</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251,441</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$ 823,657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 (1)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318,092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251,441</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$ 868,687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77,282</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73,205</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$ 231,567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 (1)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73,205</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$ 233,860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Pre-opening expenses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(36,820)</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(7,147)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(62,794)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(42,470)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(37,886)</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(124,797)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Avenue Q contract termination fee</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(6,052)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Corporate expenses and other</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(13,255)</w:t>
            </w: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(8,842)</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(35,501)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other operating costs and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(98,284)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(59,927)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(241,156)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(176,126)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323"/>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Other non operating costs and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(36,969)</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(36,138)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(108,218)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(8,757)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899,409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other non operating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854,762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(22,525)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836,053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(120,397)</w:t>
            </w:r>
          </w:p>
        </w:tc>
        <w:tc>
          <w:tcPr>
            <w:tcW w:w="1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(120,706)</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715,656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$ 684,151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-4512310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-4512310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-4512310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-4512310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-4512310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-4512310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-4512310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-4512310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-4512310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-4512310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-4512310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-4512310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-172720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-172720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-172720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Therefore, Wynn Macau has no revenues or Adjusted EBITDA for the three and nine months ended September 30, 2005.</w:t>
      </w:r>
    </w:p>
    <w:p>
      <w:pPr>
        <w:ind w:left="460" w:right="4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expenses, property charges, corporate expenses, stock-based compensation, Avenue Q contract termination fee,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the operating performance of its segments and to compare the operating performance of its properties with those of its competitors. The Company also presents Adjusted EBITDA because it is used by some investors as a way to</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Restatement</w:t>
      </w:r>
    </w:p>
    <w:p>
      <w:pPr>
        <w:spacing w:after="0" w:line="83" w:lineRule="exact"/>
        <w:rPr>
          <w:sz w:val="20"/>
          <w:szCs w:val="20"/>
          <w:color w:val="auto"/>
        </w:rPr>
      </w:pPr>
    </w:p>
    <w:p>
      <w:pPr>
        <w:ind w:right="220"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and nine months ended September 30, 2005, the Company determined that its interest rate swap arrangements relating to certain of its floating-rate debt facilities did not qualify for hedge accounting under SFAS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and nine months ended September 30, 2005 to eliminate the application of hedge accounting. Eliminating the application of hedge accounting resulted in recording the mark to market adjustments for the interest rate swaps as increase/(decrease) in swap fair value, a component of other income (expense), net and not in comprehensive income, as was previously reported.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September 30, 2005 condensed consolidated financial statements is as follows (amounts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0"/>
              </w:rPr>
              <w:t>Ended September 30, 2005</w:t>
            </w:r>
          </w:p>
        </w:tc>
        <w:tc>
          <w:tcPr>
            <w:tcW w:w="100" w:type="dxa"/>
            <w:vAlign w:val="bottom"/>
          </w:tcPr>
          <w:p>
            <w:pPr>
              <w:spacing w:after="0"/>
              <w:rPr>
                <w:sz w:val="15"/>
                <w:szCs w:val="15"/>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Ended 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20"/>
                <w:szCs w:val="20"/>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Restated</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Increase in swap fair value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6,146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(36,138)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(27,468)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(22,525)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(42,793)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(86,979)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Increase in swap fair value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(739,850)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(737,845)</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November 1, 2006, the Company redeemed the approximately $10.1 million of 12% Second Mortgage Notes due 2010 (the “Second Mortgage Notes”) that remained outstanding. Funds to repay the Second Mortgage Notes and interest had been placed in an escrow account in December 2004, specifically for this purpose.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Consolidating Financial Information of Guarantors and Issuers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condensed consolidating financial statement information is related to Wynn Resorts (the “Parent”), which is the issuer of the Debentures, Wynn Resorts Funding, LLC, a subsidiary of the Parent that guarantees the Debentures (the “Convertible Debentures Guarantor”), and non-guarantor subsidiaries as of September 30, 2006 and December 31, 2005, and for the three and nine months ended September 30, 2006 and 2005.</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condensed consolidating financial statement information is presented in the form provided because: (i) the Convertible Debentures Guarantor is a wholly-owned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guarantor</w:t>
            </w: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1,109,932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1,402,279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99,488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60,580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28,310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1,400,212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1,705,148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222,131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3,056,431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3,057,030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68,749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72,483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85,037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2,008,348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(2,008,348)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240,657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44,237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(284,894)</w:t>
            </w: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2,574,554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45,142</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4,625,420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(2,008,348)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5,236,768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Current portion of long 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87,023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42,212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121,922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494,476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224,161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2,139,217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2,363,378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14,089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2,662,214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2,944,274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2,003,701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1,631,819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(1,675,847)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2,003,701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(333,713)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2,292,494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1,963,206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(2,008,348)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2,292,494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2,574,554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45,142</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4,625,420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(2,008,348)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5,236,768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-4711700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-4711700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-4711700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-4711700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-4711700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-4711700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-4711700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-4711700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-4711700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-4711700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-4711700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-4711700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-4711700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-4711700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53594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008"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008"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126,276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82,206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88,437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39,884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360,109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344,308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344,331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2,663,340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60,480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88,685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87,917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1,295,256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216,454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(246,454)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8,984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6,591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27,419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18,539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250,591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1,840,846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2,090,846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1,788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2,113,200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1,972,847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44,028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1,623,218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(1,667,246)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1,972,847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(15,784)</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957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(395,161)</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(372,006)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371,033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(395,161)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1,562,895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1,250,255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-4617085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-4617085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-4617085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-4617085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-4617085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-4617085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-4617085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-4617085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-4617085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-4617085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-4617085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-4617085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-4617085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-4617085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-4617085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7825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825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Convertible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Parent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172,019</w:t>
            </w:r>
          </w:p>
        </w:tc>
        <w:tc>
          <w:tcPr>
            <w:tcW w:w="4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$172,019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72,091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(39,155)</w:t>
            </w:r>
          </w:p>
        </w:tc>
        <w:tc>
          <w:tcPr>
            <w:tcW w:w="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47,772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(5,687)</w:t>
            </w:r>
          </w:p>
        </w:tc>
        <w:tc>
          <w:tcPr>
            <w:tcW w:w="680" w:type="dxa"/>
            <w:vAlign w:val="bottom"/>
          </w:tcPr>
          <w:p>
            <w:pPr>
              <w:jc w:val="right"/>
              <w:spacing w:after="0"/>
              <w:rPr>
                <w:sz w:val="20"/>
                <w:szCs w:val="20"/>
                <w:color w:val="auto"/>
              </w:rPr>
            </w:pPr>
            <w:r>
              <w:rPr>
                <w:rFonts w:ascii="Arial" w:cs="Arial" w:eastAsia="Arial" w:hAnsi="Arial"/>
                <w:sz w:val="18"/>
                <w:szCs w:val="18"/>
                <w:color w:val="auto"/>
              </w:rPr>
              <w:t>56,195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742,609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(742,609)</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744,716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(20,816)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(742,609)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(6,612)</w:t>
            </w:r>
          </w:p>
        </w:tc>
        <w:tc>
          <w:tcPr>
            <w:tcW w:w="680" w:type="dxa"/>
            <w:vAlign w:val="bottom"/>
          </w:tcPr>
          <w:p>
            <w:pPr>
              <w:jc w:val="right"/>
              <w:spacing w:after="0"/>
              <w:rPr>
                <w:sz w:val="20"/>
                <w:szCs w:val="20"/>
                <w:color w:val="auto"/>
              </w:rPr>
            </w:pPr>
            <w:r>
              <w:rPr>
                <w:rFonts w:ascii="Arial" w:cs="Arial" w:eastAsia="Arial" w:hAnsi="Arial"/>
                <w:sz w:val="18"/>
                <w:szCs w:val="18"/>
                <w:color w:val="auto"/>
              </w:rPr>
              <w:t>11,837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subconcession right,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(10,758)</w:t>
            </w:r>
          </w:p>
        </w:tc>
        <w:tc>
          <w:tcPr>
            <w:tcW w:w="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748,970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(742,609)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33,314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87,083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715,656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(742,609)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$715,656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-420370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-420370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-420370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-420370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-420370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-420370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-420370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-420370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-420370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-420370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-420370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-420370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-420370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-420370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2005 (As Restated - See Note 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Parent</w:t>
            </w:r>
          </w:p>
        </w:tc>
        <w:tc>
          <w:tcPr>
            <w:tcW w:w="2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123,049</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(36,269)</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(36,269)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53,388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42,477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44,708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(10,887)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10,887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(11,060)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6,464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112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(36,168)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(24,450)</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(22,525)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(10,999)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112</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8"/>
                <w:szCs w:val="18"/>
                <w:color w:val="auto"/>
                <w:w w:val="99"/>
              </w:rPr>
              <w:t>30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-420370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-420370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-420370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-420370</wp:posOffset>
            </wp:positionV>
            <wp:extent cx="44132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-420370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-420370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-420370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-420370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-420370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-420370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-420370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-420370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Parent</w:t>
            </w:r>
          </w:p>
        </w:tc>
        <w:tc>
          <w:tcPr>
            <w:tcW w:w="24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412,060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$ 412,060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224,411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(116,666)</w:t>
            </w:r>
          </w:p>
        </w:tc>
        <w:tc>
          <w:tcPr>
            <w:tcW w:w="10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214,636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141,954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(16,973)</w:t>
            </w:r>
          </w:p>
        </w:tc>
        <w:tc>
          <w:tcPr>
            <w:tcW w:w="740" w:type="dxa"/>
            <w:vAlign w:val="bottom"/>
          </w:tcPr>
          <w:p>
            <w:pPr>
              <w:jc w:val="right"/>
              <w:spacing w:after="0"/>
              <w:rPr>
                <w:sz w:val="20"/>
                <w:szCs w:val="20"/>
                <w:color w:val="auto"/>
              </w:rPr>
            </w:pPr>
            <w:r>
              <w:rPr>
                <w:rFonts w:ascii="Arial" w:cs="Arial" w:eastAsia="Arial" w:hAnsi="Arial"/>
                <w:sz w:val="18"/>
                <w:szCs w:val="18"/>
                <w:color w:val="auto"/>
              </w:rPr>
              <w:t>152,172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62,794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704,018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(704,018)</w:t>
            </w:r>
          </w:p>
        </w:tc>
        <w:tc>
          <w:tcPr>
            <w:tcW w:w="740" w:type="dxa"/>
            <w:vAlign w:val="bottom"/>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706,359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(704,018)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(19,836)</w:t>
            </w:r>
          </w:p>
        </w:tc>
        <w:tc>
          <w:tcPr>
            <w:tcW w:w="740" w:type="dxa"/>
            <w:vAlign w:val="bottom"/>
          </w:tcPr>
          <w:p>
            <w:pPr>
              <w:jc w:val="right"/>
              <w:spacing w:after="0"/>
              <w:rPr>
                <w:sz w:val="20"/>
                <w:szCs w:val="20"/>
                <w:color w:val="auto"/>
              </w:rPr>
            </w:pPr>
            <w:r>
              <w:rPr>
                <w:rFonts w:ascii="Arial" w:cs="Arial" w:eastAsia="Arial" w:hAnsi="Arial"/>
                <w:sz w:val="18"/>
                <w:szCs w:val="18"/>
                <w:color w:val="auto"/>
              </w:rPr>
              <w:t>29,885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(15,487)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(112,567)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Loss on extingyishment of debt</w:t>
            </w:r>
          </w:p>
        </w:tc>
        <w:tc>
          <w:tcPr>
            <w:tcW w:w="1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717,465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(704,018)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87,392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684,151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(704,018)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$ 684,151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73"/>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-420370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-420370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-420370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-420370</wp:posOffset>
            </wp:positionV>
            <wp:extent cx="46736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-420370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-420370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-420370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-420370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-420370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-420370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-420370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-420370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 (As Restated - See Note 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221,764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513,772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(61,203)</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(61,203)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452,569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76,184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(11,285)</w:t>
            </w:r>
          </w:p>
        </w:tc>
        <w:tc>
          <w:tcPr>
            <w:tcW w:w="680" w:type="dxa"/>
            <w:vAlign w:val="bottom"/>
          </w:tcPr>
          <w:p>
            <w:pPr>
              <w:jc w:val="right"/>
              <w:spacing w:after="0"/>
              <w:rPr>
                <w:sz w:val="20"/>
                <w:szCs w:val="20"/>
                <w:color w:val="auto"/>
              </w:rPr>
            </w:pPr>
            <w:r>
              <w:rPr>
                <w:rFonts w:ascii="Arial" w:cs="Arial" w:eastAsia="Arial" w:hAnsi="Arial"/>
                <w:sz w:val="18"/>
                <w:szCs w:val="18"/>
                <w:color w:val="auto"/>
              </w:rPr>
              <w:t>75,827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9,387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79,229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17,945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490,805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(82,642)</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82,642</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(89,302)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(37,522)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82,642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15,722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264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(10,046)</w:t>
            </w:r>
          </w:p>
        </w:tc>
        <w:tc>
          <w:tcPr>
            <w:tcW w:w="680" w:type="dxa"/>
            <w:vAlign w:val="bottom"/>
          </w:tcPr>
          <w:p>
            <w:pPr>
              <w:jc w:val="right"/>
              <w:spacing w:after="0"/>
              <w:rPr>
                <w:sz w:val="20"/>
                <w:szCs w:val="20"/>
                <w:color w:val="auto"/>
              </w:rPr>
            </w:pPr>
            <w:r>
              <w:rPr>
                <w:rFonts w:ascii="Arial" w:cs="Arial" w:eastAsia="Arial" w:hAnsi="Arial"/>
                <w:sz w:val="18"/>
                <w:szCs w:val="18"/>
                <w:color w:val="auto"/>
              </w:rPr>
              <w:t>20,632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(7,371)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(68,105)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(45,380)</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(80,951)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(82,902)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82,642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(80,951)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82,642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(80,951)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-420370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-420370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-420370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-420370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-420370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-420370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-420370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-420370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-420370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-420370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-420370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-420370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-420370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-420370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$ 684,151</w:t>
            </w:r>
          </w:p>
        </w:tc>
        <w:tc>
          <w:tcPr>
            <w:tcW w:w="2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141</w:t>
            </w:r>
          </w:p>
        </w:tc>
        <w:tc>
          <w:tcPr>
            <w:tcW w:w="36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703,877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(704,018)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(used in)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124,739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(704,018)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704,018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Gain on sale of subconcession right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(899,409)</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(899,409)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Inventories and prepaid expenses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(16,865)</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Intercompany balances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(16,973)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141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(456,614)</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(456,741)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Proceeds from sale of subconcession right, net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899,409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(14,237)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Proceeds from termination of interest rate swap</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(414,310)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(15,666)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983,656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$ 292,347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1,109,932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46736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 (As Restated—See Note 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 (80,951)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260</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(82,902)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82,642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67,446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5,799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6,047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(82,642)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(8,033)</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(65,870)</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(49,734)</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127,836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balances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(737,845)</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490,746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intangibles and other assets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(21,004)</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(14,996)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(273,788)</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(259,419)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517,186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(19,534)</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(8,921)</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Payments for deferred financing costs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(21,146)</w:t>
            </w:r>
          </w:p>
        </w:tc>
        <w:tc>
          <w:tcPr>
            <w:tcW w:w="12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7,020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215,599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$309,282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243,598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552,880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-420370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-420370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-420370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-420370</wp:posOffset>
            </wp:positionV>
            <wp:extent cx="46736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-420370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-420370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-420370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-420370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-420370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-420370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-420370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-420370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16 “Restatement “to these condensed consolidated financial statements. Unless the context otherwise requires, all references herein to the “Company,” “we,” “us” or “our,” or similar terms, refer to Wynn Resorts, Limited, a Nevada corporation and its consolidated subsidiaries.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and equity offerings and borrowings under our credit facilities; competition in the casino/hotel and resort industries; completion of the second phase of our Wynn Macau casino resort on time and within budget; our intention to fund a substantial portion of the development and construction costs of Encore with anticipated cash flows generated at Wynn Las Vegas; doing business in foreign locations such as Macau (including the risks associated with Macau’s developing gaming regulatory framework); new development and construction activities of competitors; our limited operating history; our dependence on Stephen A. Wynn and existing management; our dependence on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We are a developer, owner and operator of destination casino resorts. On September 6, 2006, we opened and began operating Wynn Macau, our destination casino resort in the Macau Special Administrative Region of the People’s Republic of China (“Macau”). We also own and operate Wynn Las Vegas, a destination casino resort in Las Vegas, Nevada, which opened on April 28, 2005. Furthermore, on April 28, 2006, we commenced construction of Encore at Wynn Las Vegas (“Encore”), a hotel casino resort fully integrated with Wynn Las Vegas. Until the opening of Wynn Las Vegas, we were solely a development stage company.</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Since its opening, we have enhanced and refined Wynn Las Vegas in response to market demands and customer preferences. In the third quarter of 2006, among other things, we completed the conversion of the Keno lounge to a retail outlet for womens’ accessories and remodeled our high-fashion ladies’ shoe boutique in the retail promenade. We expect to continue our remodel efforts, in each case, investing in projects designed to maximize the performance of Wynn Las Vegas.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2,042-room hotel tower fully integrated with Wynn Las Vegas consisting of 132 suites and 1,910 guest rooms, an approximately 54,000 square foot casino, additional convention and meeting space, as well as restaurants, a nightclub, swimming pools, a spa and salon and retail outlets. Encore is expected to open in early 2009.</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31, 2006, our lenders approved the $1.74 billion project budget and the related plans and specifications for Encore (the “Encore Budget, Plans and Specs”). The current project budget for Encore includes approximately $70.0 million to be incurred for construction of a new employee parking garage on our Koval property, a related pedestrian bridge and costs being incurred in connection with preparing the Broadway Theater to host “Monty Python’s Spamalot.” We continue to refine the design of Encore and are evaluating certain enhancements, which may increase the project budget. In addition, we are negotiating the guaranteed maximum price contract for Encore (the “Encore GMP”). Any increase to the Encore budget would be funded by contributions of debt and/or equity from Wynn Resorts.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operate Wynn Macau under a 20-year casino concession agreement granted by the Macau government in June 2002. We recently sold the right to a subconcession to operate games of chance in Macau, to Publishing &amp; Broadcasting, Ltd. (“PBL”) for $900.0 million. After the Macau government’s approval of this sale on September 11, 2006, we were one of only three concessionaires and three sub-concessionaires permitted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government to operate a casino gaming businesses in Macau. Wynn Macau is located on 11 acres of a total site area of 16 acres of land and features:</w:t>
      </w:r>
    </w:p>
    <w:p>
      <w:pPr>
        <w:spacing w:after="0" w:line="100" w:lineRule="exact"/>
        <w:rPr>
          <w:sz w:val="20"/>
          <w:szCs w:val="20"/>
          <w:color w:val="auto"/>
        </w:rPr>
      </w:pPr>
    </w:p>
    <w:p>
      <w:pPr>
        <w:ind w:left="780" w:right="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100,000 square foot casino offering 24-hour gaming and a full range of games, including private gaming salons, approximately 210 table games and 380 slot machines;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Casual and fine dining in 7 restaurants;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Chanel, Louis Vuitton, Prada, Dior, Fendi, Giorgio Armani, Tiffany, Bulgari, Piaget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Entertainment lounges and meeting facilities.</w:t>
      </w:r>
    </w:p>
    <w:p>
      <w:pPr>
        <w:spacing w:after="0" w:line="1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Construction of the second phase of Wynn Macau on the remaining five acres of the Wynn Macau site continues. This expansion will be fully integrated with the first phase of Wynn Macau. Wynn Macau’s second phase is scheduled to open in stages in 2007, commencing in February with approximately 119 table games and 300 slot machines. The second phase will include an additional approximately 135,000 square feet of casino space, two restaurants, retail space, a theater, and a dramatic front feature attraction.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Strip Development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land concession for an additional 54 acres of land on the Cotai Strip in Macau for future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September 6, 2006, we opened Wynn Macau and began generating operating cash flows from that project. Between April 28, 2005 and September 6, 2006, we relied solely upon the operations of Wynn Las Vegas for our operating cash flow. Prior to the opening of Wynn Las Vegas on April 28, 2005, we were solely a development stage company.</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reliance for our operating cash flow from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our operations, the three and nine months ended September 30, 2006 include 25 days of operations for Wynn Macau in addition to the full periods of operations for Wynn Las Vegas. In contrast the three months ended September 30, 2005 include a full quarter of Wynn Las Vegas only. The nine-month period in 2005 includes only 156 days of operations for Wynn Las Vegas. The below table displays our net revenues for the three and nine months ended September 30, 2006 and 2005: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57"/>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87"/>
              </w:rPr>
              <w:t>September 30</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8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(as restated)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00" w:type="dxa"/>
            <w:vAlign w:val="bottom"/>
          </w:tcPr>
          <w:p>
            <w:pPr>
              <w:ind w:left="220"/>
              <w:spacing w:after="0"/>
              <w:rPr>
                <w:sz w:val="20"/>
                <w:szCs w:val="20"/>
                <w:color w:val="auto"/>
              </w:rPr>
            </w:pPr>
            <w:r>
              <w:rPr>
                <w:rFonts w:ascii="Arial" w:cs="Arial" w:eastAsia="Arial" w:hAnsi="Arial"/>
                <w:sz w:val="18"/>
                <w:szCs w:val="18"/>
                <w:color w:val="auto"/>
              </w:rPr>
              <w:t>Wynn Las Vegas</w:t>
            </w:r>
          </w:p>
        </w:tc>
        <w:tc>
          <w:tcPr>
            <w:tcW w:w="3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273,062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2"/>
              </w:rPr>
              <w:t>251,441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823,657</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452,569</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Wynn Macau</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3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318,092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2"/>
              </w:rPr>
              <w:t>251,441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868,687</w:t>
            </w: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452,569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3480" w:type="dxa"/>
            <w:vAlign w:val="bottom"/>
            <w:vMerge w:val="restart"/>
          </w:tcPr>
          <w:p>
            <w:pPr>
              <w:jc w:val="right"/>
              <w:ind w:right="1292"/>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7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98501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850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Statement of Operations is presented. Below are definitions of the statistics discussed:</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September 30, 2006 compared to the three months ended September 30, 2005.</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Net revenues for the three months ended September 30, 2006 are comprised of $172.0 million in casino revenues (54.1% of total net revenues) and $146.1 million of net non-casino revenues (45.9% of total net revenues). Net revenues for the third quarter of 2005 were comprised of $123.0 million in casino revenues (48.9% of total net revenues) and $128.4 million of net non-casino revenues (51.1% of total net revenues). The quality of our resorts’ non-casino amenities, combined with providing guests an unparalleled total resort experience, has driven a premium in the two properties’ ADR and other non-gaming revenues.</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September 30, 2006 of approximately $172.0 million represents approximately a $49.0 million (or 39.8%) increase from casino revenues of $123.0 million for the three months ended September 30, 2005. The three months ended September 30, 2006 includes 25 days of Wynn Macau’s operations; the primary driver of this increase. At Wynn Las Vegas, the average table games win percentage (before discounts) of 22.3% was nominally above the expected range of 19% to 22% for the three months ended September 30, 2006. Slot handle at Wynn Las Vegas increased during the three months of 2006 as compared to 2005, however, during the three months of 2006, the slot win was slightly less than the expected range of 5% to 6%. Wynn Macau’s win percentage for the VIP casino segment of 1.9% was significantly less than the expected range of 2.5% to 2.8%. The average table games win percentage at the general casino at Wynn Macau of 15.7% was less than the expected range of 17% to 19%. We believe that the results of operations for the first 25 days of operations for Wynn Macau are not indicative of results to be expected in the future. We expect that over time hold percentages will normalize.</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months ended September 30, 2006, room revenues were approximately $66.8 million, which represents a $5.4 million (or 8.9%) increase over the $61.4 million generated in the three months ended September 30, 2005. Wynn Macau generated $2.5 million of room revenue for its first 25 days of operations. ADR and occupancy from Wynn Las Vegas for the three months ended September 30, 2006 were $271 and 94.9%, respectively, generating REVPAR of $257. ADR and occupancy from Wynn Las Vegas in the third quarter of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was $264 and 93.0%, respectively. For the 25 days of operations, Wynn Macau’s ADR and occupancy were $201 and 75.9%, respectively, which produced REVPAR of $153.</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non-casino revenues for the three months ended September 30, 2006 include: food and beverage revenues of approximately $72.1 million, retail revenues of approximately $20.2 million, entertainment revenues of approximately $14.1 million, and other revenues from outlets such as the spa and salon, of approximately $12.0 million. Other non-gaming revenues for the three months ended September 30, 2005 included food and beverage revenues of approximately $61.2 million, retail revenues of approximately $16.9 million, entertainment revenues of approximately $14.0 million, and other revenues from outlets, including the spa and salon, of approximately $11.2 million. The additional revenue earned in Wynn Macau’s 25 days of operations during the third quarter of 2006 contributed to the increase in the food and beverage and retail revenues. In addition, food and beverage revenues in 2006 benefited significantly from increased revenues from the nightclub located in Wynn Las Vegas as compared to the 2005 food and beverage revenues.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three months ended September 30, 2006, departmental expenses included casino expenses of $93.5 million, rooms expenses of $18.3 million, food and beverage expenses of $47.8 million, and entertainment, retail and other expenses of $31.7 million. Also included are general and administrative expenses of approximately $56.2 million and approximately $4.9 million charged as a provision for doubtful accounts receivable. During the three months ended September 30, 2005, departmental expenses included casino expenses of $53.4 million, room expenses of $16.1 million, food and beverage expenses of $42.5 million, and entertainment, retail and other expenses of $28.7 million. Also included are general and administrative expenses of approximately $44.8 million and approximately $2.0 million charged as a provision for doubtful accounts receivable. The increase in expenses is due primarily to the inclusion of 25 days of the operations of Wynn Macau and increases in Wynn Las Vegas expenses commensurate with the increase in revenues.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Pre-opening costs for the three months ended September 30, 2006 of $36.8 million increased by $29.7 million when compared to the three months ended September 30, 2005, primarily due to the increased pre-opening activity and related costs of Wynn Macau, prior to the resort’s opening on September 6, 2006. Wynn Las Vegas ceased incurring pre-opening expenses in April of 2005, when it opened, accordingly, pre-opening expenses in the third quarter of 2005 were limited to Wynn Macau pre-opening expenses. Although present for only 67 days in the 2006 quarter, Wynn Macau’s third quarter 2006 pre-opening expenses were substantially higher than in the third quarter of 2005 due to the increase of staffing immediately preceding the opening and other pre-opening expenses which are typical and expected when opening a casino resort property such as Wynn Macau. We expect that Wynn Macau’s pre-opening expenses will continue to exist after the third quarter of 2006 as construction and development of the second phase continues toward the expected completion in the fourth quarter of 2007. As Encore progresses, pre-opening expenses related to this project will increase as opening approaches.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Depreciation and amortization for the three months ended September 30, 2006 of $42.5 million increased by $4.6 million when compared to the three months ended September 30, 2005, primarily due to the additional 25 days of depreciation expense associated with Wynn Macau.</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addition, we continually evaluate the useful life of our property and equipment, intangibles and other assets. When circumstances require a revision to those estimates of useful life, we adjust them accordingly.</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for the three months ended September 30, 2006 of $5.7 million decreased by approximately $300,000 when compared to the three months ended September 30, 2005.</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and continued enhancing Wynn Las Vegas in the first three quarters of 2006. The $5.7 million of costs relating to assets retired as a result of these enhancement and remodel efforts for the three months ended September 30, 2006 have been expensed as property charges. In the third quarter of 2006, among other things, we completed the conversion of the Wynn Las Vegas Keno lounge to a retail outlet for womens’ accessories and remodeled our high-fashion ladies’ shoe boutique in the retail esplanade.</w:t>
      </w:r>
    </w:p>
    <w:p>
      <w:pPr>
        <w:spacing w:after="0" w:line="10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Although Wynn Las Vegas’ property charges have decreased in more recent quarters, we expect that enhancements and refinements to Wynn Macau will also take place in response to reactions from our customers in that market. Accordingly, we expect that property charges may increase in future periods.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subconcession right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March 4, 2006, we entered into an agreement with PBL pursuant to which we agreed to sell to PBL for $900.0 million, the right to negotiate with the government of Macau for a subconcession to allow PBL to construct and operate casinos in Macau.</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September 8, 2006, the government of Macau approved the subconcession. Accordingly, on September 11, 2006, PBL paid in cash, the $900.0 million to Wynn Macau, S.A. for the subconcession right. As a result of the sale and the subconcession awarded to PBL by the government of Macau, we have no rights or obligations with respect to the subconcession. All rights and obligations under the subconcession are between PBL and the government of Macau. The proceeds from this sale, net of related costs, are recorded as gain on sale of subconcession right in our statement of operations for the three months ended September 30, 2006.</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and other income increased by $4.4 million to $11.8 million for the three months ended September 30, 2006 compared to the three months ended September 30, 2005. This increase is due to interest earned on the PBL proceeds as noted above and higher interest rates earned on cash balances compared to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of capitalized interest, for the three months ended September 30, 2006 was relatively comparable to the same period in 2005.</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interest rate swaps are accounted for in accordance with Statement of Financial Accounting Standards No. 133, Accounting for Derivative Instruments and Hedging Activities, as amended (“SFAS 133”). On August 15, 2006, concurrent with the refinancing of Wynn Las Vegas, LLC’s senior credit facilities (See “Liquidity and Capital Resources - Financing Activity”), we terminated a $200.0 million notional amount interest rate swap relating to Wynn Las Vegas, LLC’s senior credit facilities. The fair value of our interest rate swaps are recorded as either assets or liabilities. Changes in the fair value of our interest rate swaps are recorded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non-operating income or expense in each period. We recorded an expense of approximately $8.8 million for the three months ended September 30, 2006 resulting from the decrease in the fair value of our interest rate swaps from June 30, 2006 to September 30, 2006 (June 30, 2006 to August 15, 2006 in the case of the terminated swap). During the three months ended September 30, 2005 we recorded a gain of $6.1 million resulting from the increase in the fair value of interest rate swaps between June 30, 2005 and September 30, 2005. For further information on our interest rate swaps, see Part II, Item 3 - Quantitative and Qualitative Disclosures about Market Risk.</w:t>
      </w:r>
    </w:p>
    <w:p>
      <w:pPr>
        <w:spacing w:after="0" w:line="12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On August 15, 2006 we refinanced Wynn Las Vegas, LLC’s senior credit facilities as discussed in further detail below (See “Liquidity and Capital Resources - Financing Activity”). In accordance with Emerging Issues Task Force issue 96-19, “Debtor’s Accounting for a Modification or Exchange of Debt Instruments,” (“EITF 96-19”) we recorded a loss on extinguishment of debt for the three months ended September 30, 2006 of approximately $10.8 million to reflect the write-off of Wynn Las Vegas, LLC’s previous term loan facility’s unamortized deferred financing costs and the payment of certain third-party bank fees incurred during the refinancing.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three months ended September 30, 2006, we recorded current and deferred foreign income tax provisions of approximately $87.0 million and $0, respectively and an approximately $33.3 million deferred income tax provision in the U.S. All of these amounts relates to the gain on the sale of the subconcession right. There were no comparable charges for the three months ended September 30, 2005. In addition, we recorded approximately $60,000 in additional U.S. current income taxes relating to our branch offices.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Accordingly, we were exempted from the payment of approximately $500,000 in such taxes. Wynn Macau’s non-gaming profits remain subject to the Macau Complementary Tax and Wynn Macau’s casino winnings remain subject to the Macau Special Gaming tax and other levies in accordance with its concession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nine months ended September 30, 2006 compared to the nine months ended September 30, 2005.</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operating results for the nine months ended September 30, 2005 include 156 days of operations for Wynn Las Vegas while the nine months ended September 30, 2006 include a full quarter of operations for Wynn Las Vegas and 25 days of operations for Wynn Macau.</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Net revenues for the nine months ended September 30, 2006 are comprised of $412.1 million in casino revenues (47.4% of total net revenues) and $456.6 million of net non-casino revenues (52.6% of total net revenues). Net revenues for the 156 days of Wynn Las Vegas operations in the nine months ended September 30, 2005 were comprised of $221.8 million in net casino revenues (49.0% of total net revenues) and $230.8 million of net non-gaming revenues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(51.0% of total net revenues). The quality of our resorts’ non-gaming amenities, combined with providing guests an unparalleled total resort experience, has driven a premium in the two properties’ ADR and other non-gaming revenues.</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Casino revenues for the nine months ended September 30, 2006 of approximately $412.1 million represents approximately a $190.3 million (or 85.8%) increase from the casino revenues of $221.8 million for the nine months ended September 30, 2005. The increase in casino revenues is driven by Wynn Las Vegas being open for all of 2006 as opposed to only 156 days in 2005, as well as 25 days of operations at Wynn Macau. At Wynn Las Vegas, for the nine months ended September 30, 2006, the average table games win percentage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discounts) of 20.6% was within the expected range of 19% to 22%, and the slot win percentage was within the expected range of 5% to 6% of handle. Wynn Macau’s win percentage for the VIP casino segment of 1.9% was significantly less than the expected range of 2.5% to 2.8%, however turnover, the leading volume indicator in the VIP casino, exceeded management expectations. The average table games win percentage at the general casino at Wynn Macau of 15.7% was less than the expected range of 17% to 19%, however the volume of table game play was as expected. We believe that the results of operations for the first 25 days of operations for Wynn Macau are not indicative of results to be expected in the future. We expect that over time hold percentages will normalize and that operating efficiencies will emerge.</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nine months ended September 30, 2006, room revenues were approximately $204.2 million, which represents a $98.2 million (or 92.6%) increase over the $106.0 million generated in the 156 days of operations in the nine months ended September 30, 2005. The increase is primarily driven by Wynn Las Vegas being open for the full year as opposed to 156 days of operations in 2005 as well as Wynn Macau’s 25 days of operations in 2006. ADR and occupancy for Wynn Las Vegas for the nine months ended September 30, 2006 were $286 and 95.4%, respectively, generating REVPAR of $272. Wynn Las Vegas’s ADR and occupancy for the 156 days of operation in the third quarter of 2005 was $272 and 91.8%, generating REVPAR of $250. For the first 25 days of its operations, Wynn Macau’s ADR and occupancy of $201 and 75.9%, respectively, produced REVPAR of $153.</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Other non-casino revenues for the nine months ended September 30, 2006 included food and beverage revenues of approximately $224.4 million, retail revenues of approximately $56.6 million, entertainment revenues of approximately $51.6 million, and other revenues from outlets, including the spa and salon, of approximately $36.4 million. Other non-casino revenues for the 156 days of operation in the nine months ended September 30, 2005 included food and beverage revenues of approximately $109.3 million, retail revenues of approximately $33.8 million, entertainment revenues of approximately $23.6 million, and other revenues from outlets, including the spa and salon, of approximately $19.3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September 30, 2006, the Company’s departmental expenses included total casino expenses of $214.6 million, total room expenses of $53.4 million, food and beverage expenses of $142.0 million, and entertainment, retail and other expenses of $98.3 million. Also included are general and administrative expenses of approximately $152.2 million and approximately $11.5 million charged as a provision for doubtful accounts receivable. During the nine months ended September 30, 2005, departmental expenses included casino expenses of $95.7 million, rooms expenses of $27.9 million, food and beverage expenses of $76.2 million, and entertainment, retail and other expenses of $49.0 million. Also included are general and administrative expenses of approximately $75.8 million and approximately $10.6 million charged as a provision for doubtful accounts receivable. The increase in expenses is due primarily to the inclusion of 25 days of the operations of Wynn Macau and increases in Wynn Las Vegas expenses commensurate with the increased revenues, as well as the increase in the number of days of operations in 2006 compared to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Pre-opening costs for the nine months ended September 30, 2006 were $62.8 million. Wynn Macau accounted for $61.5 million of the total current year pre-opening costs as pre-opening and other start up expenses for Wynn Macau increased as the casino approached the opening date of September 6, 2006. Wynn Las Vegas and Wynn Macau incurred approximately $76.4 and $12.2 million of pre-opening costs, respectively, in the prior year period. We expect that Wynn Macau’s pre-opening expenses will continue to exist after the third quarter of 2006, at lesser amounts, as construction and development of the second phase continue toward the expected completion in the fourth quarter of 2007. In addition, as Encore progresses, pre-opening expenses related to this project will increase as opening approaches.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Depreciation and amortization for the nine months ended September 30, 2006 of $124.8 million increased by $57.3 million compared to the nine months ended September 30, 2005 primarily due to including a full three quarters for Wynn Las Vegas and an additional 25 days of operations of Wynn Macau. Wynn Las Vegas only recorded 156 days of depreciation in 2005.</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Theatre at the end of May 2006. To terminate the contract, we paid a termination fee of $5.0 million. This fee was recorded in the first quarter of 2006 in accordance with the liability recognition provisions of Statement of Financial Accounting Standards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146”). We are remodeling the Broadway Theater and adjacent areas to present “Monty Python’s Spamalot.” Performances of “Monty Python’s Spamalot” are expected to begin in the first quarter of 2007.</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Property charges for the nine months ended September 30, 2006 of $13.1 million increased by $6.9 million compared to the nine months ended September 30, 2005.</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response to our evaluation of the completed Wynn Las Vegas project and the reactions of our guests, we began to make enhancements and refinements to Wynn Las Vegas in the third quarter of 2005 which continued in the first three quarters of 2006. The $13.1 million of costs relating to assets retired as a result of these enhancement and remodel efforts for the nine months ended September 30, 2006 have been expensed as property charges. During the nine months ended September 30, 2006, we remodeled the six North Fairway Villas, remodeled several areas of the retail promenade, remodeled a portion of the former baccarat area to feature a casino bar, improved public baccarat space and private baccarat salons, converted the Keno lounge to a retail outlet for womens’ accessories, and remodeled our ladies’ shoe boutique in the retail esplanade. We also began modifications to the Broadway Theater to accommodate “Monty Python’s Spamalot.”</w:t>
      </w:r>
    </w:p>
    <w:p>
      <w:pPr>
        <w:spacing w:after="0" w:line="9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Although Wynn Las Vegas’ property charges have decreased in more recent quarters, we expect that enhancements and refinements to Wynn Macau will also take place in response to reactions from our customers in that market. Accordingly, we expect that property charges may increase in future periods.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subconcession right</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March 4, 2006, we entered into an agreement with PBL pursuant to which we agreed to sell to PBL for $900.0 million, the right to negotiate with the government of Macau for a subconcession to allow PBL to construct and operate casinos in Macau.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September 8, 2006, the government of Macau approved the subconcession. Accordingly, on September 11, 2006, PBL paid in cash, the $900.0 million to Wynn Macau, S.A. for the subconcession right. As a result of the sale and the subconcession awarded to PBL by the government of Macau, we have no rights or obligations with respect to the subconcession. All rights and obligations under the subconcession are between PBL and the government of Macau. The proceeds from this sale, net of related costs, are recorded as gain on sale of subconcession right in our statement of operations for the nine months ended September 30, 2006.</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Interest and other income increased by $9.3 million from the nine months ended September 30, 2005 to the nine months ended September 30, 2006. This increase is primarily due to higher interest rates earned on cash balances compared to 2005, as well as interest earned on the PBL proceeds.</w:t>
      </w:r>
    </w:p>
    <w:p>
      <w:pPr>
        <w:spacing w:after="0" w:line="7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Interest expense, net of capitalized interest increased by $42.8 million for the nine months ended September 30, 2006 compared to the same period in 2005 due to the rise in interest rates and the significant decrease in the amount of interest capitalized once Wynn Las Vegas opened.</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interest rate swaps are accounted for in accordance with Statement of Financial Accounting Standards No. 133, Accounting for Derivative Instruments and Hedging Activities, as amended (“SFAS 133”). On August 15, 2006, concurrent with the refinancing of Wynn Las Vegas, LLC’s senior credit facilities (See “Liquidity and Capital Resources - Financing Activity”), we terminated a $200.0 million notional amount interest rate swap relating to Wynn Las Vegas, LLC’s senior credit facilities. The fair value of our interest rate swaps are recorded as either assets or liabilities. Changes in the fair value of our interest rate swaps are recorded as non-operating income or expense in each period. We recorded approximately $1.8 million of interest rate swap income for the nine months ended September 30, 2006 resulting from the increase in the fair value of our interest rate swaps from December 31, 2005 to September 30, 2006 (December 31, 2005 to August 15, 2006 in the case of the terminated swap). During the nine months ended September 30, 2005 we recorded a gain of $8.0 million resulting from the increase in the fair value of interest rate swaps between December 31, 2004 and September 30, 2005. For further information on our interest rate swaps, see Part II, Item 3 - Quantitative and Qualitative Disclosures about Market Risk.</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15, 2006 we refinanced our senior credit facilities as discussed in further detail below (See “Liquidity and Capital Resources - Financing Activity”). In EITF 96-19, the FASB reached consensus that modifications to or exchanges of debt resulting in substantially different terms, as defined, should be accounted for as an extinguishment and the difference between the fair value of the new debt and the net investment in the old debt, plus the fees paid to effect the exchange, should be recognized as a gain or loss. As a result of the refinancing and resulting modification of the Term Loans, we recorded a loss on extinguishment of debt for the nine months ended September 30, 2006 of approximately $10.8 million to reflect the write-off of the previous Term Loan’s unamortized deferred financing costs.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nine months ended September 30, 2006, we recorded current and deferred foreign income tax provisions of approximately $87.0 million and $0, respectively, and approximately $33.3 million deferred income tax provision in the U.S. All of these amounts relates to the gain on the sale of the subconcession right. There were no comparable charges for the nine months ended September 30, 2005. In addition to taxes on the subconcession sale, we recorded approximately $369,000 in additional U.S. income taxes relating to our branch offices.</w:t>
      </w:r>
    </w:p>
    <w:p>
      <w:pPr>
        <w:spacing w:after="0" w:line="9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Accordingly, we were exempted from the payment of approximately $500,000 in such taxes. Wynn Macau’s non-gaming profits remain subject to the Macau Complementary Tax and Wynn Macau’s casino winnings remain subject to the Macau Special Gaming tax and other levies in accordance with its concession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from operations in the nine months ended September 30, 2006 was $170.2 million compared to $12.7 million provided by operations in the nine months ended September 30,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Our cash balances at September 30, 2006, were significantly higher than in prior periods due to the $900.0 million cash received from PBL on September 11, 2006. At September 30, 2006, we had approximately $1.4 billion of cash and cash equivalents available for new development activities, general corporate purposes, enhancements to Wynn Las Vegas and Wynn Macau, and to support the development and construction of Encore and the second phase of Wynn Macau. Of this amount, approximately $292.3 million is held by Wynn Resorts, Limited, which is not a guarantor of the debt of its subsidiaries, including Wynn Las Vegas, LLC and Wynn Macau, S.A. However, Wynn Resorts, Limited has provided an equity commitment agreement to Wynn Las Vegas, LLC’s secured lenders, which obligates Wynn Resorts, Limited to contribute up to $70.0 million for Encore project costs if Wynn Las Vegas, LLC is unable to pay such costs.</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September 30, 2006, we had approximately $323.8 million in cash and investments from the proceeds of our debt and equity financings, which is restricted for the following:</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the second phase of Wynn Macau;</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Remaining costs to be paid in relation to Wynn Macau’s first phase;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the Second Mortgage Notes, including interest (which was completed on November 1, 2006);</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$80.0 million restricted for the Wynn Las Vegas liquidity reserve and completion guarantee ($30.0 million of which must be retained for Encore);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Remaining costs for completion of Wynn Las Vegas, estimated to be approximately $3.7 million.</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Debentures Conversions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Through September 30, 2006, approximately $25.8 million principal amount of the Convertible Debentures were converted by those holders into 1,123,428 shares of the common stock of Wynn Resorts, Limited. This has reduced our long-term debt accordingly and will decrease our interest expense by approximately $1.5 million annually.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2006, approximately $3.7 million of budgeted project costs and retention amounts remained to be paid in order to close out the Wynn Las Vegas project.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third quarter of 2005, we began to make certain enhancements and refinements to Wynn Las Vegas. As a result, we have incurred and will continue to incur capital expenditures relating to these enhancements and refinements. Under the terms of the Wynn Las Vegas credit facilities, we are permitted to make up to $100.0 million of capital expenditures in 2006, of which we have expended approximately $47.9 million in the first nine months of 2006. The spending limit will be increased to the extent funds are contributed to Wynn Las Vegas by Wynn Resorts, Limited.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lenders approved the $1.74 billion Encore Budget, Plans and Specs on March 31, 2006. We continue to refine the design of Encore and are evaluating certain enhancements, which may increase the project budget. In addition, we are negotiating the Encore GMP. Any increase to the Encore budget would be funded by contributions of debt and/or equity from Wynn Resorts. On April 28, 2006, we broke ground and commenced construction on Encore. We expect to open Encore to the public in early 2009.</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documentation is progressing in accordance with the design schedule;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Construction activities on the high-rise structure have progressed beyond the spa level and concrete pours for the first guest-room floor have begun;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activities on the high-rise structure have reached the spa level;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90% of the low-rise excavation has been completed;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Site preparation has commenced for the self-park garage;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Under-balcony framing has been completed allowing drywall installation to commence on the Broadway Theater;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Rebar installation and major concrete pours have been completed through the fifth level of the Koval employee parking garage.</w:t>
      </w:r>
    </w:p>
    <w:p>
      <w:pPr>
        <w:spacing w:after="0" w:line="1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Through September 30, 2006, we incurred approximately $200.7 million of Encore project costs. These costs, net of approximately $6.4 million of retention, have been funded from the Credit Facilities, the First Mortgage Notes and cash flow from the operations of Wynn Las Vegas. Prior to signing a guaranteed maximum price construction contract, we are permitted to spend up to $300.0 million of the proceeds of the First Mortgage Notes and the Credit Facilities on Encore project costs. As of September 30, 2006, we have spent approximately $155.9 million using these debt proceeds. The remaining $38.4 million has been funded from cash flows from operations. We expect that the remaining proceeds from the First Mortgage Notes, together with availability under the Wynn Las Vegas Credit Facilities, cash flow from the operations of Wynn Las Vegas and the equity commitment from Wynn Resorts will be sufficient to fund Encore’s $1.74 billion budget.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7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by using agreed amounts of excess cash flow from the operations of Wynn Las Vegas and any equity contributions from Wynn Resorts;</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Wynn Las Vegas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Wynn Las Vegas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 Reve Production Rights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2006, Wynn Resorts canceled the 189,723 nonvested shares of Wynn Resorts’ common stock granted, subject to certain performance criteria, to the executive producer of “Le Reve.”</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only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first phase of Wynn Macau was completed, and the casino resort opened, on September 6, 2006. The construction of the second phase is progressing and is scheduled to open in stages in 2007, commencing in February with approximately 119 table games and 300 slot machines. The overall Wynn Macau project remains within budget and the second phase is progressing according to the expected timeframe. Significant construction accomplishments for the second phase expansion include:</w:t>
      </w:r>
    </w:p>
    <w:p>
      <w:pPr>
        <w:spacing w:after="0" w:line="4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is substantially complete;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Piling and pile cap activities are largely complete;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Basement retaining walls for the moving front feature attraction have been completed;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ground floor and the first floor slab is complete;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Casino fit-out is in progress;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Mechanical and electrical services are in progress.</w:t>
      </w:r>
    </w:p>
    <w:p>
      <w:pPr>
        <w:spacing w:after="0" w:line="1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current total project budget for Wynn Macau (including the first phase which opened in September) is approximately $1.2 billion, including contingencies, but excluding up to $20.5 million of post-opening land concession payments anticipated to be funded from operating cash flows. Under the amended and restated Construction Contract, the general contractor is responsible for both the construction and design of the project (other than certain limited portions to be designed by one of our subsidiaries) based on an existing scope of work and design specifications for both the first phase and the expansion as provided by us, for a guaranteed maximum price of approximately $483 million (including the contractors’ fee and contingency).</w:t>
      </w:r>
    </w:p>
    <w:p>
      <w:pPr>
        <w:spacing w:after="0" w:line="10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 enhancements and upgrades to the overall project, and adding an electronic marquee sign at the entrance to Wynn Macau. The change orders increased the guaranteed maximum price under the Construction Contract from $457 million to approximately $483 million.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2006, the Company has incurred approximately $816 million of the total $1.2 billion project budget for Wynn Macau.</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August 15, 2006, we refinanced our Revolving Credit Facility (the “Revolver”) and our Delay Draw Term Loan Facility (the “Term Loans”) (together, the “Wynn Las Vegas Credit Facilities”).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the Credit Facilities from $1.0 billion to $1.125 billion by increasing the Revolver from $600.0 million to $900.0 million and reducing the Term Loans from $400.0 million to $225.0 million; (ii) reduced the borrowing margins on London Interbank Offered Rate (“LIBOR”)-based Revolver and Term Loans by 0.625% and 0.250%, respectively; (iii) extended the maturity dates for the Revolver and the Term Loans to 2011 and 2013, respectively; and</w:t>
      </w:r>
    </w:p>
    <w:p>
      <w:pPr>
        <w:spacing w:after="0" w:line="3" w:lineRule="exact"/>
        <w:rPr>
          <w:sz w:val="20"/>
          <w:szCs w:val="20"/>
          <w:color w:val="auto"/>
        </w:rPr>
      </w:pPr>
    </w:p>
    <w:p>
      <w:pPr>
        <w:ind w:firstLine="8"/>
        <w:spacing w:after="0" w:line="298" w:lineRule="auto"/>
        <w:tabs>
          <w:tab w:leader="none" w:pos="2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reduced the consolidated interest coverage ratio requirement for quarterly periods on or prior to December 31, 2007 to 2.00:1. The Amended and Restated Credit Agreement also: (i) reduced the range of the Revolver’s annual LIBOR borrowing margin after the opening of Encore from a range of 1.25% to 2.50% to a range of 1.00% to 1.75%, depending on our leverage ratio; and (ii) simplified the procedures for and conditions to obtaining advances and reduced the reporting obligations under the Amended and Restated Credit Agreement upon the satisfaction of certain conditions, including fully utilizing all previously funded amounts under the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for payment of Encore project costs.</w:t>
      </w:r>
    </w:p>
    <w:p>
      <w:pPr>
        <w:spacing w:after="0" w:line="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result of the refinancing discussed above, borrowings under the Term Loans were reduced to $225.0 million, under which we have elected, and expect to continue to elect, Eurodollar loans which bear interest at 1-month LIBOR and include a margin of 1.875% on that outstanding balance. We had two</w:t>
      </w:r>
    </w:p>
    <w:p>
      <w:pPr>
        <w:spacing w:after="0" w:line="254" w:lineRule="auto"/>
        <w:rPr>
          <w:sz w:val="20"/>
          <w:szCs w:val="20"/>
          <w:color w:val="auto"/>
        </w:rPr>
      </w:pPr>
      <w:r>
        <w:rPr>
          <w:rFonts w:ascii="Arial" w:cs="Arial" w:eastAsia="Arial" w:hAnsi="Arial"/>
          <w:sz w:val="18"/>
          <w:szCs w:val="18"/>
          <w:color w:val="auto"/>
        </w:rPr>
        <w:t>$200.0 million notional amount interest rate swaps to essentially fix the interest on the $400.0 million of former Term Loans. When we completed the refinancing on August 15, 2006, we terminated one of the two swaps and received approximately $6.6 million in the transaction. We elected to retain the other swap and therefore it effectively fixes the interest rate on $200.0 million out of the total $225.0 million of current Term Loans (for further information, see Part II, Item 3. Quantitative and Qualitative Discussions about Market Risk).</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August and September of 2006, we borrowed a total of $88.6 million under the Revolver, primarily for the construction of Encore. Consequently, as of September 30, 2006, $811.4 million remains available under the Revolver for future borrowings for the construction of Encore or for other uses as necessary. For borrowings under the current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the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new $900.0 million Revolver will terminate and be payable in full on August 15, 2011, $112.5 million of the $225.0 million Term Loan will be payable on September 30, 2012 and the remaining $112.5 million will be payable on August 15, 2013.</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31, 2006, Wynn Resorts delivered an equity commitment agreement to the lenders under the Wynn Las Vegas Credit Facilities. Under that agreement, Wynn Resorts had committed to pay up to $215.3 million of Encore project costs if the Company was unable to do so. The refinancing discussed above increased the aggregate amount available under the Wynn Las Vegas Credit Facilities from $1.0 billion to $1.125 billion. As a result of this increase and with other funds becoming available to pay for Encore project costs, Wynn Resorts’ maximum commitment to pay Encore project costs was reduced from $215.3 million to $70.0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also have outstanding at September 30, 2006 approximately $39.8 million of an original $44.75 million borrowing secured by our corporate aircraft. This loan matures on March 31,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9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November 1, 2006, we redeemed the approximately $10.1 million of 12% Second Mortgage Notes due 2010 (the “Second Mortgage Notes”) that remained outstanding. Funds to repay the Second Mortgage Notes and interest had been placed in an escrow account in December 2004, specifically for this purpose.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Financing for Wynn Macau’s design, development, construction and pre-opening expenses is provided by a combination of cash on hand in the form of intercompany loans totaling $230 million, subordinated loan financing from Wynn Resorts totaling $80 million, and a senior secured credit facility. Wynn Macau, S.A.’s senior secured credit facility of $764 million includes $729 million of senior term loan facilities, a HK$117 million revolving credit facility (approximately US$15 million), and an additional term loan facility of HK$156 million (approximately US$20 million). As of September 30, 2006, we had borrowed approximately $478.2 million under the Wynn Macau, S.A. senior secured credit facility.</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term loan facilities mature in September 2011, and the revolving credit facility matures in September 2007. The principal amount of the term loans is required to be repaid in quarterly installments, commencing on March 14, 2008. The term loans bear interest at LIBOR or the Hong Kong Interbank Offered Rate (“HIBOR”) plus a margin of 3.0%. Subsequent to final completion,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 other increases in Wynn Macau’s project budget entirely from its existing $764 million senior secured credit facilities. The additional costs are to be incurred in connection with preparatory work for additional gaming space located in the expansion of Wynn Macau’s second phase, a series of enhancements and upgrades to the overall project, and an electronic marquee sign at the entrance to Wynn Macau.</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Wynn Macau will fund $60.5 million of costs from its existing $72 million contingent debt facility and $7.9 million of costs from its existing $20 million credit facility with Banco Nacional Ultramarino, S.A.</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Collateral for the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began to draw under the senior bank facility in October 2005, after expenditure of the intercompany loan and subordinated funding. Through September 30, 2006, we incurred approximately $816 million of the total $1.2 billion of budgeted project costs. Total budgeted project costs include construction and design costs (including construction contingencies) of approximately $685 million, land acquisition costs of approximately $49 million, costs related to the additional casino expansion of approximately $68 million and capitalized interest, pre-opening expenses, financing fees and other costs totaling in the aggregate approximately $351 million. These costs have been, and will continue to be, paid from the previously funded $230.0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intercompany loans from Wynn Resorts and $80.0 million from Wynn Las Vegas, LLC and loaned through affiliates to Wynn Macau, S.A., as well as Wynn Macau, S.A.’s $764.0 million senior secured credit facilities and cash flows from operations once Wynn Macau opens. On October 31, 2006, Wynn Macau, S.A. repaid to Wynn Resorts the intercompany loans and interest using proceeds from the PBL transaction.</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to the above financing sources, we have $30.0 million (plus $2.9 million of accumulated interest earnings) of long-term restricted cash reserved as contingent equity. We have entered into interest rate swap agreements to hedge a portion of the underlying interest rate risk on borrowings under the Wynn Macau, S.A. credit facilities. See Item 3. “Quantitative and Qualitative Disclosures About Market Risk.”</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however, the Wynn Macau, S.A. loan agreements permit distribution of the net proceeds of the sale of the subconcession right.</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completion of the Encore or the Wynn Macau expansion projects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jc w:val="both"/>
        <w:ind w:right="180" w:firstLine="456"/>
        <w:spacing w:after="0" w:line="323" w:lineRule="auto"/>
        <w:rPr>
          <w:sz w:val="20"/>
          <w:szCs w:val="20"/>
          <w:color w:val="auto"/>
        </w:rPr>
      </w:pPr>
      <w:r>
        <w:rPr>
          <w:rFonts w:ascii="Arial" w:cs="Arial" w:eastAsia="Arial" w:hAnsi="Arial"/>
          <w:sz w:val="15"/>
          <w:szCs w:val="15"/>
          <w:color w:val="auto"/>
        </w:rPr>
        <w:t>New business developments or other unforeseen events may occur, resulting in the need to raise additional funds. We continue to explore opportunities to develop additional gaming or related businesses in Las Vegas, Macau,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Limited or through subsidiaries separate from the Wynn Las Vegas and Wynn Macau-related entities.</w:t>
      </w:r>
    </w:p>
    <w:p>
      <w:pPr>
        <w:spacing w:after="0" w:line="8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Wynn Resorts, Limited’s articles of incorporation provide that Wynn Resorts, Limited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our critical accounting policies can be found in “Item 7. Management’s Discussion and Analysis of Results of Financial Condition and Operations” of our Annual Report on Form 10-K for the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ended December 31, 2005. We present below a discussion of our policies related to share-based compensation and income taxes which has been updated from the discussion in our Annual Report.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supersedes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the Company operates. We account for income taxes in accordance with SFAS No. 109, “Accounting for Income Taxes” (“SFAS 109”). SFAS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SFAS No. 5, “Accounting for Contingencies”. Quarterly, the Company reviews any potentially unfavorable tax outcome and when an unfavorable outcome is identified as probable and can be reasonably estimated, the Company then establishes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109 requires recognition of a future tax benefit to the extent that realization of such benefit is more likely than not. Otherwise, a valuation allowance is applied. During our development stage, we accumulated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significant net operating losses, which generated significant deferred tax assets. Because of the Company’s limited operating history, we had previously fully reserved these net deferred tax assets. On September 11, 2006, we recorded a gain on the sale of the subconcession right. Accordingly we determined that a substantial portion of these net deferred tax assets have become more likely than not realizable as defined by SFAS 109.</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Accordingly, we were exempted from the payment of approximately $500,000 in such taxes. Wynn Macau’s non-gaming profits remain subject to the Macau Complementary Tax and Wynn Macau’s casino winnings remain subject to the Macau Special Gaming tax and other levies in accordance with its concession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for a description of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Swaps</w:t>
      </w:r>
    </w:p>
    <w:p>
      <w:pPr>
        <w:spacing w:after="0" w:line="7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On December 14, 2004, we entered into two $200.0 million notional amount interest rate swap arrangements to hedge the underlying interest rate risk on a total of $400.0 million of borrowings under our term loan facility, which prior to the August 15, 2006 refinancing (For further information, see Part II, Item 2 “Management’s Discussion and Analysis of Financial Condition and Results of Operations - Liquidity and Capital Resources”), bore interest at LIBOR plus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2.125%. Under these arrangements, the Company paid 3.793% of the notional amount and received LIBOR. Although these interest rate swaps essentially fixed the interest rate at approximately 5.9%, changes in the fair value of the interest rate swaps for each reporting period were recorded in the increase (or decrease) in swap fair value as a component of other income (expense), net since the interest rate swaps did not qualify for hedge accounting.</w:t>
      </w:r>
    </w:p>
    <w:p>
      <w:pPr>
        <w:spacing w:after="0" w:line="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15, 2006, we reduced our term loan facility as part of refinancing our Wynn Las Vegas Credit Facilities, and concurrently terminated one of our two $200.0 million interest rate swap arrangements. We received approximately $6.6 million in cash from unwinding this interest rate swap. We elected to retain the second $200.0 million interest rate swap to essentially fix the interest rate on $200.0 million of the new $225.0 million of term loan borrowings. Because we continue to pay a fixed rate of 3.793% on the $200.0 million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notional amount and receive LIBOR, the interest rate on $200.0 million of the new $225.0 million term loans is fixed at approximately 5.668%. The interest rate on the remaining $25.0 million of Term Loans is subject to the changes in the LIBOR rates over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7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On October 14, 2005, we entered into two interest rate swaps (each with three participating banks) to hedge a portion of the underlying interest rate risk on future borrowings under Wynn Macau S.A.’s $764 million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swap agreements is from November 28, 2005 through November 28, 2008.</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September 30, 2006 of approximately 7.84% and 7.77%, respectively. However, changes in the fair values of these interest rate swaps for each reporting period recorded are, and will continue to be, recognized as a component of other income (expense), net, as the swaps do not qualify for hedge accounting.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tables presents the historical asset or (liability) fair values of our interest rate swap arrangements (reflected in deposits and other assets or in other long-term liabilities as appropriate) as of September 30, 2006 and December 31, 2005 (all amounts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7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7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All Interest Rate</w:t>
            </w:r>
          </w:p>
        </w:tc>
        <w:tc>
          <w:tcPr>
            <w:tcW w:w="0" w:type="dxa"/>
            <w:vAlign w:val="bottom"/>
          </w:tcPr>
          <w:p>
            <w:pPr>
              <w:spacing w:after="0"/>
              <w:rPr>
                <w:sz w:val="1"/>
                <w:szCs w:val="1"/>
                <w:color w:val="auto"/>
              </w:rPr>
            </w:pPr>
          </w:p>
        </w:tc>
      </w:tr>
      <w:tr>
        <w:trPr>
          <w:trHeight w:val="174"/>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Asset / (Liability) Fair Value at:</w:t>
            </w: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Swaps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Swaps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September 30,2006</w:t>
            </w:r>
          </w:p>
        </w:tc>
        <w:tc>
          <w:tcPr>
            <w:tcW w:w="5080" w:type="dxa"/>
            <w:vAlign w:val="bottom"/>
            <w:gridSpan w:val="2"/>
            <w:shd w:val="clear" w:color="auto" w:fill="CCEEFF"/>
          </w:tcPr>
          <w:p>
            <w:pPr>
              <w:ind w:left="49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(1,063)</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December 31, 2005</w:t>
            </w:r>
          </w:p>
        </w:tc>
        <w:tc>
          <w:tcPr>
            <w:tcW w:w="5080" w:type="dxa"/>
            <w:vAlign w:val="bottom"/>
            <w:gridSpan w:val="2"/>
          </w:tcPr>
          <w:p>
            <w:pPr>
              <w:ind w:left="49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10,523</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(1,788)</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three and nine months ended September 30, 2006, we incurred approximately $45.7 million and $131.9 million, respectively, in interest. Certain amounts of our outstanding indebtedness for the period were based upon a variable rate, LIBOR or HIBOR, plus a premium. A 1% increase in the variable rates would have increased our interest cost for the three and nine months ended September 30, 2006 by approximately $402,000 and $685,000 respectively.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2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Debentures Conversions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Debentures are currently convertible at each holder’s option into shares of the Company’s common stock at a conversion price of $23.00 per share (equivalent to 43.4782 shares per $1,000 principal amount). During the third quarter of 2006, we issued shares of common stock upon conversion of Debentures, as set forth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 Amount of</w:t>
            </w: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 Issued</w:t>
            </w:r>
          </w:p>
        </w:tc>
      </w:tr>
      <w:tr>
        <w:trPr>
          <w:trHeight w:val="174"/>
        </w:trPr>
        <w:tc>
          <w:tcPr>
            <w:tcW w:w="2200" w:type="dxa"/>
            <w:vAlign w:val="bottom"/>
          </w:tcPr>
          <w:p>
            <w:pPr>
              <w:spacing w:after="0"/>
              <w:rPr>
                <w:sz w:val="15"/>
                <w:szCs w:val="15"/>
                <w:color w:val="auto"/>
              </w:rPr>
            </w:pPr>
          </w:p>
        </w:tc>
        <w:tc>
          <w:tcPr>
            <w:tcW w:w="23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5"/>
              </w:rPr>
              <w:t>Date</w:t>
            </w:r>
          </w:p>
        </w:tc>
        <w:tc>
          <w:tcPr>
            <w:tcW w:w="2960" w:type="dxa"/>
            <w:vAlign w:val="bottom"/>
            <w:gridSpan w:val="3"/>
          </w:tcPr>
          <w:p>
            <w:pPr>
              <w:ind w:left="1640"/>
              <w:spacing w:after="0"/>
              <w:rPr>
                <w:sz w:val="20"/>
                <w:szCs w:val="20"/>
                <w:color w:val="auto"/>
              </w:rPr>
            </w:pPr>
            <w:r>
              <w:rPr>
                <w:rFonts w:ascii="Arial" w:cs="Arial" w:eastAsia="Arial" w:hAnsi="Arial"/>
                <w:sz w:val="14"/>
                <w:szCs w:val="14"/>
                <w:b w:val="1"/>
                <w:bCs w:val="1"/>
                <w:color w:val="auto"/>
                <w:w w:val="86"/>
              </w:rPr>
              <w:t>Debentures Converted</w:t>
            </w:r>
          </w:p>
        </w:tc>
        <w:tc>
          <w:tcPr>
            <w:tcW w:w="1360" w:type="dxa"/>
            <w:vAlign w:val="bottom"/>
          </w:tcPr>
          <w:p>
            <w:pPr>
              <w:spacing w:after="0"/>
              <w:rPr>
                <w:sz w:val="15"/>
                <w:szCs w:val="15"/>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rPr>
              <w:t>Upon Conversion</w:t>
            </w:r>
          </w:p>
        </w:tc>
      </w:tr>
      <w:tr>
        <w:trPr>
          <w:trHeight w:val="95"/>
        </w:trPr>
        <w:tc>
          <w:tcPr>
            <w:tcW w:w="2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102"/>
        </w:trPr>
        <w:tc>
          <w:tcPr>
            <w:tcW w:w="2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450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7"/>
              </w:rPr>
              <w:t>July 20, 2006</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22,826</w:t>
            </w:r>
          </w:p>
        </w:tc>
      </w:tr>
    </w:tbl>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shares of Common Stock were issued in reliance upon the exemption from registration provided in Section 3(a)(9) of the Securities Act of 1933, as amended. No commission or other remuneration was paid or given directly or indirectly for soliciting these transactions.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never declared or paid cash dividends on any shares of our common stock. We are currently reviewing our dividend policy.</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documents permit distribution of the net proceeds from the sale of the subconcession right.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24"/>
                <w:szCs w:val="24"/>
                <w:color w:val="auto"/>
              </w:rPr>
            </w:pPr>
          </w:p>
        </w:tc>
        <w:tc>
          <w:tcPr>
            <w:tcW w:w="5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4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Employment Agreement, dated as of July 27, 2006, by and between Worldwide Wynn, LLC and Jack B. Binion. (3)</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and agents, and Deutsche Bank Trust Company Americas, as Administrative Agent.</w:t>
            </w:r>
          </w:p>
        </w:tc>
      </w:tr>
      <w:tr>
        <w:trPr>
          <w:trHeight w:val="365"/>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ind w:left="4200"/>
              <w:spacing w:after="0"/>
              <w:rPr>
                <w:sz w:val="20"/>
                <w:szCs w:val="20"/>
                <w:color w:val="auto"/>
              </w:rPr>
            </w:pPr>
            <w:r>
              <w:rPr>
                <w:rFonts w:ascii="Arial" w:cs="Arial" w:eastAsia="Arial" w:hAnsi="Arial"/>
                <w:sz w:val="18"/>
                <w:szCs w:val="18"/>
                <w:color w:val="auto"/>
              </w:rPr>
              <w:t>55</w:t>
            </w: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15"/>
                <w:szCs w:val="15"/>
                <w:color w:val="auto"/>
              </w:rPr>
            </w:pPr>
          </w:p>
        </w:tc>
        <w:tc>
          <w:tcPr>
            <w:tcW w:w="48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r>
      <w:tr>
        <w:trPr>
          <w:trHeight w:val="309"/>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w w:val="87"/>
              </w:rPr>
              <w:t>Fourth Amendment to Master Disbursement Agreement, dated as of August 15, 2006, among Wynn Las Vegas, LLC and Deutsche</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Bank Trust Company Americas, as bank agent and disbursement agent.</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1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July 28, 2006 and incorporated herein by reference.</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240" w:top="459" w:right="6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9, 2006</w:t>
      </w:r>
    </w:p>
    <w:p>
      <w:pPr>
        <w:spacing w:after="0" w:line="15" w:lineRule="exact"/>
        <w:rPr>
          <w:sz w:val="20"/>
          <w:szCs w:val="20"/>
          <w:color w:val="auto"/>
        </w:rPr>
      </w:pPr>
    </w:p>
    <w:p>
      <w:pPr>
        <w:ind w:left="8460"/>
        <w:spacing w:after="0"/>
        <w:tabs>
          <w:tab w:leader="none" w:pos="87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-65405</wp:posOffset>
            </wp:positionV>
            <wp:extent cx="2658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John Strzemp</w:t>
      </w:r>
    </w:p>
    <w:p>
      <w:pPr>
        <w:jc w:val="center"/>
        <w:ind w:left="722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40"/>
          </w:cols>
          <w:pgMar w:left="240" w:top="459" w:right="8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6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the Borrower,</w:t>
      </w:r>
    </w:p>
    <w:p>
      <w:pPr>
        <w:spacing w:after="0" w:line="6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Several Lenders</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from Time to Time Party Hereto,</w:t>
      </w:r>
    </w:p>
    <w:p>
      <w:pPr>
        <w:spacing w:after="0" w:line="6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as Lead Arranger and Joint Book Running Manager,</w:t>
      </w:r>
    </w:p>
    <w:p>
      <w:pPr>
        <w:spacing w:after="0" w:line="6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as Administrative Agent, Issuing Lender and Swing Line Lender,</w:t>
      </w:r>
    </w:p>
    <w:p>
      <w:pPr>
        <w:spacing w:after="0" w:line="6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as Lead Arranger and Joint Book Running Manager,</w:t>
      </w:r>
    </w:p>
    <w:p>
      <w:pPr>
        <w:spacing w:after="0" w:line="6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as Syndication Agent,</w:t>
      </w:r>
    </w:p>
    <w:p>
      <w:pPr>
        <w:spacing w:after="0" w:line="6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BEAR, STEARNS &amp; CO. INC.,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6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BEAR STEARNS CORPORATE LENDING INC.,</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Joint Documentation Agent,</w:t>
      </w:r>
    </w:p>
    <w:p>
      <w:pPr>
        <w:spacing w:after="0" w:line="6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J. P. MORGAN SECURITIES INC.,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6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Joint Documentation Agent,</w:t>
      </w:r>
    </w:p>
    <w:p>
      <w:pPr>
        <w:spacing w:after="0" w:line="6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SG AMERICAS SECURITIES, LLC,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6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SOCIETE GENERALE,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Documentation Agent</w:t>
      </w:r>
    </w:p>
    <w:p>
      <w:pPr>
        <w:spacing w:after="0" w:line="6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each case as Managing Agents,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SCOTLAND,</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ROYAL BANK OF SCOTLAND PLC</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WACHOVIA BANK</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August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r>
      <w:tr>
        <w:trPr>
          <w:trHeight w:val="331"/>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7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1.1</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1.2</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1.3</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Certain Financial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2. AMOUNT AND TERMS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2.1</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Term B Loan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2.2</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Scheduled Amortization of Term B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2.3</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Revolving Credit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2.4</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2.5</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Procedure for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2.6</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Swing Line Commitment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2.7</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Procedure for Swing Line Borrowing; Refunding of Swing Line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2.8</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Repayment of Loans; Evidence of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2.9</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Commitment Fees, etc.</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2.10</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Termination or Reduction of Revolving Credit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2.11</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Optional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2.12</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Mandatory Prepayments and Commitment Reductions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2.13</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Conversion and Continuation 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2.14</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Minimum Amounts and Maximum Number of Eurodollar Tranches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2.15</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Interest Rates and Payment Dates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2.16</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Computation of Interest and Fees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2.17</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Inability to Determine Interest Rate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2.18</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Pro Rata Treatment and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2.19</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Requirements of Law</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2.20</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2.21</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2.22</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2.23</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Change of Lending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2.24</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Insurance Proceeds and Eminent Domain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2.25</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Replacement of Lenders under Certain Circumstances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2.26</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Incremental Facilities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3.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L/C Commitment</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Procedure for Issuance of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Fees and Other Charges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3.4</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L/C Participations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3.5</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Reimbursement Obligation of the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3.6</w:t>
            </w:r>
          </w:p>
        </w:tc>
        <w:tc>
          <w:tcPr>
            <w:tcW w:w="10360" w:type="dxa"/>
            <w:vAlign w:val="bottom"/>
            <w:gridSpan w:val="3"/>
          </w:tcPr>
          <w:p>
            <w:pPr>
              <w:ind w:left="180"/>
              <w:spacing w:after="0"/>
              <w:rPr>
                <w:sz w:val="20"/>
                <w:szCs w:val="20"/>
                <w:color w:val="auto"/>
              </w:rPr>
            </w:pPr>
            <w:r>
              <w:rPr>
                <w:rFonts w:ascii="Arial" w:cs="Arial" w:eastAsia="Arial" w:hAnsi="Arial"/>
                <w:sz w:val="18"/>
                <w:szCs w:val="18"/>
                <w:color w:val="auto"/>
              </w:rPr>
              <w:t>Responsibility of Issuing Lender With Respect to Requests for Drawings and Payments; Obligations Absolute</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00" w:type="dxa"/>
            <w:vAlign w:val="bottom"/>
          </w:tcPr>
          <w:p>
            <w:pPr>
              <w:ind w:left="20"/>
              <w:spacing w:after="0"/>
              <w:rPr>
                <w:sz w:val="20"/>
                <w:szCs w:val="20"/>
                <w:color w:val="auto"/>
              </w:rPr>
            </w:pPr>
            <w:r>
              <w:rPr>
                <w:rFonts w:ascii="Arial" w:cs="Arial" w:eastAsia="Arial" w:hAnsi="Arial"/>
                <w:sz w:val="18"/>
                <w:szCs w:val="18"/>
                <w:color w:val="auto"/>
              </w:rPr>
              <w:t>4.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4.1</w:t>
            </w:r>
          </w:p>
        </w:tc>
        <w:tc>
          <w:tcPr>
            <w:tcW w:w="8100" w:type="dxa"/>
            <w:vAlign w:val="bottom"/>
          </w:tcPr>
          <w:p>
            <w:pPr>
              <w:ind w:left="60"/>
              <w:spacing w:after="0"/>
              <w:rPr>
                <w:sz w:val="20"/>
                <w:szCs w:val="20"/>
                <w:color w:val="auto"/>
              </w:rPr>
            </w:pPr>
            <w:r>
              <w:rPr>
                <w:rFonts w:ascii="Arial" w:cs="Arial" w:eastAsia="Arial" w:hAnsi="Arial"/>
                <w:sz w:val="18"/>
                <w:szCs w:val="18"/>
                <w:color w:val="auto"/>
              </w:rPr>
              <w:t>Financial Condition</w:t>
            </w:r>
          </w:p>
        </w:tc>
        <w:tc>
          <w:tcPr>
            <w:tcW w:w="2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4.2</w:t>
            </w:r>
          </w:p>
        </w:tc>
        <w:tc>
          <w:tcPr>
            <w:tcW w:w="8100" w:type="dxa"/>
            <w:vAlign w:val="bottom"/>
          </w:tcPr>
          <w:p>
            <w:pPr>
              <w:ind w:left="60"/>
              <w:spacing w:after="0"/>
              <w:rPr>
                <w:sz w:val="20"/>
                <w:szCs w:val="20"/>
                <w:color w:val="auto"/>
              </w:rPr>
            </w:pPr>
            <w:r>
              <w:rPr>
                <w:rFonts w:ascii="Arial" w:cs="Arial" w:eastAsia="Arial" w:hAnsi="Arial"/>
                <w:sz w:val="18"/>
                <w:szCs w:val="18"/>
                <w:color w:val="auto"/>
              </w:rPr>
              <w:t>No Change</w:t>
            </w:r>
          </w:p>
        </w:tc>
        <w:tc>
          <w:tcPr>
            <w:tcW w:w="2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4.3</w:t>
            </w:r>
          </w:p>
        </w:tc>
        <w:tc>
          <w:tcPr>
            <w:tcW w:w="8100" w:type="dxa"/>
            <w:vAlign w:val="bottom"/>
          </w:tcPr>
          <w:p>
            <w:pPr>
              <w:ind w:left="60"/>
              <w:spacing w:after="0"/>
              <w:rPr>
                <w:sz w:val="20"/>
                <w:szCs w:val="20"/>
                <w:color w:val="auto"/>
              </w:rPr>
            </w:pPr>
            <w:r>
              <w:rPr>
                <w:rFonts w:ascii="Arial" w:cs="Arial" w:eastAsia="Arial" w:hAnsi="Arial"/>
                <w:sz w:val="18"/>
                <w:szCs w:val="18"/>
                <w:color w:val="auto"/>
              </w:rPr>
              <w:t>Corporate/LLC Existence; Compliance with Law</w:t>
            </w:r>
          </w:p>
        </w:tc>
        <w:tc>
          <w:tcPr>
            <w:tcW w:w="2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4.4</w:t>
            </w:r>
          </w:p>
        </w:tc>
        <w:tc>
          <w:tcPr>
            <w:tcW w:w="8100" w:type="dxa"/>
            <w:vAlign w:val="bottom"/>
          </w:tcPr>
          <w:p>
            <w:pPr>
              <w:ind w:left="60"/>
              <w:spacing w:after="0"/>
              <w:rPr>
                <w:sz w:val="20"/>
                <w:szCs w:val="20"/>
                <w:color w:val="auto"/>
              </w:rPr>
            </w:pPr>
            <w:r>
              <w:rPr>
                <w:rFonts w:ascii="Arial" w:cs="Arial" w:eastAsia="Arial" w:hAnsi="Arial"/>
                <w:sz w:val="18"/>
                <w:szCs w:val="18"/>
                <w:color w:val="auto"/>
              </w:rPr>
              <w:t>Power; Authorization; Enforceable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4.5</w:t>
            </w:r>
          </w:p>
        </w:tc>
        <w:tc>
          <w:tcPr>
            <w:tcW w:w="8100" w:type="dxa"/>
            <w:vAlign w:val="bottom"/>
          </w:tcPr>
          <w:p>
            <w:pPr>
              <w:ind w:left="60"/>
              <w:spacing w:after="0"/>
              <w:rPr>
                <w:sz w:val="20"/>
                <w:szCs w:val="20"/>
                <w:color w:val="auto"/>
              </w:rPr>
            </w:pPr>
            <w:r>
              <w:rPr>
                <w:rFonts w:ascii="Arial" w:cs="Arial" w:eastAsia="Arial" w:hAnsi="Arial"/>
                <w:sz w:val="18"/>
                <w:szCs w:val="18"/>
                <w:color w:val="auto"/>
              </w:rPr>
              <w:t>No Legal Bar</w:t>
            </w:r>
          </w:p>
        </w:tc>
        <w:tc>
          <w:tcPr>
            <w:tcW w:w="2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4.6</w:t>
            </w:r>
          </w:p>
        </w:tc>
        <w:tc>
          <w:tcPr>
            <w:tcW w:w="8100" w:type="dxa"/>
            <w:vAlign w:val="bottom"/>
          </w:tcPr>
          <w:p>
            <w:pPr>
              <w:ind w:left="60"/>
              <w:spacing w:after="0"/>
              <w:rPr>
                <w:sz w:val="20"/>
                <w:szCs w:val="20"/>
                <w:color w:val="auto"/>
              </w:rPr>
            </w:pPr>
            <w:r>
              <w:rPr>
                <w:rFonts w:ascii="Arial" w:cs="Arial" w:eastAsia="Arial" w:hAnsi="Arial"/>
                <w:sz w:val="18"/>
                <w:szCs w:val="18"/>
                <w:color w:val="auto"/>
              </w:rPr>
              <w:t>No Material Litigation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4.7</w:t>
            </w:r>
          </w:p>
        </w:tc>
        <w:tc>
          <w:tcPr>
            <w:tcW w:w="810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4.8</w:t>
            </w:r>
          </w:p>
        </w:tc>
        <w:tc>
          <w:tcPr>
            <w:tcW w:w="8100" w:type="dxa"/>
            <w:vAlign w:val="bottom"/>
          </w:tcPr>
          <w:p>
            <w:pPr>
              <w:ind w:left="60"/>
              <w:spacing w:after="0"/>
              <w:rPr>
                <w:sz w:val="20"/>
                <w:szCs w:val="20"/>
                <w:color w:val="auto"/>
              </w:rPr>
            </w:pPr>
            <w:r>
              <w:rPr>
                <w:rFonts w:ascii="Arial" w:cs="Arial" w:eastAsia="Arial" w:hAnsi="Arial"/>
                <w:sz w:val="18"/>
                <w:szCs w:val="18"/>
                <w:color w:val="auto"/>
              </w:rPr>
              <w:t>Ownership of Property; Liens</w:t>
            </w:r>
          </w:p>
        </w:tc>
        <w:tc>
          <w:tcPr>
            <w:tcW w:w="2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4.9</w:t>
            </w:r>
          </w:p>
        </w:tc>
        <w:tc>
          <w:tcPr>
            <w:tcW w:w="810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2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4.10</w:t>
            </w:r>
          </w:p>
        </w:tc>
        <w:tc>
          <w:tcPr>
            <w:tcW w:w="8100" w:type="dxa"/>
            <w:vAlign w:val="bottom"/>
          </w:tcPr>
          <w:p>
            <w:pPr>
              <w:ind w:left="60"/>
              <w:spacing w:after="0"/>
              <w:rPr>
                <w:sz w:val="20"/>
                <w:szCs w:val="20"/>
                <w:color w:val="auto"/>
              </w:rPr>
            </w:pPr>
            <w:r>
              <w:rPr>
                <w:rFonts w:ascii="Arial" w:cs="Arial" w:eastAsia="Arial" w:hAnsi="Arial"/>
                <w:sz w:val="18"/>
                <w:szCs w:val="18"/>
                <w:color w:val="auto"/>
              </w:rPr>
              <w:t>Taxes</w:t>
            </w:r>
          </w:p>
        </w:tc>
        <w:tc>
          <w:tcPr>
            <w:tcW w:w="2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4.11</w:t>
            </w:r>
          </w:p>
        </w:tc>
        <w:tc>
          <w:tcPr>
            <w:tcW w:w="8100" w:type="dxa"/>
            <w:vAlign w:val="bottom"/>
          </w:tcPr>
          <w:p>
            <w:pPr>
              <w:ind w:left="60"/>
              <w:spacing w:after="0"/>
              <w:rPr>
                <w:sz w:val="20"/>
                <w:szCs w:val="20"/>
                <w:color w:val="auto"/>
              </w:rPr>
            </w:pPr>
            <w:r>
              <w:rPr>
                <w:rFonts w:ascii="Arial" w:cs="Arial" w:eastAsia="Arial" w:hAnsi="Arial"/>
                <w:sz w:val="18"/>
                <w:szCs w:val="18"/>
                <w:color w:val="auto"/>
              </w:rPr>
              <w:t>Federal Regulations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4.12</w:t>
            </w:r>
          </w:p>
        </w:tc>
        <w:tc>
          <w:tcPr>
            <w:tcW w:w="8100" w:type="dxa"/>
            <w:vAlign w:val="bottom"/>
          </w:tcPr>
          <w:p>
            <w:pPr>
              <w:ind w:left="60"/>
              <w:spacing w:after="0"/>
              <w:rPr>
                <w:sz w:val="20"/>
                <w:szCs w:val="20"/>
                <w:color w:val="auto"/>
              </w:rPr>
            </w:pPr>
            <w:r>
              <w:rPr>
                <w:rFonts w:ascii="Arial" w:cs="Arial" w:eastAsia="Arial" w:hAnsi="Arial"/>
                <w:sz w:val="18"/>
                <w:szCs w:val="18"/>
                <w:color w:val="auto"/>
              </w:rPr>
              <w:t>Labor Matters and Acts of God</w:t>
            </w:r>
          </w:p>
        </w:tc>
        <w:tc>
          <w:tcPr>
            <w:tcW w:w="2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4.13</w:t>
            </w:r>
          </w:p>
        </w:tc>
        <w:tc>
          <w:tcPr>
            <w:tcW w:w="8100" w:type="dxa"/>
            <w:vAlign w:val="bottom"/>
          </w:tcPr>
          <w:p>
            <w:pPr>
              <w:ind w:left="60"/>
              <w:spacing w:after="0"/>
              <w:rPr>
                <w:sz w:val="20"/>
                <w:szCs w:val="20"/>
                <w:color w:val="auto"/>
              </w:rPr>
            </w:pPr>
            <w:r>
              <w:rPr>
                <w:rFonts w:ascii="Arial" w:cs="Arial" w:eastAsia="Arial" w:hAnsi="Arial"/>
                <w:sz w:val="18"/>
                <w:szCs w:val="18"/>
                <w:color w:val="auto"/>
              </w:rPr>
              <w:t>ERISA</w:t>
            </w:r>
          </w:p>
        </w:tc>
        <w:tc>
          <w:tcPr>
            <w:tcW w:w="2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4.14</w:t>
            </w:r>
          </w:p>
        </w:tc>
        <w:tc>
          <w:tcPr>
            <w:tcW w:w="8100" w:type="dxa"/>
            <w:vAlign w:val="bottom"/>
          </w:tcPr>
          <w:p>
            <w:pPr>
              <w:ind w:left="60"/>
              <w:spacing w:after="0"/>
              <w:rPr>
                <w:sz w:val="20"/>
                <w:szCs w:val="20"/>
                <w:color w:val="auto"/>
              </w:rPr>
            </w:pPr>
            <w:r>
              <w:rPr>
                <w:rFonts w:ascii="Arial" w:cs="Arial" w:eastAsia="Arial" w:hAnsi="Arial"/>
                <w:sz w:val="18"/>
                <w:szCs w:val="18"/>
                <w:color w:val="auto"/>
              </w:rPr>
              <w:t>Investment Company Act; Other Regulations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4.15</w:t>
            </w:r>
          </w:p>
        </w:tc>
        <w:tc>
          <w:tcPr>
            <w:tcW w:w="810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4.16</w:t>
            </w:r>
          </w:p>
        </w:tc>
        <w:tc>
          <w:tcPr>
            <w:tcW w:w="8100" w:type="dxa"/>
            <w:vAlign w:val="bottom"/>
          </w:tcPr>
          <w:p>
            <w:pPr>
              <w:ind w:left="60"/>
              <w:spacing w:after="0"/>
              <w:rPr>
                <w:sz w:val="20"/>
                <w:szCs w:val="20"/>
                <w:color w:val="auto"/>
              </w:rPr>
            </w:pPr>
            <w:r>
              <w:rPr>
                <w:rFonts w:ascii="Arial" w:cs="Arial" w:eastAsia="Arial" w:hAnsi="Arial"/>
                <w:sz w:val="18"/>
                <w:szCs w:val="18"/>
                <w:color w:val="auto"/>
              </w:rPr>
              <w:t>Use of Proceeds; Letters of Credit</w:t>
            </w:r>
          </w:p>
        </w:tc>
        <w:tc>
          <w:tcPr>
            <w:tcW w:w="2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4.17</w:t>
            </w:r>
          </w:p>
        </w:tc>
        <w:tc>
          <w:tcPr>
            <w:tcW w:w="81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4.18</w:t>
            </w:r>
          </w:p>
        </w:tc>
        <w:tc>
          <w:tcPr>
            <w:tcW w:w="8100" w:type="dxa"/>
            <w:vAlign w:val="bottom"/>
          </w:tcPr>
          <w:p>
            <w:pPr>
              <w:ind w:left="60"/>
              <w:spacing w:after="0"/>
              <w:rPr>
                <w:sz w:val="20"/>
                <w:szCs w:val="20"/>
                <w:color w:val="auto"/>
              </w:rPr>
            </w:pPr>
            <w:r>
              <w:rPr>
                <w:rFonts w:ascii="Arial" w:cs="Arial" w:eastAsia="Arial" w:hAnsi="Arial"/>
                <w:sz w:val="18"/>
                <w:szCs w:val="18"/>
                <w:color w:val="auto"/>
              </w:rPr>
              <w:t>Accuracy of Information, etc.</w:t>
            </w:r>
          </w:p>
        </w:tc>
        <w:tc>
          <w:tcPr>
            <w:tcW w:w="2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4.19</w:t>
            </w:r>
          </w:p>
        </w:tc>
        <w:tc>
          <w:tcPr>
            <w:tcW w:w="8100" w:type="dxa"/>
            <w:vAlign w:val="bottom"/>
          </w:tcPr>
          <w:p>
            <w:pPr>
              <w:ind w:left="60"/>
              <w:spacing w:after="0"/>
              <w:rPr>
                <w:sz w:val="20"/>
                <w:szCs w:val="20"/>
                <w:color w:val="auto"/>
              </w:rPr>
            </w:pPr>
            <w:r>
              <w:rPr>
                <w:rFonts w:ascii="Arial" w:cs="Arial" w:eastAsia="Arial" w:hAnsi="Arial"/>
                <w:sz w:val="18"/>
                <w:szCs w:val="18"/>
                <w:color w:val="auto"/>
              </w:rPr>
              <w:t>Security Documents</w:t>
            </w:r>
          </w:p>
        </w:tc>
        <w:tc>
          <w:tcPr>
            <w:tcW w:w="2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4.20</w:t>
            </w:r>
          </w:p>
        </w:tc>
        <w:tc>
          <w:tcPr>
            <w:tcW w:w="8100" w:type="dxa"/>
            <w:vAlign w:val="bottom"/>
          </w:tcPr>
          <w:p>
            <w:pPr>
              <w:ind w:left="60"/>
              <w:spacing w:after="0"/>
              <w:rPr>
                <w:sz w:val="20"/>
                <w:szCs w:val="20"/>
                <w:color w:val="auto"/>
              </w:rPr>
            </w:pPr>
            <w:r>
              <w:rPr>
                <w:rFonts w:ascii="Arial" w:cs="Arial" w:eastAsia="Arial" w:hAnsi="Arial"/>
                <w:sz w:val="18"/>
                <w:szCs w:val="18"/>
                <w:color w:val="auto"/>
              </w:rPr>
              <w:t>Solvency</w:t>
            </w:r>
          </w:p>
        </w:tc>
        <w:tc>
          <w:tcPr>
            <w:tcW w:w="2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4.21</w:t>
            </w:r>
          </w:p>
        </w:tc>
        <w:tc>
          <w:tcPr>
            <w:tcW w:w="8100" w:type="dxa"/>
            <w:vAlign w:val="bottom"/>
          </w:tcPr>
          <w:p>
            <w:pPr>
              <w:ind w:left="60"/>
              <w:spacing w:after="0"/>
              <w:rPr>
                <w:sz w:val="20"/>
                <w:szCs w:val="20"/>
                <w:color w:val="auto"/>
              </w:rPr>
            </w:pPr>
            <w:r>
              <w:rPr>
                <w:rFonts w:ascii="Arial" w:cs="Arial" w:eastAsia="Arial" w:hAnsi="Arial"/>
                <w:sz w:val="18"/>
                <w:szCs w:val="18"/>
                <w:color w:val="auto"/>
              </w:rPr>
              <w:t>Senior Indebtedness</w:t>
            </w:r>
          </w:p>
        </w:tc>
        <w:tc>
          <w:tcPr>
            <w:tcW w:w="2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4.22</w:t>
            </w:r>
          </w:p>
        </w:tc>
        <w:tc>
          <w:tcPr>
            <w:tcW w:w="8100" w:type="dxa"/>
            <w:vAlign w:val="bottom"/>
          </w:tcPr>
          <w:p>
            <w:pPr>
              <w:ind w:left="60"/>
              <w:spacing w:after="0"/>
              <w:rPr>
                <w:sz w:val="20"/>
                <w:szCs w:val="20"/>
                <w:color w:val="auto"/>
              </w:rPr>
            </w:pPr>
            <w:r>
              <w:rPr>
                <w:rFonts w:ascii="Arial" w:cs="Arial" w:eastAsia="Arial" w:hAnsi="Arial"/>
                <w:sz w:val="18"/>
                <w:szCs w:val="18"/>
                <w:color w:val="auto"/>
              </w:rPr>
              <w:t>Regulation H</w:t>
            </w:r>
          </w:p>
        </w:tc>
        <w:tc>
          <w:tcPr>
            <w:tcW w:w="2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4.23</w:t>
            </w:r>
          </w:p>
        </w:tc>
        <w:tc>
          <w:tcPr>
            <w:tcW w:w="81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4.24</w:t>
            </w:r>
          </w:p>
        </w:tc>
        <w:tc>
          <w:tcPr>
            <w:tcW w:w="8100" w:type="dxa"/>
            <w:vAlign w:val="bottom"/>
          </w:tcPr>
          <w:p>
            <w:pPr>
              <w:ind w:left="60"/>
              <w:spacing w:after="0"/>
              <w:rPr>
                <w:sz w:val="20"/>
                <w:szCs w:val="20"/>
                <w:color w:val="auto"/>
              </w:rPr>
            </w:pPr>
            <w:r>
              <w:rPr>
                <w:rFonts w:ascii="Arial" w:cs="Arial" w:eastAsia="Arial" w:hAnsi="Arial"/>
                <w:sz w:val="18"/>
                <w:szCs w:val="18"/>
                <w:color w:val="auto"/>
              </w:rPr>
              <w:t>Performance of Agreements; Material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4.25</w:t>
            </w:r>
          </w:p>
        </w:tc>
        <w:tc>
          <w:tcPr>
            <w:tcW w:w="8100" w:type="dxa"/>
            <w:vAlign w:val="bottom"/>
          </w:tcPr>
          <w:p>
            <w:pPr>
              <w:ind w:left="60"/>
              <w:spacing w:after="0"/>
              <w:rPr>
                <w:sz w:val="20"/>
                <w:szCs w:val="20"/>
                <w:color w:val="auto"/>
              </w:rPr>
            </w:pPr>
            <w:r>
              <w:rPr>
                <w:rFonts w:ascii="Arial" w:cs="Arial" w:eastAsia="Arial" w:hAnsi="Arial"/>
                <w:sz w:val="18"/>
                <w:szCs w:val="18"/>
                <w:color w:val="auto"/>
              </w:rPr>
              <w:t>Real Estate</w:t>
            </w:r>
          </w:p>
        </w:tc>
        <w:tc>
          <w:tcPr>
            <w:tcW w:w="2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4.26</w:t>
            </w:r>
          </w:p>
        </w:tc>
        <w:tc>
          <w:tcPr>
            <w:tcW w:w="8100" w:type="dxa"/>
            <w:vAlign w:val="bottom"/>
          </w:tcPr>
          <w:p>
            <w:pPr>
              <w:ind w:left="60"/>
              <w:spacing w:after="0"/>
              <w:rPr>
                <w:sz w:val="20"/>
                <w:szCs w:val="20"/>
                <w:color w:val="auto"/>
              </w:rPr>
            </w:pPr>
            <w:r>
              <w:rPr>
                <w:rFonts w:ascii="Arial" w:cs="Arial" w:eastAsia="Arial" w:hAnsi="Arial"/>
                <w:sz w:val="18"/>
                <w:szCs w:val="18"/>
                <w:color w:val="auto"/>
              </w:rPr>
              <w:t>Permits</w:t>
            </w:r>
          </w:p>
        </w:tc>
        <w:tc>
          <w:tcPr>
            <w:tcW w:w="2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4.27</w:t>
            </w:r>
          </w:p>
        </w:tc>
        <w:tc>
          <w:tcPr>
            <w:tcW w:w="8100" w:type="dxa"/>
            <w:vAlign w:val="bottom"/>
          </w:tcPr>
          <w:p>
            <w:pPr>
              <w:ind w:left="60"/>
              <w:spacing w:after="0"/>
              <w:rPr>
                <w:sz w:val="20"/>
                <w:szCs w:val="20"/>
                <w:color w:val="auto"/>
              </w:rPr>
            </w:pPr>
            <w:r>
              <w:rPr>
                <w:rFonts w:ascii="Arial" w:cs="Arial" w:eastAsia="Arial" w:hAnsi="Arial"/>
                <w:sz w:val="18"/>
                <w:szCs w:val="18"/>
                <w:color w:val="auto"/>
              </w:rPr>
              <w:t>Sufficiency of Interests</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4.28</w:t>
            </w:r>
          </w:p>
        </w:tc>
        <w:tc>
          <w:tcPr>
            <w:tcW w:w="8100" w:type="dxa"/>
            <w:vAlign w:val="bottom"/>
          </w:tcPr>
          <w:p>
            <w:pPr>
              <w:ind w:left="60"/>
              <w:spacing w:after="0"/>
              <w:rPr>
                <w:sz w:val="20"/>
                <w:szCs w:val="20"/>
                <w:color w:val="auto"/>
              </w:rPr>
            </w:pPr>
            <w:r>
              <w:rPr>
                <w:rFonts w:ascii="Arial" w:cs="Arial" w:eastAsia="Arial" w:hAnsi="Arial"/>
                <w:sz w:val="18"/>
                <w:szCs w:val="18"/>
                <w:color w:val="auto"/>
              </w:rPr>
              <w:t>Utilities</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4.29</w:t>
            </w:r>
          </w:p>
        </w:tc>
        <w:tc>
          <w:tcPr>
            <w:tcW w:w="810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4.30</w:t>
            </w:r>
          </w:p>
        </w:tc>
        <w:tc>
          <w:tcPr>
            <w:tcW w:w="8100" w:type="dxa"/>
            <w:vAlign w:val="bottom"/>
          </w:tcPr>
          <w:p>
            <w:pPr>
              <w:ind w:left="60"/>
              <w:spacing w:after="0"/>
              <w:rPr>
                <w:sz w:val="20"/>
                <w:szCs w:val="20"/>
                <w:color w:val="auto"/>
              </w:rPr>
            </w:pPr>
            <w:r>
              <w:rPr>
                <w:rFonts w:ascii="Arial" w:cs="Arial" w:eastAsia="Arial" w:hAnsi="Arial"/>
                <w:sz w:val="18"/>
                <w:szCs w:val="18"/>
                <w:color w:val="auto"/>
              </w:rPr>
              <w:t>Patriot Act</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00" w:type="dxa"/>
            <w:vAlign w:val="bottom"/>
          </w:tcPr>
          <w:p>
            <w:pPr>
              <w:ind w:left="20"/>
              <w:spacing w:after="0"/>
              <w:rPr>
                <w:sz w:val="20"/>
                <w:szCs w:val="20"/>
                <w:color w:val="auto"/>
              </w:rPr>
            </w:pPr>
            <w:r>
              <w:rPr>
                <w:rFonts w:ascii="Arial" w:cs="Arial" w:eastAsia="Arial" w:hAnsi="Arial"/>
                <w:sz w:val="18"/>
                <w:szCs w:val="18"/>
                <w:color w:val="auto"/>
              </w:rPr>
              <w:t>5. CONDITIONS PRECEDENT</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5.1</w:t>
            </w:r>
          </w:p>
        </w:tc>
        <w:tc>
          <w:tcPr>
            <w:tcW w:w="810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5.2</w:t>
            </w:r>
          </w:p>
        </w:tc>
        <w:tc>
          <w:tcPr>
            <w:tcW w:w="8100" w:type="dxa"/>
            <w:vAlign w:val="bottom"/>
          </w:tcPr>
          <w:p>
            <w:pPr>
              <w:ind w:left="60"/>
              <w:spacing w:after="0"/>
              <w:rPr>
                <w:sz w:val="20"/>
                <w:szCs w:val="20"/>
                <w:color w:val="auto"/>
              </w:rPr>
            </w:pPr>
            <w:r>
              <w:rPr>
                <w:rFonts w:ascii="Arial" w:cs="Arial" w:eastAsia="Arial" w:hAnsi="Arial"/>
                <w:sz w:val="18"/>
                <w:szCs w:val="18"/>
                <w:color w:val="auto"/>
              </w:rPr>
              <w:t>Conditions to Extensions of Credit Pursuant to Section 2.5(a) or 3.2(a)</w:t>
            </w:r>
          </w:p>
        </w:tc>
        <w:tc>
          <w:tcPr>
            <w:tcW w:w="2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5.3</w:t>
            </w:r>
          </w:p>
        </w:tc>
        <w:tc>
          <w:tcPr>
            <w:tcW w:w="8100" w:type="dxa"/>
            <w:vAlign w:val="bottom"/>
          </w:tcPr>
          <w:p>
            <w:pPr>
              <w:ind w:left="60"/>
              <w:spacing w:after="0"/>
              <w:rPr>
                <w:sz w:val="20"/>
                <w:szCs w:val="20"/>
                <w:color w:val="auto"/>
              </w:rPr>
            </w:pPr>
            <w:r>
              <w:rPr>
                <w:rFonts w:ascii="Arial" w:cs="Arial" w:eastAsia="Arial" w:hAnsi="Arial"/>
                <w:sz w:val="18"/>
                <w:szCs w:val="18"/>
                <w:color w:val="auto"/>
              </w:rPr>
              <w:t>Conditions to Extensions of Credit Requested Pursuant to Section 2.5(b) or 3.2(b)</w:t>
            </w:r>
          </w:p>
        </w:tc>
        <w:tc>
          <w:tcPr>
            <w:tcW w:w="2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5.4</w:t>
            </w:r>
          </w:p>
        </w:tc>
        <w:tc>
          <w:tcPr>
            <w:tcW w:w="8100" w:type="dxa"/>
            <w:vAlign w:val="bottom"/>
          </w:tcPr>
          <w:p>
            <w:pPr>
              <w:ind w:left="60"/>
              <w:spacing w:after="0"/>
              <w:rPr>
                <w:sz w:val="20"/>
                <w:szCs w:val="20"/>
                <w:color w:val="auto"/>
              </w:rPr>
            </w:pPr>
            <w:r>
              <w:rPr>
                <w:rFonts w:ascii="Arial" w:cs="Arial" w:eastAsia="Arial" w:hAnsi="Arial"/>
                <w:sz w:val="18"/>
                <w:szCs w:val="18"/>
                <w:color w:val="auto"/>
              </w:rPr>
              <w:t>Conditions to Amended and Restated Effective Date</w:t>
            </w:r>
          </w:p>
        </w:tc>
        <w:tc>
          <w:tcPr>
            <w:tcW w:w="2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100" w:type="dxa"/>
            <w:vAlign w:val="bottom"/>
          </w:tcPr>
          <w:p>
            <w:pPr>
              <w:ind w:left="20"/>
              <w:spacing w:after="0"/>
              <w:rPr>
                <w:sz w:val="20"/>
                <w:szCs w:val="20"/>
                <w:color w:val="auto"/>
              </w:rPr>
            </w:pPr>
            <w:r>
              <w:rPr>
                <w:rFonts w:ascii="Arial" w:cs="Arial" w:eastAsia="Arial" w:hAnsi="Arial"/>
                <w:sz w:val="18"/>
                <w:szCs w:val="18"/>
                <w:color w:val="auto"/>
              </w:rPr>
              <w:t>6. AFFIRMATIVE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6.1</w:t>
            </w:r>
          </w:p>
        </w:tc>
        <w:tc>
          <w:tcPr>
            <w:tcW w:w="81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6.2</w:t>
            </w:r>
          </w:p>
        </w:tc>
        <w:tc>
          <w:tcPr>
            <w:tcW w:w="810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6.3</w:t>
            </w:r>
          </w:p>
        </w:tc>
        <w:tc>
          <w:tcPr>
            <w:tcW w:w="8100" w:type="dxa"/>
            <w:vAlign w:val="bottom"/>
          </w:tcPr>
          <w:p>
            <w:pPr>
              <w:ind w:left="60"/>
              <w:spacing w:after="0"/>
              <w:rPr>
                <w:sz w:val="20"/>
                <w:szCs w:val="20"/>
                <w:color w:val="auto"/>
              </w:rPr>
            </w:pPr>
            <w:r>
              <w:rPr>
                <w:rFonts w:ascii="Arial" w:cs="Arial" w:eastAsia="Arial" w:hAnsi="Arial"/>
                <w:sz w:val="18"/>
                <w:szCs w:val="18"/>
                <w:color w:val="auto"/>
              </w:rPr>
              <w:t>Payment of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6.4</w:t>
            </w:r>
          </w:p>
        </w:tc>
        <w:tc>
          <w:tcPr>
            <w:tcW w:w="8100" w:type="dxa"/>
            <w:vAlign w:val="bottom"/>
          </w:tcPr>
          <w:p>
            <w:pPr>
              <w:ind w:left="60"/>
              <w:spacing w:after="0"/>
              <w:rPr>
                <w:sz w:val="20"/>
                <w:szCs w:val="20"/>
                <w:color w:val="auto"/>
              </w:rPr>
            </w:pPr>
            <w:r>
              <w:rPr>
                <w:rFonts w:ascii="Arial" w:cs="Arial" w:eastAsia="Arial" w:hAnsi="Arial"/>
                <w:sz w:val="18"/>
                <w:szCs w:val="18"/>
                <w:color w:val="auto"/>
              </w:rPr>
              <w:t>Conduct of Business and Maintenance of Existence, etc.</w:t>
            </w:r>
          </w:p>
        </w:tc>
        <w:tc>
          <w:tcPr>
            <w:tcW w:w="2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6.5</w:t>
            </w:r>
          </w:p>
        </w:tc>
        <w:tc>
          <w:tcPr>
            <w:tcW w:w="8100" w:type="dxa"/>
            <w:vAlign w:val="bottom"/>
          </w:tcPr>
          <w:p>
            <w:pPr>
              <w:ind w:left="60"/>
              <w:spacing w:after="0"/>
              <w:rPr>
                <w:sz w:val="20"/>
                <w:szCs w:val="20"/>
                <w:color w:val="auto"/>
              </w:rPr>
            </w:pPr>
            <w:r>
              <w:rPr>
                <w:rFonts w:ascii="Arial" w:cs="Arial" w:eastAsia="Arial" w:hAnsi="Arial"/>
                <w:sz w:val="18"/>
                <w:szCs w:val="18"/>
                <w:color w:val="auto"/>
              </w:rPr>
              <w:t>Maintenance of Property; Leases;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6.6</w:t>
            </w:r>
          </w:p>
        </w:tc>
        <w:tc>
          <w:tcPr>
            <w:tcW w:w="8100" w:type="dxa"/>
            <w:vAlign w:val="bottom"/>
          </w:tcPr>
          <w:p>
            <w:pPr>
              <w:ind w:left="60"/>
              <w:spacing w:after="0"/>
              <w:rPr>
                <w:sz w:val="20"/>
                <w:szCs w:val="20"/>
                <w:color w:val="auto"/>
              </w:rPr>
            </w:pPr>
            <w:r>
              <w:rPr>
                <w:rFonts w:ascii="Arial" w:cs="Arial" w:eastAsia="Arial" w:hAnsi="Arial"/>
                <w:sz w:val="18"/>
                <w:szCs w:val="18"/>
                <w:color w:val="auto"/>
              </w:rPr>
              <w:t>Inspection of Property; Books and Records; Discussions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6.7</w:t>
            </w:r>
          </w:p>
        </w:tc>
        <w:tc>
          <w:tcPr>
            <w:tcW w:w="810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6.8</w:t>
            </w:r>
          </w:p>
        </w:tc>
        <w:tc>
          <w:tcPr>
            <w:tcW w:w="8100" w:type="dxa"/>
            <w:vAlign w:val="bottom"/>
          </w:tcPr>
          <w:p>
            <w:pPr>
              <w:ind w:left="60"/>
              <w:spacing w:after="0"/>
              <w:rPr>
                <w:sz w:val="20"/>
                <w:szCs w:val="20"/>
                <w:color w:val="auto"/>
              </w:rPr>
            </w:pPr>
            <w:r>
              <w:rPr>
                <w:rFonts w:ascii="Arial" w:cs="Arial" w:eastAsia="Arial" w:hAnsi="Arial"/>
                <w:sz w:val="18"/>
                <w:szCs w:val="18"/>
                <w:color w:val="auto"/>
              </w:rPr>
              <w:t>Environmental Laws; Permits</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8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6.9</w:t>
            </w:r>
          </w:p>
        </w:tc>
        <w:tc>
          <w:tcPr>
            <w:tcW w:w="8300" w:type="dxa"/>
            <w:vAlign w:val="bottom"/>
          </w:tcPr>
          <w:p>
            <w:pPr>
              <w:ind w:left="60"/>
              <w:spacing w:after="0"/>
              <w:rPr>
                <w:sz w:val="20"/>
                <w:szCs w:val="20"/>
                <w:color w:val="auto"/>
              </w:rPr>
            </w:pPr>
            <w:r>
              <w:rPr>
                <w:rFonts w:ascii="Arial" w:cs="Arial" w:eastAsia="Arial" w:hAnsi="Arial"/>
                <w:sz w:val="18"/>
                <w:szCs w:val="18"/>
                <w:color w:val="auto"/>
              </w:rPr>
              <w:t>Dissolution of the Completion Guarantor</w:t>
            </w:r>
          </w:p>
        </w:tc>
        <w:tc>
          <w:tcPr>
            <w:tcW w:w="2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6.10</w:t>
            </w:r>
          </w:p>
        </w:tc>
        <w:tc>
          <w:tcPr>
            <w:tcW w:w="8300" w:type="dxa"/>
            <w:vAlign w:val="bottom"/>
          </w:tcPr>
          <w:p>
            <w:pPr>
              <w:ind w:left="60"/>
              <w:spacing w:after="0"/>
              <w:rPr>
                <w:sz w:val="20"/>
                <w:szCs w:val="20"/>
                <w:color w:val="auto"/>
              </w:rPr>
            </w:pPr>
            <w:r>
              <w:rPr>
                <w:rFonts w:ascii="Arial" w:cs="Arial" w:eastAsia="Arial" w:hAnsi="Arial"/>
                <w:sz w:val="18"/>
                <w:szCs w:val="18"/>
                <w:color w:val="auto"/>
              </w:rPr>
              <w:t>Additional Collateral, Discharge of Liens, etc.</w:t>
            </w:r>
          </w:p>
        </w:tc>
        <w:tc>
          <w:tcPr>
            <w:tcW w:w="2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6.11</w:t>
            </w:r>
          </w:p>
        </w:tc>
        <w:tc>
          <w:tcPr>
            <w:tcW w:w="8300" w:type="dxa"/>
            <w:vAlign w:val="bottom"/>
          </w:tcPr>
          <w:p>
            <w:pPr>
              <w:ind w:left="60"/>
              <w:spacing w:after="0"/>
              <w:rPr>
                <w:sz w:val="20"/>
                <w:szCs w:val="20"/>
                <w:color w:val="auto"/>
              </w:rPr>
            </w:pPr>
            <w:r>
              <w:rPr>
                <w:rFonts w:ascii="Arial" w:cs="Arial" w:eastAsia="Arial" w:hAnsi="Arial"/>
                <w:sz w:val="18"/>
                <w:szCs w:val="18"/>
                <w:color w:val="auto"/>
              </w:rPr>
              <w:t>Use of Proceeds and Revenues</w:t>
            </w:r>
          </w:p>
        </w:tc>
        <w:tc>
          <w:tcPr>
            <w:tcW w:w="2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6.12</w:t>
            </w:r>
          </w:p>
        </w:tc>
        <w:tc>
          <w:tcPr>
            <w:tcW w:w="8300" w:type="dxa"/>
            <w:vAlign w:val="bottom"/>
          </w:tcPr>
          <w:p>
            <w:pPr>
              <w:ind w:left="60"/>
              <w:spacing w:after="0"/>
              <w:rPr>
                <w:sz w:val="20"/>
                <w:szCs w:val="20"/>
                <w:color w:val="auto"/>
              </w:rPr>
            </w:pPr>
            <w:r>
              <w:rPr>
                <w:rFonts w:ascii="Arial" w:cs="Arial" w:eastAsia="Arial" w:hAnsi="Arial"/>
                <w:sz w:val="18"/>
                <w:szCs w:val="18"/>
                <w:color w:val="auto"/>
              </w:rPr>
              <w:t>Compliance with Laws, Project Documents, etc.; Permits</w:t>
            </w:r>
          </w:p>
        </w:tc>
        <w:tc>
          <w:tcPr>
            <w:tcW w:w="2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6.13</w:t>
            </w:r>
          </w:p>
        </w:tc>
        <w:tc>
          <w:tcPr>
            <w:tcW w:w="83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00" w:type="dxa"/>
            <w:vAlign w:val="bottom"/>
          </w:tcPr>
          <w:p>
            <w:pPr>
              <w:ind w:left="20"/>
              <w:spacing w:after="0"/>
              <w:rPr>
                <w:sz w:val="20"/>
                <w:szCs w:val="20"/>
                <w:color w:val="auto"/>
              </w:rPr>
            </w:pPr>
            <w:r>
              <w:rPr>
                <w:rFonts w:ascii="Arial" w:cs="Arial" w:eastAsia="Arial" w:hAnsi="Arial"/>
                <w:sz w:val="18"/>
                <w:szCs w:val="18"/>
                <w:color w:val="auto"/>
              </w:rPr>
              <w:t>7. NEGATIVE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7.1</w:t>
            </w:r>
          </w:p>
        </w:tc>
        <w:tc>
          <w:tcPr>
            <w:tcW w:w="8300" w:type="dxa"/>
            <w:vAlign w:val="bottom"/>
          </w:tcPr>
          <w:p>
            <w:pPr>
              <w:ind w:left="60"/>
              <w:spacing w:after="0"/>
              <w:rPr>
                <w:sz w:val="20"/>
                <w:szCs w:val="20"/>
                <w:color w:val="auto"/>
              </w:rPr>
            </w:pPr>
            <w:r>
              <w:rPr>
                <w:rFonts w:ascii="Arial" w:cs="Arial" w:eastAsia="Arial" w:hAnsi="Arial"/>
                <w:sz w:val="18"/>
                <w:szCs w:val="18"/>
                <w:color w:val="auto"/>
              </w:rPr>
              <w:t>Financial Condition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7.2</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Indebtedness</w:t>
            </w:r>
          </w:p>
        </w:tc>
        <w:tc>
          <w:tcPr>
            <w:tcW w:w="23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7.3</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23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7.4</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Fundamental Changes</w:t>
            </w:r>
          </w:p>
        </w:tc>
        <w:tc>
          <w:tcPr>
            <w:tcW w:w="2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7.5</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Disposition of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7.6</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Restricted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7.7</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Capital Expenditures</w:t>
            </w:r>
          </w:p>
        </w:tc>
        <w:tc>
          <w:tcPr>
            <w:tcW w:w="2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7.8</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Investments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7.9</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Optional Payments and Modifications of Governing Documents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7.10</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Transactions with Affiliates</w:t>
            </w:r>
          </w:p>
        </w:tc>
        <w:tc>
          <w:tcPr>
            <w:tcW w:w="23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7.11</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Sales and Leasebacks</w:t>
            </w:r>
          </w:p>
        </w:tc>
        <w:tc>
          <w:tcPr>
            <w:tcW w:w="2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7.12</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Changes in Fiscal Periods</w:t>
            </w:r>
          </w:p>
        </w:tc>
        <w:tc>
          <w:tcPr>
            <w:tcW w:w="2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7.13</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Negative Pledge Clauses</w:t>
            </w:r>
          </w:p>
        </w:tc>
        <w:tc>
          <w:tcPr>
            <w:tcW w:w="2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7.14</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Restrictions on Subsidiary Distributions, etc.</w:t>
            </w:r>
          </w:p>
        </w:tc>
        <w:tc>
          <w:tcPr>
            <w:tcW w:w="2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7.15</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Lines of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7.16</w:t>
            </w:r>
          </w:p>
        </w:tc>
        <w:tc>
          <w:tcPr>
            <w:tcW w:w="8300" w:type="dxa"/>
            <w:vAlign w:val="bottom"/>
          </w:tcPr>
          <w:p>
            <w:pPr>
              <w:ind w:left="60"/>
              <w:spacing w:after="0"/>
              <w:rPr>
                <w:sz w:val="20"/>
                <w:szCs w:val="20"/>
                <w:color w:val="auto"/>
              </w:rPr>
            </w:pPr>
            <w:r>
              <w:rPr>
                <w:rFonts w:ascii="Arial" w:cs="Arial" w:eastAsia="Arial" w:hAnsi="Arial"/>
                <w:sz w:val="18"/>
                <w:szCs w:val="18"/>
                <w:color w:val="auto"/>
              </w:rPr>
              <w:t>Restrictions on Changes</w:t>
            </w:r>
          </w:p>
        </w:tc>
        <w:tc>
          <w:tcPr>
            <w:tcW w:w="2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7.17</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Formation and Acquisition of Subsidiaries and Purchase of Capital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7.18</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Hedge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7.19</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Sale or Discount of Receivables</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7.20</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Zoning and Contract Changes and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7.21</w:t>
            </w:r>
          </w:p>
        </w:tc>
        <w:tc>
          <w:tcPr>
            <w:tcW w:w="8300" w:type="dxa"/>
            <w:vAlign w:val="bottom"/>
          </w:tcPr>
          <w:p>
            <w:pPr>
              <w:ind w:left="60"/>
              <w:spacing w:after="0"/>
              <w:rPr>
                <w:sz w:val="20"/>
                <w:szCs w:val="20"/>
                <w:color w:val="auto"/>
              </w:rPr>
            </w:pPr>
            <w:r>
              <w:rPr>
                <w:rFonts w:ascii="Arial" w:cs="Arial" w:eastAsia="Arial" w:hAnsi="Arial"/>
                <w:sz w:val="18"/>
                <w:szCs w:val="18"/>
                <w:color w:val="auto"/>
              </w:rPr>
              <w:t>No Joint Assessment; Separate Lots</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7.22</w:t>
            </w:r>
          </w:p>
        </w:tc>
        <w:tc>
          <w:tcPr>
            <w:tcW w:w="8300" w:type="dxa"/>
            <w:vAlign w:val="bottom"/>
          </w:tcPr>
          <w:p>
            <w:pPr>
              <w:ind w:left="60"/>
              <w:spacing w:after="0"/>
              <w:rPr>
                <w:sz w:val="20"/>
                <w:szCs w:val="20"/>
                <w:color w:val="auto"/>
              </w:rPr>
            </w:pPr>
            <w:r>
              <w:rPr>
                <w:rFonts w:ascii="Arial" w:cs="Arial" w:eastAsia="Arial" w:hAnsi="Arial"/>
                <w:sz w:val="18"/>
                <w:szCs w:val="18"/>
                <w:color w:val="auto"/>
              </w:rPr>
              <w:t>Restrictions on Payments of Management Fees</w:t>
            </w:r>
          </w:p>
        </w:tc>
        <w:tc>
          <w:tcPr>
            <w:tcW w:w="23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7.23</w:t>
            </w:r>
          </w:p>
        </w:tc>
        <w:tc>
          <w:tcPr>
            <w:tcW w:w="8300" w:type="dxa"/>
            <w:vAlign w:val="bottom"/>
          </w:tcPr>
          <w:p>
            <w:pPr>
              <w:ind w:left="60"/>
              <w:spacing w:after="0"/>
              <w:rPr>
                <w:sz w:val="20"/>
                <w:szCs w:val="20"/>
                <w:color w:val="auto"/>
              </w:rPr>
            </w:pPr>
            <w:r>
              <w:rPr>
                <w:rFonts w:ascii="Arial" w:cs="Arial" w:eastAsia="Arial" w:hAnsi="Arial"/>
                <w:sz w:val="18"/>
                <w:szCs w:val="18"/>
                <w:color w:val="auto"/>
              </w:rPr>
              <w:t>Project Costs for the Phase II Project</w:t>
            </w:r>
          </w:p>
        </w:tc>
        <w:tc>
          <w:tcPr>
            <w:tcW w:w="2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7.24</w:t>
            </w:r>
          </w:p>
        </w:tc>
        <w:tc>
          <w:tcPr>
            <w:tcW w:w="8300" w:type="dxa"/>
            <w:vAlign w:val="bottom"/>
          </w:tcPr>
          <w:p>
            <w:pPr>
              <w:ind w:left="60"/>
              <w:spacing w:after="0"/>
              <w:rPr>
                <w:sz w:val="20"/>
                <w:szCs w:val="20"/>
                <w:color w:val="auto"/>
              </w:rPr>
            </w:pPr>
            <w:r>
              <w:rPr>
                <w:rFonts w:ascii="Arial" w:cs="Arial" w:eastAsia="Arial" w:hAnsi="Arial"/>
                <w:sz w:val="18"/>
                <w:szCs w:val="18"/>
                <w:color w:val="auto"/>
              </w:rPr>
              <w:t>Permitted Activities of Wynn Resorts Holdings</w:t>
            </w:r>
          </w:p>
        </w:tc>
        <w:tc>
          <w:tcPr>
            <w:tcW w:w="2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7.25</w:t>
            </w:r>
          </w:p>
        </w:tc>
        <w:tc>
          <w:tcPr>
            <w:tcW w:w="8300" w:type="dxa"/>
            <w:vAlign w:val="bottom"/>
          </w:tcPr>
          <w:p>
            <w:pPr>
              <w:ind w:left="60"/>
              <w:spacing w:after="0"/>
              <w:rPr>
                <w:sz w:val="20"/>
                <w:szCs w:val="20"/>
                <w:color w:val="auto"/>
              </w:rPr>
            </w:pPr>
            <w:r>
              <w:rPr>
                <w:rFonts w:ascii="Arial" w:cs="Arial" w:eastAsia="Arial" w:hAnsi="Arial"/>
                <w:sz w:val="18"/>
                <w:szCs w:val="18"/>
                <w:color w:val="auto"/>
              </w:rPr>
              <w:t>Limitation on Golf Course Land and Golf Course Development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7.26</w:t>
            </w:r>
          </w:p>
        </w:tc>
        <w:tc>
          <w:tcPr>
            <w:tcW w:w="8300" w:type="dxa"/>
            <w:vAlign w:val="bottom"/>
          </w:tcPr>
          <w:p>
            <w:pPr>
              <w:ind w:left="60"/>
              <w:spacing w:after="0"/>
              <w:rPr>
                <w:sz w:val="20"/>
                <w:szCs w:val="20"/>
                <w:color w:val="auto"/>
              </w:rPr>
            </w:pPr>
            <w:r>
              <w:rPr>
                <w:rFonts w:ascii="Arial" w:cs="Arial" w:eastAsia="Arial" w:hAnsi="Arial"/>
                <w:sz w:val="18"/>
                <w:szCs w:val="18"/>
                <w:color w:val="auto"/>
              </w:rPr>
              <w:t>Acquisition of Real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7.27</w:t>
            </w:r>
          </w:p>
        </w:tc>
        <w:tc>
          <w:tcPr>
            <w:tcW w:w="8300" w:type="dxa"/>
            <w:vAlign w:val="bottom"/>
          </w:tcPr>
          <w:p>
            <w:pPr>
              <w:ind w:left="60"/>
              <w:spacing w:after="0"/>
              <w:rPr>
                <w:sz w:val="20"/>
                <w:szCs w:val="20"/>
                <w:color w:val="auto"/>
              </w:rPr>
            </w:pPr>
            <w:r>
              <w:rPr>
                <w:rFonts w:ascii="Arial" w:cs="Arial" w:eastAsia="Arial" w:hAnsi="Arial"/>
                <w:sz w:val="18"/>
                <w:szCs w:val="18"/>
                <w:color w:val="auto"/>
              </w:rPr>
              <w:t>Project Liquidity Reserve Account</w:t>
            </w:r>
          </w:p>
        </w:tc>
        <w:tc>
          <w:tcPr>
            <w:tcW w:w="2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7.28</w:t>
            </w:r>
          </w:p>
        </w:tc>
        <w:tc>
          <w:tcPr>
            <w:tcW w:w="8300" w:type="dxa"/>
            <w:vAlign w:val="bottom"/>
          </w:tcPr>
          <w:p>
            <w:pPr>
              <w:ind w:left="60"/>
              <w:spacing w:after="0"/>
              <w:rPr>
                <w:sz w:val="20"/>
                <w:szCs w:val="20"/>
                <w:color w:val="auto"/>
              </w:rPr>
            </w:pPr>
            <w:r>
              <w:rPr>
                <w:rFonts w:ascii="Arial" w:cs="Arial" w:eastAsia="Arial" w:hAnsi="Arial"/>
                <w:sz w:val="18"/>
                <w:szCs w:val="18"/>
                <w:color w:val="auto"/>
              </w:rPr>
              <w:t>Golf Course Lease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00" w:type="dxa"/>
            <w:vAlign w:val="bottom"/>
          </w:tcPr>
          <w:p>
            <w:pPr>
              <w:ind w:left="20"/>
              <w:spacing w:after="0"/>
              <w:rPr>
                <w:sz w:val="20"/>
                <w:szCs w:val="20"/>
                <w:color w:val="auto"/>
              </w:rPr>
            </w:pPr>
            <w:r>
              <w:rPr>
                <w:rFonts w:ascii="Arial" w:cs="Arial" w:eastAsia="Arial" w:hAnsi="Arial"/>
                <w:sz w:val="18"/>
                <w:szCs w:val="18"/>
                <w:color w:val="auto"/>
              </w:rPr>
              <w:t>8. 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8300" w:type="dxa"/>
            <w:vAlign w:val="bottom"/>
          </w:tcPr>
          <w:p>
            <w:pPr>
              <w:ind w:left="20"/>
              <w:spacing w:after="0"/>
              <w:rPr>
                <w:sz w:val="20"/>
                <w:szCs w:val="20"/>
                <w:color w:val="auto"/>
              </w:rPr>
            </w:pPr>
            <w:r>
              <w:rPr>
                <w:rFonts w:ascii="Arial" w:cs="Arial" w:eastAsia="Arial" w:hAnsi="Arial"/>
                <w:sz w:val="18"/>
                <w:szCs w:val="18"/>
                <w:color w:val="auto"/>
              </w:rPr>
              <w:t>9. THE AGENTS; THE ARRANGERs; THE MANAGERS</w:t>
            </w:r>
          </w:p>
        </w:tc>
        <w:tc>
          <w:tcPr>
            <w:tcW w:w="2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18"/>
        </w:trPr>
        <w:tc>
          <w:tcPr>
            <w:tcW w:w="780" w:type="dxa"/>
            <w:vAlign w:val="bottom"/>
          </w:tcPr>
          <w:p>
            <w:pPr>
              <w:ind w:left="440"/>
              <w:spacing w:after="0"/>
              <w:rPr>
                <w:sz w:val="20"/>
                <w:szCs w:val="20"/>
                <w:color w:val="auto"/>
              </w:rPr>
            </w:pPr>
            <w:r>
              <w:rPr>
                <w:rFonts w:ascii="Arial" w:cs="Arial" w:eastAsia="Arial" w:hAnsi="Arial"/>
                <w:sz w:val="18"/>
                <w:szCs w:val="18"/>
                <w:color w:val="auto"/>
              </w:rPr>
              <w:t>9.1</w:t>
            </w:r>
          </w:p>
        </w:tc>
        <w:tc>
          <w:tcPr>
            <w:tcW w:w="830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2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9.2</w:t>
            </w:r>
          </w:p>
        </w:tc>
        <w:tc>
          <w:tcPr>
            <w:tcW w:w="830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9.3</w:t>
            </w:r>
          </w:p>
        </w:tc>
        <w:tc>
          <w:tcPr>
            <w:tcW w:w="830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9.4</w:t>
            </w:r>
          </w:p>
        </w:tc>
        <w:tc>
          <w:tcPr>
            <w:tcW w:w="8300" w:type="dxa"/>
            <w:vAlign w:val="bottom"/>
          </w:tcPr>
          <w:p>
            <w:pPr>
              <w:ind w:left="60"/>
              <w:spacing w:after="0"/>
              <w:rPr>
                <w:sz w:val="20"/>
                <w:szCs w:val="20"/>
                <w:color w:val="auto"/>
              </w:rPr>
            </w:pPr>
            <w:r>
              <w:rPr>
                <w:rFonts w:ascii="Arial" w:cs="Arial" w:eastAsia="Arial" w:hAnsi="Arial"/>
                <w:sz w:val="18"/>
                <w:szCs w:val="18"/>
                <w:color w:val="auto"/>
              </w:rPr>
              <w:t>Reliance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9.5</w:t>
            </w:r>
          </w:p>
        </w:tc>
        <w:tc>
          <w:tcPr>
            <w:tcW w:w="8300" w:type="dxa"/>
            <w:vAlign w:val="bottom"/>
          </w:tcPr>
          <w:p>
            <w:pPr>
              <w:ind w:left="60"/>
              <w:spacing w:after="0"/>
              <w:rPr>
                <w:sz w:val="20"/>
                <w:szCs w:val="20"/>
                <w:color w:val="auto"/>
              </w:rPr>
            </w:pPr>
            <w:r>
              <w:rPr>
                <w:rFonts w:ascii="Arial" w:cs="Arial" w:eastAsia="Arial" w:hAnsi="Arial"/>
                <w:sz w:val="18"/>
                <w:szCs w:val="18"/>
                <w:color w:val="auto"/>
              </w:rPr>
              <w:t>Notice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9.6</w:t>
            </w:r>
          </w:p>
        </w:tc>
        <w:tc>
          <w:tcPr>
            <w:tcW w:w="8300" w:type="dxa"/>
            <w:vAlign w:val="bottom"/>
          </w:tcPr>
          <w:p>
            <w:pPr>
              <w:ind w:left="60"/>
              <w:spacing w:after="0"/>
              <w:rPr>
                <w:sz w:val="20"/>
                <w:szCs w:val="20"/>
                <w:color w:val="auto"/>
              </w:rPr>
            </w:pPr>
            <w:r>
              <w:rPr>
                <w:rFonts w:ascii="Arial" w:cs="Arial" w:eastAsia="Arial" w:hAnsi="Arial"/>
                <w:sz w:val="18"/>
                <w:szCs w:val="18"/>
                <w:color w:val="auto"/>
              </w:rPr>
              <w:t>Non-Reliance on Agents, Managers, Arrangers, Managing Agents and Other Lenders</w:t>
            </w:r>
          </w:p>
        </w:tc>
        <w:tc>
          <w:tcPr>
            <w:tcW w:w="2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9.7</w:t>
            </w:r>
          </w:p>
        </w:tc>
        <w:tc>
          <w:tcPr>
            <w:tcW w:w="83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9.8</w:t>
            </w:r>
          </w:p>
        </w:tc>
        <w:tc>
          <w:tcPr>
            <w:tcW w:w="8420" w:type="dxa"/>
            <w:vAlign w:val="bottom"/>
          </w:tcPr>
          <w:p>
            <w:pPr>
              <w:ind w:left="60"/>
              <w:spacing w:after="0"/>
              <w:rPr>
                <w:sz w:val="20"/>
                <w:szCs w:val="20"/>
                <w:color w:val="auto"/>
              </w:rPr>
            </w:pPr>
            <w:r>
              <w:rPr>
                <w:rFonts w:ascii="Arial" w:cs="Arial" w:eastAsia="Arial" w:hAnsi="Arial"/>
                <w:sz w:val="18"/>
                <w:szCs w:val="18"/>
                <w:color w:val="auto"/>
              </w:rPr>
              <w:t>Arrangers, Agents, Managing Agents and Managers in Their Individual Capacities</w:t>
            </w:r>
          </w:p>
        </w:tc>
        <w:tc>
          <w:tcPr>
            <w:tcW w:w="2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9.9</w:t>
            </w:r>
          </w:p>
        </w:tc>
        <w:tc>
          <w:tcPr>
            <w:tcW w:w="8420" w:type="dxa"/>
            <w:vAlign w:val="bottom"/>
          </w:tcPr>
          <w:p>
            <w:pPr>
              <w:ind w:left="60"/>
              <w:spacing w:after="0"/>
              <w:rPr>
                <w:sz w:val="20"/>
                <w:szCs w:val="20"/>
                <w:color w:val="auto"/>
              </w:rPr>
            </w:pPr>
            <w:r>
              <w:rPr>
                <w:rFonts w:ascii="Arial" w:cs="Arial" w:eastAsia="Arial" w:hAnsi="Arial"/>
                <w:sz w:val="18"/>
                <w:szCs w:val="18"/>
                <w:color w:val="auto"/>
              </w:rPr>
              <w:t>Successor Agents</w:t>
            </w:r>
          </w:p>
        </w:tc>
        <w:tc>
          <w:tcPr>
            <w:tcW w:w="2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9.10</w:t>
            </w:r>
          </w:p>
        </w:tc>
        <w:tc>
          <w:tcPr>
            <w:tcW w:w="842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9.11</w:t>
            </w:r>
          </w:p>
        </w:tc>
        <w:tc>
          <w:tcPr>
            <w:tcW w:w="8420" w:type="dxa"/>
            <w:vAlign w:val="bottom"/>
          </w:tcPr>
          <w:p>
            <w:pPr>
              <w:ind w:left="60"/>
              <w:spacing w:after="0"/>
              <w:rPr>
                <w:sz w:val="20"/>
                <w:szCs w:val="20"/>
                <w:color w:val="auto"/>
              </w:rPr>
            </w:pPr>
            <w:r>
              <w:rPr>
                <w:rFonts w:ascii="Arial" w:cs="Arial" w:eastAsia="Arial" w:hAnsi="Arial"/>
                <w:sz w:val="18"/>
                <w:szCs w:val="18"/>
                <w:color w:val="auto"/>
              </w:rPr>
              <w:t>The Arrangers, Managers, Managing Agents, Syndication Agent and Documentation Agents</w:t>
            </w:r>
          </w:p>
        </w:tc>
        <w:tc>
          <w:tcPr>
            <w:tcW w:w="2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9.12</w:t>
            </w:r>
          </w:p>
        </w:tc>
        <w:tc>
          <w:tcPr>
            <w:tcW w:w="8420" w:type="dxa"/>
            <w:vAlign w:val="bottom"/>
          </w:tcPr>
          <w:p>
            <w:pPr>
              <w:ind w:left="60"/>
              <w:spacing w:after="0"/>
              <w:rPr>
                <w:sz w:val="20"/>
                <w:szCs w:val="20"/>
                <w:color w:val="auto"/>
              </w:rPr>
            </w:pPr>
            <w:r>
              <w:rPr>
                <w:rFonts w:ascii="Arial" w:cs="Arial" w:eastAsia="Arial" w:hAnsi="Arial"/>
                <w:sz w:val="18"/>
                <w:szCs w:val="18"/>
                <w:color w:val="auto"/>
              </w:rPr>
              <w:t>Withholdings</w:t>
            </w:r>
          </w:p>
        </w:tc>
        <w:tc>
          <w:tcPr>
            <w:tcW w:w="2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10.1</w:t>
            </w:r>
          </w:p>
        </w:tc>
        <w:tc>
          <w:tcPr>
            <w:tcW w:w="842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2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10.2</w:t>
            </w:r>
          </w:p>
        </w:tc>
        <w:tc>
          <w:tcPr>
            <w:tcW w:w="8420" w:type="dxa"/>
            <w:vAlign w:val="bottom"/>
          </w:tcPr>
          <w:p>
            <w:pPr>
              <w:ind w:left="60"/>
              <w:spacing w:after="0"/>
              <w:rPr>
                <w:sz w:val="20"/>
                <w:szCs w:val="20"/>
                <w:color w:val="auto"/>
              </w:rPr>
            </w:pPr>
            <w:r>
              <w:rPr>
                <w:rFonts w:ascii="Arial" w:cs="Arial" w:eastAsia="Arial" w:hAnsi="Arial"/>
                <w:sz w:val="18"/>
                <w:szCs w:val="18"/>
                <w:color w:val="auto"/>
              </w:rPr>
              <w:t>Notices</w:t>
            </w:r>
          </w:p>
        </w:tc>
        <w:tc>
          <w:tcPr>
            <w:tcW w:w="2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10.3</w:t>
            </w:r>
          </w:p>
        </w:tc>
        <w:tc>
          <w:tcPr>
            <w:tcW w:w="8420" w:type="dxa"/>
            <w:vAlign w:val="bottom"/>
          </w:tcPr>
          <w:p>
            <w:pPr>
              <w:ind w:left="60"/>
              <w:spacing w:after="0"/>
              <w:rPr>
                <w:sz w:val="20"/>
                <w:szCs w:val="20"/>
                <w:color w:val="auto"/>
              </w:rPr>
            </w:pPr>
            <w:r>
              <w:rPr>
                <w:rFonts w:ascii="Arial" w:cs="Arial" w:eastAsia="Arial" w:hAnsi="Arial"/>
                <w:sz w:val="18"/>
                <w:szCs w:val="18"/>
                <w:color w:val="auto"/>
              </w:rPr>
              <w:t>No Waiver; Cumulative Remedies</w:t>
            </w:r>
          </w:p>
        </w:tc>
        <w:tc>
          <w:tcPr>
            <w:tcW w:w="2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10.4</w:t>
            </w:r>
          </w:p>
        </w:tc>
        <w:tc>
          <w:tcPr>
            <w:tcW w:w="842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10.5</w:t>
            </w:r>
          </w:p>
        </w:tc>
        <w:tc>
          <w:tcPr>
            <w:tcW w:w="8420" w:type="dxa"/>
            <w:vAlign w:val="bottom"/>
          </w:tcPr>
          <w:p>
            <w:pPr>
              <w:ind w:left="60"/>
              <w:spacing w:after="0"/>
              <w:rPr>
                <w:sz w:val="20"/>
                <w:szCs w:val="20"/>
                <w:color w:val="auto"/>
              </w:rPr>
            </w:pPr>
            <w:r>
              <w:rPr>
                <w:rFonts w:ascii="Arial" w:cs="Arial" w:eastAsia="Arial" w:hAnsi="Arial"/>
                <w:sz w:val="18"/>
                <w:szCs w:val="18"/>
                <w:color w:val="auto"/>
              </w:rPr>
              <w:t>Payment of Expenses; Indemnification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10.6</w:t>
            </w:r>
          </w:p>
        </w:tc>
        <w:tc>
          <w:tcPr>
            <w:tcW w:w="8420" w:type="dxa"/>
            <w:vAlign w:val="bottom"/>
          </w:tcPr>
          <w:p>
            <w:pPr>
              <w:ind w:left="60"/>
              <w:spacing w:after="0"/>
              <w:rPr>
                <w:sz w:val="20"/>
                <w:szCs w:val="20"/>
                <w:color w:val="auto"/>
              </w:rPr>
            </w:pPr>
            <w:r>
              <w:rPr>
                <w:rFonts w:ascii="Arial" w:cs="Arial" w:eastAsia="Arial" w:hAnsi="Arial"/>
                <w:sz w:val="18"/>
                <w:szCs w:val="18"/>
                <w:color w:val="auto"/>
              </w:rPr>
              <w:t>Successors and Assigns; Participations and Assignments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10.7</w:t>
            </w:r>
          </w:p>
        </w:tc>
        <w:tc>
          <w:tcPr>
            <w:tcW w:w="8420" w:type="dxa"/>
            <w:vAlign w:val="bottom"/>
          </w:tcPr>
          <w:p>
            <w:pPr>
              <w:ind w:left="60"/>
              <w:spacing w:after="0"/>
              <w:rPr>
                <w:sz w:val="20"/>
                <w:szCs w:val="20"/>
                <w:color w:val="auto"/>
              </w:rPr>
            </w:pPr>
            <w:r>
              <w:rPr>
                <w:rFonts w:ascii="Arial" w:cs="Arial" w:eastAsia="Arial" w:hAnsi="Arial"/>
                <w:sz w:val="18"/>
                <w:szCs w:val="18"/>
                <w:color w:val="auto"/>
              </w:rPr>
              <w:t>Adjustments; Set-off</w:t>
            </w:r>
          </w:p>
        </w:tc>
        <w:tc>
          <w:tcPr>
            <w:tcW w:w="2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10.8</w:t>
            </w:r>
          </w:p>
        </w:tc>
        <w:tc>
          <w:tcPr>
            <w:tcW w:w="84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10.9</w:t>
            </w:r>
          </w:p>
        </w:tc>
        <w:tc>
          <w:tcPr>
            <w:tcW w:w="84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10.10</w:t>
            </w:r>
          </w:p>
        </w:tc>
        <w:tc>
          <w:tcPr>
            <w:tcW w:w="842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10.11</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GOVERNING LAW</w:t>
            </w:r>
          </w:p>
        </w:tc>
        <w:tc>
          <w:tcPr>
            <w:tcW w:w="2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10.12</w:t>
            </w:r>
          </w:p>
        </w:tc>
        <w:tc>
          <w:tcPr>
            <w:tcW w:w="8420" w:type="dxa"/>
            <w:vAlign w:val="bottom"/>
          </w:tcPr>
          <w:p>
            <w:pPr>
              <w:ind w:left="60"/>
              <w:spacing w:after="0"/>
              <w:rPr>
                <w:sz w:val="20"/>
                <w:szCs w:val="20"/>
                <w:color w:val="auto"/>
              </w:rPr>
            </w:pPr>
            <w:r>
              <w:rPr>
                <w:rFonts w:ascii="Arial" w:cs="Arial" w:eastAsia="Arial" w:hAnsi="Arial"/>
                <w:sz w:val="18"/>
                <w:szCs w:val="18"/>
                <w:color w:val="auto"/>
              </w:rPr>
              <w:t>Submission To Jurisdiction; Waivers</w:t>
            </w:r>
          </w:p>
        </w:tc>
        <w:tc>
          <w:tcPr>
            <w:tcW w:w="21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10.13</w:t>
            </w:r>
          </w:p>
        </w:tc>
        <w:tc>
          <w:tcPr>
            <w:tcW w:w="8420" w:type="dxa"/>
            <w:vAlign w:val="bottom"/>
          </w:tcPr>
          <w:p>
            <w:pPr>
              <w:ind w:left="60"/>
              <w:spacing w:after="0"/>
              <w:rPr>
                <w:sz w:val="20"/>
                <w:szCs w:val="20"/>
                <w:color w:val="auto"/>
              </w:rPr>
            </w:pPr>
            <w:r>
              <w:rPr>
                <w:rFonts w:ascii="Arial" w:cs="Arial" w:eastAsia="Arial" w:hAnsi="Arial"/>
                <w:sz w:val="18"/>
                <w:szCs w:val="18"/>
                <w:color w:val="auto"/>
              </w:rPr>
              <w:t>Certain Matters Affecting Lenders</w:t>
            </w:r>
          </w:p>
        </w:tc>
        <w:tc>
          <w:tcPr>
            <w:tcW w:w="21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10.14</w:t>
            </w:r>
          </w:p>
        </w:tc>
        <w:tc>
          <w:tcPr>
            <w:tcW w:w="8420" w:type="dxa"/>
            <w:vAlign w:val="bottom"/>
          </w:tcPr>
          <w:p>
            <w:pPr>
              <w:ind w:left="60"/>
              <w:spacing w:after="0"/>
              <w:rPr>
                <w:sz w:val="20"/>
                <w:szCs w:val="20"/>
                <w:color w:val="auto"/>
              </w:rPr>
            </w:pPr>
            <w:r>
              <w:rPr>
                <w:rFonts w:ascii="Arial" w:cs="Arial" w:eastAsia="Arial" w:hAnsi="Arial"/>
                <w:sz w:val="18"/>
                <w:szCs w:val="18"/>
                <w:color w:val="auto"/>
              </w:rPr>
              <w:t>Acknowledgments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10.15</w:t>
            </w:r>
          </w:p>
        </w:tc>
        <w:tc>
          <w:tcPr>
            <w:tcW w:w="84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10.16</w:t>
            </w:r>
          </w:p>
        </w:tc>
        <w:tc>
          <w:tcPr>
            <w:tcW w:w="8420" w:type="dxa"/>
            <w:vAlign w:val="bottom"/>
          </w:tcPr>
          <w:p>
            <w:pPr>
              <w:ind w:left="60"/>
              <w:spacing w:after="0"/>
              <w:rPr>
                <w:sz w:val="20"/>
                <w:szCs w:val="20"/>
                <w:color w:val="auto"/>
              </w:rPr>
            </w:pPr>
            <w:r>
              <w:rPr>
                <w:rFonts w:ascii="Arial" w:cs="Arial" w:eastAsia="Arial" w:hAnsi="Arial"/>
                <w:sz w:val="18"/>
                <w:szCs w:val="18"/>
                <w:color w:val="auto"/>
              </w:rPr>
              <w:t>Release of Collateral and Guarantee Obligations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10.17</w:t>
            </w:r>
          </w:p>
        </w:tc>
        <w:tc>
          <w:tcPr>
            <w:tcW w:w="8420" w:type="dxa"/>
            <w:vAlign w:val="bottom"/>
          </w:tcPr>
          <w:p>
            <w:pPr>
              <w:ind w:left="60"/>
              <w:spacing w:after="0"/>
              <w:rPr>
                <w:sz w:val="20"/>
                <w:szCs w:val="20"/>
                <w:color w:val="auto"/>
              </w:rPr>
            </w:pPr>
            <w:r>
              <w:rPr>
                <w:rFonts w:ascii="Arial" w:cs="Arial" w:eastAsia="Arial" w:hAnsi="Arial"/>
                <w:sz w:val="18"/>
                <w:szCs w:val="18"/>
                <w:color w:val="auto"/>
              </w:rPr>
              <w:t>Accounting Terms and Changes</w:t>
            </w:r>
          </w:p>
        </w:tc>
        <w:tc>
          <w:tcPr>
            <w:tcW w:w="2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10.18</w:t>
            </w:r>
          </w:p>
        </w:tc>
        <w:tc>
          <w:tcPr>
            <w:tcW w:w="842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0"/>
        </w:trPr>
        <w:tc>
          <w:tcPr>
            <w:tcW w:w="880" w:type="dxa"/>
            <w:vAlign w:val="bottom"/>
          </w:tcPr>
          <w:p>
            <w:pPr>
              <w:ind w:left="440"/>
              <w:spacing w:after="0"/>
              <w:rPr>
                <w:sz w:val="20"/>
                <w:szCs w:val="20"/>
                <w:color w:val="auto"/>
              </w:rPr>
            </w:pPr>
            <w:r>
              <w:rPr>
                <w:rFonts w:ascii="Arial" w:cs="Arial" w:eastAsia="Arial" w:hAnsi="Arial"/>
                <w:sz w:val="18"/>
                <w:szCs w:val="18"/>
                <w:color w:val="auto"/>
                <w:w w:val="93"/>
              </w:rPr>
              <w:t>10.19</w:t>
            </w:r>
          </w:p>
        </w:tc>
        <w:tc>
          <w:tcPr>
            <w:tcW w:w="842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2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10.20</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WAIVERS OF JURY TRIAL</w:t>
            </w:r>
          </w:p>
        </w:tc>
        <w:tc>
          <w:tcPr>
            <w:tcW w:w="2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10.21</w:t>
            </w:r>
          </w:p>
        </w:tc>
        <w:tc>
          <w:tcPr>
            <w:tcW w:w="8420" w:type="dxa"/>
            <w:vAlign w:val="bottom"/>
          </w:tcPr>
          <w:p>
            <w:pPr>
              <w:ind w:left="60"/>
              <w:spacing w:after="0"/>
              <w:rPr>
                <w:sz w:val="20"/>
                <w:szCs w:val="20"/>
                <w:color w:val="auto"/>
              </w:rPr>
            </w:pPr>
            <w:r>
              <w:rPr>
                <w:rFonts w:ascii="Arial" w:cs="Arial" w:eastAsia="Arial" w:hAnsi="Arial"/>
                <w:sz w:val="18"/>
                <w:szCs w:val="18"/>
                <w:color w:val="auto"/>
              </w:rPr>
              <w:t>Gaming Authorities</w:t>
            </w:r>
          </w:p>
        </w:tc>
        <w:tc>
          <w:tcPr>
            <w:tcW w:w="2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10.22</w:t>
            </w:r>
          </w:p>
        </w:tc>
        <w:tc>
          <w:tcPr>
            <w:tcW w:w="8420" w:type="dxa"/>
            <w:vAlign w:val="bottom"/>
          </w:tcPr>
          <w:p>
            <w:pPr>
              <w:ind w:left="60"/>
              <w:spacing w:after="0"/>
              <w:rPr>
                <w:sz w:val="20"/>
                <w:szCs w:val="20"/>
                <w:color w:val="auto"/>
              </w:rPr>
            </w:pPr>
            <w:r>
              <w:rPr>
                <w:rFonts w:ascii="Arial" w:cs="Arial" w:eastAsia="Arial" w:hAnsi="Arial"/>
                <w:sz w:val="18"/>
                <w:szCs w:val="18"/>
                <w:color w:val="auto"/>
              </w:rPr>
              <w:t>Release of Golf Course Collateral</w:t>
            </w:r>
          </w:p>
        </w:tc>
        <w:tc>
          <w:tcPr>
            <w:tcW w:w="2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10.23</w:t>
            </w:r>
          </w:p>
        </w:tc>
        <w:tc>
          <w:tcPr>
            <w:tcW w:w="8420" w:type="dxa"/>
            <w:vAlign w:val="bottom"/>
          </w:tcPr>
          <w:p>
            <w:pPr>
              <w:ind w:left="60"/>
              <w:spacing w:after="0"/>
              <w:rPr>
                <w:sz w:val="20"/>
                <w:szCs w:val="20"/>
                <w:color w:val="auto"/>
              </w:rPr>
            </w:pPr>
            <w:r>
              <w:rPr>
                <w:rFonts w:ascii="Arial" w:cs="Arial" w:eastAsia="Arial" w:hAnsi="Arial"/>
                <w:sz w:val="18"/>
                <w:szCs w:val="18"/>
                <w:color w:val="auto"/>
              </w:rPr>
              <w:t>Binding Effect; Amendment and Restatement</w:t>
            </w:r>
          </w:p>
        </w:tc>
        <w:tc>
          <w:tcPr>
            <w:tcW w:w="2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10.24</w:t>
            </w:r>
          </w:p>
        </w:tc>
        <w:tc>
          <w:tcPr>
            <w:tcW w:w="8420" w:type="dxa"/>
            <w:vAlign w:val="bottom"/>
          </w:tcPr>
          <w:p>
            <w:pPr>
              <w:ind w:left="60"/>
              <w:spacing w:after="0"/>
              <w:rPr>
                <w:sz w:val="20"/>
                <w:szCs w:val="20"/>
                <w:color w:val="auto"/>
              </w:rPr>
            </w:pPr>
            <w:r>
              <w:rPr>
                <w:rFonts w:ascii="Arial" w:cs="Arial" w:eastAsia="Arial" w:hAnsi="Arial"/>
                <w:sz w:val="18"/>
                <w:szCs w:val="18"/>
                <w:color w:val="auto"/>
              </w:rPr>
              <w:t>Transfer of Golf Course Land to the Borrower</w:t>
            </w:r>
          </w:p>
        </w:tc>
        <w:tc>
          <w:tcPr>
            <w:tcW w:w="21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10.25</w:t>
            </w:r>
          </w:p>
        </w:tc>
        <w:tc>
          <w:tcPr>
            <w:tcW w:w="8420" w:type="dxa"/>
            <w:vAlign w:val="bottom"/>
          </w:tcPr>
          <w:p>
            <w:pPr>
              <w:ind w:left="60"/>
              <w:spacing w:after="0"/>
              <w:rPr>
                <w:sz w:val="20"/>
                <w:szCs w:val="20"/>
                <w:color w:val="auto"/>
              </w:rPr>
            </w:pPr>
            <w:r>
              <w:rPr>
                <w:rFonts w:ascii="Arial" w:cs="Arial" w:eastAsia="Arial" w:hAnsi="Arial"/>
                <w:sz w:val="18"/>
                <w:szCs w:val="18"/>
                <w:color w:val="auto"/>
              </w:rPr>
              <w:t>Third Party Beneficiaries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w w:val="93"/>
              </w:rPr>
              <w:t>10.26</w:t>
            </w:r>
          </w:p>
        </w:tc>
        <w:tc>
          <w:tcPr>
            <w:tcW w:w="8420" w:type="dxa"/>
            <w:vAlign w:val="bottom"/>
          </w:tcPr>
          <w:p>
            <w:pPr>
              <w:ind w:left="60"/>
              <w:spacing w:after="0"/>
              <w:rPr>
                <w:sz w:val="20"/>
                <w:szCs w:val="20"/>
                <w:color w:val="auto"/>
              </w:rPr>
            </w:pPr>
            <w:r>
              <w:rPr>
                <w:rFonts w:ascii="Arial" w:cs="Arial" w:eastAsia="Arial" w:hAnsi="Arial"/>
                <w:sz w:val="18"/>
                <w:szCs w:val="18"/>
                <w:color w:val="auto"/>
              </w:rPr>
              <w:t>Patriot Act</w:t>
            </w:r>
          </w:p>
        </w:tc>
        <w:tc>
          <w:tcPr>
            <w:tcW w:w="212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ANNEXES:</w:t>
      </w:r>
    </w:p>
    <w:p>
      <w:pPr>
        <w:sectPr>
          <w:pgSz w:w="11900" w:h="16838" w:orient="portrait"/>
          <w:cols w:equalWidth="0" w:num="1">
            <w:col w:w="10219"/>
          </w:cols>
          <w:pgMar w:left="240" w:top="28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Pricing Grid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Lender Commitments on the Amended and Restated Effective Date</w:t>
      </w:r>
    </w:p>
    <w:p>
      <w:pPr>
        <w:spacing w:after="0" w:line="234" w:lineRule="exact"/>
        <w:rPr>
          <w:sz w:val="20"/>
          <w:szCs w:val="20"/>
          <w:color w:val="auto"/>
        </w:rPr>
      </w:pPr>
    </w:p>
    <w:p>
      <w:pPr>
        <w:sectPr>
          <w:pgSz w:w="11900" w:h="16838" w:orient="portrait"/>
          <w:cols w:equalWidth="0" w:num="2">
            <w:col w:w="900" w:space="720"/>
            <w:col w:w="8599"/>
          </w:cols>
          <w:pgMar w:left="240" w:top="280"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SCHEDULES:</w:t>
      </w:r>
    </w:p>
    <w:p>
      <w:pPr>
        <w:sectPr>
          <w:pgSz w:w="11900" w:h="16838" w:orient="portrait"/>
          <w:cols w:equalWidth="0" w:num="1">
            <w:col w:w="10219"/>
          </w:cols>
          <w:pgMar w:left="24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4.19(a)-1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4.19(a)-2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7.3(f)</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Mortgaged Property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Consents, Authorizations, Filings and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Trademarks, Service Marks and Trade Names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Licenses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UCC Filing Jurisdictions – Collateral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UCC Financing Statements to Remain on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Mortgage Filings Jurisdictions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UCC Filing Jurisdictions - Intellectual Property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Assessments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111" w:lineRule="exact"/>
        <w:rPr>
          <w:sz w:val="20"/>
          <w:szCs w:val="20"/>
          <w:color w:val="auto"/>
        </w:rPr>
      </w:pPr>
    </w:p>
    <w:p>
      <w:pPr>
        <w:sectPr>
          <w:pgSz w:w="11900" w:h="16838" w:orient="portrait"/>
          <w:cols w:equalWidth="0" w:num="2">
            <w:col w:w="900" w:space="720"/>
            <w:col w:w="85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EXHIBITS: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Reaffirmation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Term B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Credit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 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Insurance Consultant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Exemption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Disbursement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Fourth Amendment to Disbursement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Subordination, Non-Disturbance and Attornment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Credit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First Amendment to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Amended and Restated Effective Date Certificate</w:t>
      </w:r>
    </w:p>
    <w:p>
      <w:pPr>
        <w:spacing w:after="0" w:line="200" w:lineRule="exact"/>
        <w:rPr>
          <w:sz w:val="20"/>
          <w:szCs w:val="20"/>
          <w:color w:val="auto"/>
        </w:rPr>
      </w:pPr>
    </w:p>
    <w:p>
      <w:pPr>
        <w:sectPr>
          <w:pgSz w:w="11900" w:h="16838" w:orient="portrait"/>
          <w:cols w:equalWidth="0" w:num="2">
            <w:col w:w="900" w:space="720"/>
            <w:col w:w="8599"/>
          </w:cols>
          <w:pgMar w:left="240" w:top="280" w:right="1440" w:bottom="1440" w:gutter="0" w:footer="0" w:header="0"/>
          <w:type w:val="continuous"/>
        </w:sectPr>
      </w:pP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219"/>
          </w:cols>
          <w:pgMar w:left="240" w:top="280" w:right="1440" w:bottom="1440" w:gutter="0" w:footer="0" w:header="0"/>
          <w:type w:val="continuous"/>
        </w:sectPr>
      </w:pPr>
    </w:p>
    <w:bookmarkStart w:id="63" w:name="page64"/>
    <w:bookmarkEnd w:id="63"/>
    <w:p>
      <w:pPr>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AMENDED AND RESTATED CREDIT AGREEMENT, dated as of August 15, 2006, is entered into among WYNN LAS VEGAS, LLC, a Nevada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party to this Agreement as lenders, DEUTSCHE BANK SECURITIES INC., as lead arranger and joint book running manager, DEUTSCHE BANK TRUST COMPANY AMERICAS, as administrative agent (in such capacity and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SOCIETE GENERALE, as joint documentation agent, and, in each case as managing agent, BANK OF SCOTLAND, HSH NORDBANK AG, THE ROYAL BANK OF SCOTLAND PLC and WACHOVIA BANK.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Borrower is developing and owns the Phase I Project and the Phase II Project (such defined terms and other defined terms used in these Recitals shall have the meanings given in Section 1.1 of this Agreement);</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WHEREAS, the Lenders have extended the senior secured credit facilities contemplated by the Original Credit Agreement to the Borrower to provide a portion of the funds necessary to develop and construct the Project and provide working capital for the operation of the Project;</w:t>
      </w:r>
    </w:p>
    <w:p>
      <w:pPr>
        <w:spacing w:after="0" w:line="7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Borrower has secured all of its Obligations by granting to the Collateral Agent on behalf of the Administrative Agent and the Secured Parties a Lien on substantially all of its assets as more fully described in this Agreement and the other Loan Documents;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each of the Loan Parties (other than the Borrower) has guarantied the Obligations of the Borrower and secured all of its Obligations by granting to the Collateral Agent on behalf of the Administrative Agent and the Secured Parties a Lien on substantially all of its assets, in each case as more fully described in this Agreement and the other Loan Documents;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WHEREAS, the Borrower desires, and the Lenders have agreed, to amend and restate the Original Credit Agreement pursuant to this Agreement, according to which the Lenders shall continue to extend to the Borrower the senior secured credit facilities evidenced by this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agreements hereinafter set forth, the parties hereto hereby agree as follows:</w:t>
      </w:r>
    </w:p>
    <w:p>
      <w:pPr>
        <w:sectPr>
          <w:pgSz w:w="11900" w:h="16838" w:orient="portrait"/>
          <w:cols w:equalWidth="0" w:num="1">
            <w:col w:w="11420"/>
          </w:cols>
          <w:pgMar w:left="240" w:top="280" w:right="239" w:bottom="1440" w:gutter="0" w:footer="0" w:header="0"/>
        </w:sectPr>
      </w:pPr>
    </w:p>
    <w:bookmarkStart w:id="64" w:name="page65"/>
    <w:bookmarkEnd w:id="64"/>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 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Access Agreement</w:t>
      </w:r>
      <w:r>
        <w:rPr>
          <w:rFonts w:ascii="Arial" w:cs="Arial" w:eastAsia="Arial" w:hAnsi="Arial"/>
          <w:sz w:val="18"/>
          <w:szCs w:val="18"/>
          <w:color w:val="auto"/>
        </w:rPr>
        <w:t>”: the Access Easement Agreement, dated as of the Closing Date, between Wynn Golf and the Borrower.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any “Commodity Account,” “Deposit Account” or “Securities Account” (as such terms are defined in the UCC).</w:t>
      </w:r>
    </w:p>
    <w:p>
      <w:pPr>
        <w:spacing w:after="0" w:line="77" w:lineRule="exact"/>
        <w:rPr>
          <w:sz w:val="20"/>
          <w:szCs w:val="20"/>
          <w:color w:val="auto"/>
        </w:rPr>
      </w:pPr>
    </w:p>
    <w:p>
      <w:pPr>
        <w:ind w:right="8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Entertainment Facility</w:t>
      </w:r>
      <w:r>
        <w:rPr>
          <w:rFonts w:ascii="Arial" w:cs="Arial" w:eastAsia="Arial" w:hAnsi="Arial"/>
          <w:sz w:val="16"/>
          <w:szCs w:val="16"/>
          <w:color w:val="auto"/>
        </w:rPr>
        <w:t>”: a showroom or entertainment facility adjoining the Project on the Site (other than any showroom or entertainment facility contemplated in the Plans and Specifications on the Amended and Restated Effective Date).</w:t>
      </w:r>
    </w:p>
    <w:p>
      <w:pPr>
        <w:spacing w:after="0" w:line="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Material Contracts</w:t>
      </w:r>
      <w:r>
        <w:rPr>
          <w:rFonts w:ascii="Arial" w:cs="Arial" w:eastAsia="Arial" w:hAnsi="Arial"/>
          <w:sz w:val="18"/>
          <w:szCs w:val="18"/>
          <w:color w:val="auto"/>
        </w:rPr>
        <w:t>”: any Material Contract entered into after the Amended and Restated Effective Date relating to the development, construction, maintenance or operation of the Project.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Phase II Project Cost Amount</w:t>
      </w:r>
      <w:r>
        <w:rPr>
          <w:rFonts w:ascii="Arial" w:cs="Arial" w:eastAsia="Arial" w:hAnsi="Arial"/>
          <w:sz w:val="18"/>
          <w:szCs w:val="18"/>
          <w:color w:val="auto"/>
        </w:rPr>
        <w:t>”: $100,000,000.</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w:t>
      </w:r>
    </w:p>
    <w:p>
      <w:pPr>
        <w:spacing w:after="0" w:line="7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the Administrative Agent Fee Letter, dated as of July 7, 2006, between the Borrower and the Administrative Agent.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1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2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collectively, the Golf Course Lease, the Management Agreement, the Project Services Agreement, the Access Agreement, the Aircraft Operating Agreement, the Dealership Lease Agreement and the Wynn IP Agreement.</w:t>
      </w:r>
    </w:p>
    <w:p>
      <w:pPr>
        <w:spacing w:after="0" w:line="37"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Fund</w:t>
      </w:r>
      <w:r>
        <w:rPr>
          <w:rFonts w:ascii="Arial" w:cs="Arial" w:eastAsia="Arial" w:hAnsi="Arial"/>
          <w:sz w:val="16"/>
          <w:szCs w:val="16"/>
          <w:color w:val="auto"/>
        </w:rPr>
        <w:t>”: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7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65" w:name="page66"/>
    <w:bookmarkEnd w:id="65"/>
    <w:p>
      <w:pPr>
        <w:ind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Affiliated Overhead Expenses</w:t>
      </w:r>
      <w:r>
        <w:rPr>
          <w:rFonts w:ascii="Arial" w:cs="Arial" w:eastAsia="Arial" w:hAnsi="Arial"/>
          <w:sz w:val="18"/>
          <w:szCs w:val="18"/>
          <w:color w:val="auto"/>
        </w:rPr>
        <w:t xml:space="preserve">”: for any period, the reasonable costs and expenses of, and actually incurred by, Wynn Resorts and its Wholly Owned Subsidiaries (other than the Loan Parties) for salary and benefits, office operations, development, advertising, insurance and other corporate or other overhead, for such period, calculated on a consolidated basis, after the elimination of intercompany transactions, and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Affiliated Overhead Expenses (a) shall not include any fee, profit or similar component payable to Wynn Resorts or any other Affiliate of Wynn Resorts or any Project Costs and (b) shall represent only the payment or reimbursement of actual costs and expenses incurred by Wynn Resorts and its Wholly Owned Subsidiaries.</w:t>
      </w:r>
    </w:p>
    <w:p>
      <w:pPr>
        <w:spacing w:after="0" w:line="5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the collective reference to the Syndication Agent, the Documentation Agents, the Administrative Agent and, for purposes of Section 9 and 10.5 only, the Collateral Agent and the Disbursement Agent.</w:t>
      </w:r>
    </w:p>
    <w:p>
      <w:pPr>
        <w:spacing w:after="0" w:line="37" w:lineRule="exact"/>
        <w:rPr>
          <w:sz w:val="20"/>
          <w:szCs w:val="20"/>
          <w:color w:val="auto"/>
        </w:rPr>
      </w:pPr>
    </w:p>
    <w:p>
      <w:pPr>
        <w:ind w:right="20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Exposure</w:t>
      </w:r>
      <w:r>
        <w:rPr>
          <w:rFonts w:ascii="Arial" w:cs="Arial" w:eastAsia="Arial" w:hAnsi="Arial"/>
          <w:sz w:val="18"/>
          <w:szCs w:val="18"/>
          <w:color w:val="auto"/>
        </w:rPr>
        <w:t>”: with respect to any Lender at any time, an amount equal to the sum of (a) the amount of such Lender’s Term B Loan Commitment then in effect or, if the Term B Loan Commitments have been terminated, the amount of such Lender’s Term B Loan Extensions of Credit then outstanding, (b) the amount of such Lender’s New Term Loan Commitments then in effect or, if the New Term Loan Commitments have been terminated, the amount of such Lender’s New Term Loan Extensions of Credit then outstanding, and (c) the amount of such Lender’s Revolving Credit Commitment then in effect or, if the Revolving Credit Commitments have been terminated, the amount of such Lender’s Revolving Extensions of Credit then outstanding.</w:t>
      </w:r>
    </w:p>
    <w:p>
      <w:pPr>
        <w:spacing w:after="0" w:line="50"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Exposure Percentage</w:t>
      </w:r>
      <w:r>
        <w:rPr>
          <w:rFonts w:ascii="Arial" w:cs="Arial" w:eastAsia="Arial" w:hAnsi="Arial"/>
          <w:sz w:val="18"/>
          <w:szCs w:val="18"/>
          <w:color w:val="auto"/>
        </w:rPr>
        <w:t>”: with respect to any Lender at any time, the ratio (expressed as a percentage) of such Lender’s Aggregate Exposure at such time to the Aggregate Exposure of all Lenders at such time.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Amended and Restated Credit Agreement.</w:t>
      </w:r>
    </w:p>
    <w:p>
      <w:pPr>
        <w:spacing w:after="0" w:line="77" w:lineRule="exact"/>
        <w:rPr>
          <w:sz w:val="20"/>
          <w:szCs w:val="20"/>
          <w:color w:val="auto"/>
        </w:rPr>
      </w:pPr>
    </w:p>
    <w:p>
      <w:pPr>
        <w:ind w:right="4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w:t>
      </w:r>
      <w:r>
        <w:rPr>
          <w:rFonts w:ascii="Arial" w:cs="Arial" w:eastAsia="Arial" w:hAnsi="Arial"/>
          <w:sz w:val="16"/>
          <w:szCs w:val="16"/>
          <w:color w:val="auto"/>
        </w:rPr>
        <w:t>”: that certain 1999 Boeing 737-79U Business Jet aircraft bearing manufacturer’s serial number 29441 and United States Federal Aviation Administration Registration Number N88WZ, which shall include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 “</w:t>
      </w:r>
      <w:r>
        <w:rPr>
          <w:rFonts w:ascii="Arial" w:cs="Arial" w:eastAsia="Arial" w:hAnsi="Arial"/>
          <w:sz w:val="16"/>
          <w:szCs w:val="16"/>
          <w:u w:val="single" w:color="auto"/>
          <w:color w:val="auto"/>
        </w:rPr>
        <w:t>Airframe</w:t>
      </w:r>
      <w:r>
        <w:rPr>
          <w:rFonts w:ascii="Arial" w:cs="Arial" w:eastAsia="Arial" w:hAnsi="Arial"/>
          <w:sz w:val="16"/>
          <w:szCs w:val="16"/>
          <w:color w:val="auto"/>
        </w:rPr>
        <w:t>”), (ii) each of the engines installed on the Aircraft and any replacement engine that may be substituted for such engine, together, in each case, with any and all Parts incorporated or installed or attached thereto and any and all Parts removed therefrom, until such Parts are replaced (each such engine, and replacement or substitute engine, together with any and all such Parts, the “</w:t>
      </w:r>
      <w:r>
        <w:rPr>
          <w:rFonts w:ascii="Arial" w:cs="Arial" w:eastAsia="Arial" w:hAnsi="Arial"/>
          <w:sz w:val="16"/>
          <w:szCs w:val="16"/>
          <w:u w:val="single" w:color="auto"/>
          <w:color w:val="auto"/>
        </w:rPr>
        <w:t>Engine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Engines</w:t>
      </w:r>
      <w:r>
        <w:rPr>
          <w:rFonts w:ascii="Arial" w:cs="Arial" w:eastAsia="Arial" w:hAnsi="Arial"/>
          <w:sz w:val="16"/>
          <w:szCs w:val="16"/>
          <w:color w:val="auto"/>
        </w:rPr>
        <w:t>”), (iii) all appliances, parts, instruments, appurtenances, accessories, furnishings and other equipment of whatever nature (other than the Engines), that may from time to time be incorporated or installed in or attached to the Airframe or any Engine (collectively referred to herein as “</w:t>
      </w:r>
      <w:r>
        <w:rPr>
          <w:rFonts w:ascii="Arial" w:cs="Arial" w:eastAsia="Arial" w:hAnsi="Arial"/>
          <w:sz w:val="16"/>
          <w:szCs w:val="16"/>
          <w:u w:val="single" w:color="auto"/>
          <w:color w:val="auto"/>
        </w:rPr>
        <w:t>Parts</w:t>
      </w:r>
      <w:r>
        <w:rPr>
          <w:rFonts w:ascii="Arial" w:cs="Arial" w:eastAsia="Arial" w:hAnsi="Arial"/>
          <w:sz w:val="16"/>
          <w:szCs w:val="16"/>
          <w:color w:val="auto"/>
        </w:rPr>
        <w:t>”) and (iv) the proceeds of any of the foregoing.</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66" w:name="page67"/>
    <w:bookmarkEnd w:id="66"/>
    <w:p>
      <w:pPr>
        <w:ind w:right="2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Aircraft Operating Agreement</w:t>
      </w:r>
      <w:r>
        <w:rPr>
          <w:rFonts w:ascii="Arial" w:cs="Arial" w:eastAsia="Arial" w:hAnsi="Arial"/>
          <w:sz w:val="18"/>
          <w:szCs w:val="18"/>
          <w:color w:val="auto"/>
        </w:rPr>
        <w:t>”: that certain Amended and Restated Aircraft Operating Agreement, dated October 30, 2002, between the Aircraft Trustee and World Travel.</w:t>
      </w:r>
    </w:p>
    <w:p>
      <w:pPr>
        <w:spacing w:after="0" w:line="37"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Trustee</w:t>
      </w:r>
      <w:r>
        <w:rPr>
          <w:rFonts w:ascii="Arial" w:cs="Arial" w:eastAsia="Arial" w:hAnsi="Arial"/>
          <w:sz w:val="18"/>
          <w:szCs w:val="18"/>
          <w:color w:val="auto"/>
        </w:rPr>
        <w:t>”: Wells Fargo Bank Northwest, National Association, as trustee under a trust agreement in favor of World Travel with respect to the Aircraft, and any successor or replacement trustee.</w:t>
      </w:r>
    </w:p>
    <w:p>
      <w:pPr>
        <w:spacing w:after="0" w:line="37"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Allocable Overhead</w:t>
      </w:r>
      <w:r>
        <w:rPr>
          <w:rFonts w:ascii="Arial" w:cs="Arial" w:eastAsia="Arial" w:hAnsi="Arial"/>
          <w:sz w:val="18"/>
          <w:szCs w:val="18"/>
          <w:color w:val="auto"/>
        </w:rPr>
        <w:t xml:space="preserve">”: for any period, an amount equal to (a) the amount of Affiliated Overhead Expenses for such period divided by (b) the number of gaming and/or hotel projects of Wynn Resorts and its Subsidiaries which were operating during such period or for which debt and/or equity financing has been obtained to finance the design, development, construction and/or opening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Project shall be deemed a single gaming and/or hotel project that is operating and (ii) amounts allocated to any such project shall be prorated based on the period within such period that such project was in operation or financing therefor was obtained.</w:t>
      </w:r>
    </w:p>
    <w:p>
      <w:pPr>
        <w:spacing w:after="0" w:line="48"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Disbursement Agreement Effective Date</w:t>
      </w:r>
      <w:r>
        <w:rPr>
          <w:rFonts w:ascii="Arial" w:cs="Arial" w:eastAsia="Arial" w:hAnsi="Arial"/>
          <w:sz w:val="18"/>
          <w:szCs w:val="18"/>
          <w:color w:val="auto"/>
        </w:rPr>
        <w:t>” the date on which the Disbursement Agreement is amended and restated in the form of Exhibit K hereto, in accordance with Section 10.1(c).</w:t>
      </w:r>
    </w:p>
    <w:p>
      <w:pPr>
        <w:spacing w:after="0" w:line="3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Effective Date</w:t>
      </w:r>
      <w:r>
        <w:rPr>
          <w:rFonts w:ascii="Arial" w:cs="Arial" w:eastAsia="Arial" w:hAnsi="Arial"/>
          <w:sz w:val="18"/>
          <w:szCs w:val="18"/>
          <w:color w:val="auto"/>
        </w:rPr>
        <w:t>”: the date on which the conditions precedent set forth in Section 5.4 of this Agreement have been satisfied or waived.</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Effective Date Documents</w:t>
      </w:r>
      <w:r>
        <w:rPr>
          <w:rFonts w:ascii="Arial" w:cs="Arial" w:eastAsia="Arial" w:hAnsi="Arial"/>
          <w:sz w:val="18"/>
          <w:szCs w:val="18"/>
          <w:color w:val="auto"/>
        </w:rPr>
        <w:t>”: as defined in Section 5.4(c).</w:t>
      </w:r>
    </w:p>
    <w:p>
      <w:pPr>
        <w:spacing w:after="0" w:line="77" w:lineRule="exact"/>
        <w:rPr>
          <w:sz w:val="20"/>
          <w:szCs w:val="20"/>
          <w:color w:val="auto"/>
        </w:rPr>
      </w:pPr>
    </w:p>
    <w:p>
      <w:pPr>
        <w:ind w:firstLine="438"/>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Facility Lenders</w:t>
      </w:r>
      <w:r>
        <w:rPr>
          <w:rFonts w:ascii="Arial" w:cs="Arial" w:eastAsia="Arial" w:hAnsi="Arial"/>
          <w:sz w:val="17"/>
          <w:szCs w:val="17"/>
          <w:color w:val="auto"/>
        </w:rPr>
        <w:t xml:space="preserve">”: with respect to any Facility, (a) after the termination of the Term B Loan Commitments, the New Term Loan Commitments with respect to any Series of New Term Loans or the Revolving Credit Commitments, as the case may be, Non-Defaulting Lenders holding more than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Total Term B Loan Extensions of Credit of Non-Defaulting Lenders, the Total New Term Loan Extensions of Credit with respect to any Series of New Term Loans of Non-Defaulting Lenders or the Total Revolving Extensions of Credit of Non-Defaulting Lenders, as the case may be, or (b) prior to any termination of the Term B Loan Commitments, the New Term Loan Commitments with respect to any Series of New Term Loans or the Revolving Credit Commitments, as the case may be, Non-Defaulting Lenders holding more than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Term B Loan Commitments (less the aggregate Term B Loan Commitments of Defaulting Lenders), Total New Term Loan Commitments with respect to any Series of New Term Loans (less the aggregate of such New Term Loan Commitments of Defaulting Lenders) or Total Revolving Credit Commitments (less the aggregate Revolving Credit Commitments of Defaulting Lenders), as the case may be.</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for each Type of Loan, the rate per annum set forth under the relevant column heading below:</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Base Rate</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Eurodollar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28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Loans and Swing Line Loans</w:t>
            </w:r>
          </w:p>
        </w:tc>
        <w:tc>
          <w:tcPr>
            <w:tcW w:w="3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0.625%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Term B Loans</w:t>
            </w:r>
          </w:p>
        </w:tc>
        <w:tc>
          <w:tcPr>
            <w:tcW w:w="3440" w:type="dxa"/>
            <w:vAlign w:val="bottom"/>
            <w:gridSpan w:val="3"/>
          </w:tcPr>
          <w:p>
            <w:pPr>
              <w:jc w:val="right"/>
              <w:ind w:right="280"/>
              <w:spacing w:after="0"/>
              <w:rPr>
                <w:sz w:val="20"/>
                <w:szCs w:val="20"/>
                <w:color w:val="auto"/>
              </w:rPr>
            </w:pPr>
            <w:r>
              <w:rPr>
                <w:rFonts w:ascii="Arial" w:cs="Arial" w:eastAsia="Arial" w:hAnsi="Arial"/>
                <w:sz w:val="18"/>
                <w:szCs w:val="18"/>
                <w:color w:val="auto"/>
              </w:rPr>
              <w:t>0.875%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on and after the first Adjustment Date occurring after the Initial Phase II Calculation Date, the Applicable Margin with respect to Revolving Credit Loans and Swing Line Loans will be determined pursuant to the Pricing Grid.</w:t>
      </w:r>
    </w:p>
    <w:p>
      <w:pPr>
        <w:spacing w:after="0" w:line="37"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collectively, Deutsche Bank Securities Inc., in its capacity as a lead arranger, Banc of America Securities LLC, in its capacity as a lead arranger, Bear Stearns &amp; Co. Inc., in its capacity as an arranger, SG Americas Securities, LLC, in its capacity as an arranger, and J.P. Morgan Securities Inc., in its capacity as an arranger.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Aruze Corp.</w:t>
      </w:r>
      <w:r>
        <w:rPr>
          <w:rFonts w:ascii="Arial" w:cs="Arial" w:eastAsia="Arial" w:hAnsi="Arial"/>
          <w:sz w:val="18"/>
          <w:szCs w:val="18"/>
          <w:color w:val="auto"/>
        </w:rPr>
        <w:t>”: Aruze Corp., a Japanese public corporation.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Aruze USA</w:t>
      </w:r>
      <w:r>
        <w:rPr>
          <w:rFonts w:ascii="Arial" w:cs="Arial" w:eastAsia="Arial" w:hAnsi="Arial"/>
          <w:sz w:val="18"/>
          <w:szCs w:val="18"/>
          <w:color w:val="auto"/>
        </w:rPr>
        <w:t>”: Aruze USA, Inc., a Nevada corporation.</w:t>
      </w:r>
    </w:p>
    <w:p>
      <w:pPr>
        <w:spacing w:after="0" w:line="77" w:lineRule="exact"/>
        <w:rPr>
          <w:sz w:val="20"/>
          <w:szCs w:val="20"/>
          <w:color w:val="auto"/>
        </w:rPr>
      </w:pPr>
    </w:p>
    <w:p>
      <w:pPr>
        <w:ind w:firstLine="438"/>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Asset Sale</w:t>
      </w:r>
      <w:r>
        <w:rPr>
          <w:rFonts w:ascii="Arial" w:cs="Arial" w:eastAsia="Arial" w:hAnsi="Arial"/>
          <w:sz w:val="15"/>
          <w:szCs w:val="15"/>
          <w:color w:val="auto"/>
        </w:rPr>
        <w:t>”: any Disposition of Property or series of related Dispositions of Property by a Loan Party other than (a) the granting of any Lien permitted by Section 7.3, (b) any Disposition permitted by Section 7.4, (c) any Disposition permitted by subsections (a), (b), (c), (d), (f), (h), (i), (j), (k), (l), (m), (n) or (o) of Section 7.5 or (d) Dispositions for aggregate consideration of less than $250,000 with respect to any transaction or series of related transactions and less than $5,000,000 in the aggregate during the term of the Facility (such consideration to be valued at the initial principal amount thereof in the case of non-cash proceeds consisting of notes or other debt securities and valued at the fair market value in the case of other non-cash proceeds).</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10.6(c).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as defined in Section 10.6(c).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Assignor</w:t>
      </w:r>
      <w:r>
        <w:rPr>
          <w:rFonts w:ascii="Arial" w:cs="Arial" w:eastAsia="Arial" w:hAnsi="Arial"/>
          <w:sz w:val="18"/>
          <w:szCs w:val="18"/>
          <w:color w:val="auto"/>
        </w:rPr>
        <w:t>”: as defined in Section 10.6(c).</w:t>
      </w:r>
    </w:p>
    <w:p>
      <w:pPr>
        <w:spacing w:after="0" w:line="77"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Credit Commitment</w:t>
      </w:r>
      <w:r>
        <w:rPr>
          <w:rFonts w:ascii="Arial" w:cs="Arial" w:eastAsia="Arial" w:hAnsi="Arial"/>
          <w:sz w:val="18"/>
          <w:szCs w:val="18"/>
          <w:color w:val="auto"/>
        </w:rPr>
        <w:t xml:space="preserve">”: as to any Revolving Credit Lender at any time, an amount equal to the excess, if any, of (a) such Revolving Credit Lender’s Revolving Credit Commitment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such Revolving Credit Lender’s Revolving Extensions of Credit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any Lender’s Revolving Extensions of Credit for the purpose of determining such Lender’s (other than the Swing Line Lender) Available Revolving Credit Commitment pursuant to Section 2.9(a), the aggregate principal amount of Swing Line Loans then outstanding shall be deemed to be zero.</w:t>
      </w:r>
    </w:p>
    <w:p>
      <w:pPr>
        <w:spacing w:after="0" w:line="48"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Debt Service</w:t>
      </w:r>
      <w:r>
        <w:rPr>
          <w:rFonts w:ascii="Arial" w:cs="Arial" w:eastAsia="Arial" w:hAnsi="Arial"/>
          <w:sz w:val="18"/>
          <w:szCs w:val="18"/>
          <w:color w:val="auto"/>
        </w:rPr>
        <w:t>”: for any period, (a) all fees payable during such period to the Administrative Agent, the Issuing Lender, the Swing Line Lender and the Lenders, (b) interest on Term Loans, Swing Line Loans, Revolving Credit Loans and, without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68" w:name="page69"/>
    <w:bookmarkEnd w:id="6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duplication, interest on any outstanding Reimbursement Obligations, in each case payable during such period, (c) scheduled Term Loan principal payments (as reduced to reflect actual payments and prepayments through the date of such calculation) and payments with respect to the principal amount of any outstanding Reimbursement Obligations, in each case payable during such period and (d) net payments, if any, payable during such period pursuant to Specified Hedge Agreements.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Proceeds Account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40" w:firstLine="43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for any day, a rate per annum (rounded upwards, if necessary, to the next 1/100 of 1%) equal to the greater of (a) the Prime Rate in effect on such day and (b) the Federal Funds Effective Rate in effect on such day plus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Loans for which the applicable rate of interest is based upon the Base Rate.</w:t>
      </w:r>
    </w:p>
    <w:p>
      <w:pPr>
        <w:spacing w:after="0" w:line="77" w:lineRule="exact"/>
        <w:rPr>
          <w:sz w:val="20"/>
          <w:szCs w:val="20"/>
          <w:color w:val="auto"/>
        </w:rPr>
      </w:pPr>
    </w:p>
    <w:p>
      <w:pPr>
        <w:ind w:right="3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as defined in Section 10.7.</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77" w:lineRule="exact"/>
        <w:rPr>
          <w:sz w:val="20"/>
          <w:szCs w:val="20"/>
          <w:color w:val="auto"/>
        </w:rPr>
      </w:pPr>
    </w:p>
    <w:p>
      <w:pPr>
        <w:ind w:right="4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 with respect to a corporation, the board of directors of the corporation; (b) with respect to a partnership, the board of directors of the general partner of the partnership; (c) with respect to a limited liability company, the manager or sole member of such limited liability company; and (d) with respect to any other Person, the board or committee of such Person serving a similar function.</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Indemnity Agreement</w:t>
      </w:r>
      <w:r>
        <w:rPr>
          <w:rFonts w:ascii="Arial" w:cs="Arial" w:eastAsia="Arial" w:hAnsi="Arial"/>
          <w:sz w:val="16"/>
          <w:szCs w:val="16"/>
          <w:color w:val="auto"/>
        </w:rPr>
        <w:t>”: the Indemnity Agreement, dated as of the Closing Date, by the Borrower in favor of the Administrative Agent.</w:t>
      </w:r>
    </w:p>
    <w:p>
      <w:pPr>
        <w:spacing w:after="0" w:line="10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Mortgage</w:t>
      </w:r>
      <w:r>
        <w:rPr>
          <w:rFonts w:ascii="Arial" w:cs="Arial" w:eastAsia="Arial" w:hAnsi="Arial"/>
          <w:sz w:val="18"/>
          <w:szCs w:val="18"/>
          <w:color w:val="auto"/>
        </w:rPr>
        <w:t>”: the Deed of Trust, Leasehold Deed of Trust, Assignment of Rents and Leases, Security Agreement and Fixture Filing, dated as of the Closing Date, made by the Borrower to Nevada Title Company, a Nevada corporation, as trustee, for the benefit of the Collateral Agent, as amended by that certain First Amendment to Multiple Deeds of Trust, Leasehold Deed of Trust, Assignments of Rents and Leases, Security Agreement and Fixture Filings, dated as of the Amended and Restated Effective Date.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69" w:name="page70"/>
    <w:bookmarkEnd w:id="69"/>
    <w:p>
      <w:pPr>
        <w:ind w:right="4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Borrowing Date</w:t>
      </w:r>
      <w:r>
        <w:rPr>
          <w:rFonts w:ascii="Arial" w:cs="Arial" w:eastAsia="Arial" w:hAnsi="Arial"/>
          <w:sz w:val="18"/>
          <w:szCs w:val="18"/>
          <w:color w:val="auto"/>
        </w:rPr>
        <w:t>”: any Business Day specified by the Borrower as a date on which the Borrower requests the relevant Lender(s) to make Loans hereunder.</w:t>
      </w:r>
    </w:p>
    <w:p>
      <w:pPr>
        <w:spacing w:after="0" w:line="37" w:lineRule="exact"/>
        <w:rPr>
          <w:sz w:val="20"/>
          <w:szCs w:val="20"/>
          <w:color w:val="auto"/>
        </w:rPr>
      </w:pPr>
    </w:p>
    <w:p>
      <w:pPr>
        <w:ind w:right="220" w:firstLine="43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(a) for all purposes other than as covered by clauses (b) and (c) below, a day other than a Saturday, Sunday or other day on which commercial banks in New York City, New York or Las Vegas, Nevada are authorized or required by law to close, (b) with respect to all notices and determinations in connection with, and payments of principal and interest on, Eurodollar Loans, any day which is a Business Day described in clause</w:t>
      </w:r>
    </w:p>
    <w:p>
      <w:pPr>
        <w:spacing w:after="0" w:line="1" w:lineRule="exact"/>
        <w:rPr>
          <w:sz w:val="20"/>
          <w:szCs w:val="20"/>
          <w:color w:val="auto"/>
        </w:rPr>
      </w:pPr>
    </w:p>
    <w:p>
      <w:pPr>
        <w:jc w:val="both"/>
        <w:ind w:right="120" w:firstLine="4"/>
        <w:spacing w:after="0" w:line="302" w:lineRule="auto"/>
        <w:tabs>
          <w:tab w:leader="none" w:pos="2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above and which is also a day for trading by and between banks in Dollar deposits in the New York interbank eurodollar market and (c)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Corp.</w:t>
      </w:r>
      <w:r>
        <w:rPr>
          <w:rFonts w:ascii="Arial" w:cs="Arial" w:eastAsia="Arial" w:hAnsi="Arial"/>
          <w:sz w:val="18"/>
          <w:szCs w:val="18"/>
          <w:color w:val="auto"/>
        </w:rPr>
        <w:t>”: Wynn Las Vegas Capital Corp., a Nevada corporation.</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xml:space="preserve">”: for any period, with respect to any Person, the aggregate of all expenditures by such Person and its Subsidiaries for the acquisition or leasing (pursuant to a capital lease) of fixed or capital assets (including, without limitation, real property) or additions to equipment (including replacements, capitalized repairs and improvements during such period) which should be capitalized under GAAP on a consolidated balance sheet of such Person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 of Capital Expenditures in respect of fixed or capital assets or additions to equipment in any Fiscal Year shall not include (a) the Net Cash Proceeds received by any such Person from Dispositions of Property pursuant to Section 7.5(a) and applied to the acquisition of fixed or capital assets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(i) to the extent funded with proceeds of Indebtedness described in Section 7.2(l) or equity capital contributions from Wynn Resorts (or another Affiliate to the extent acting as an intermediary for purposes of contributing equity capital contributions from Wynn Resorts to a Loan Party for application to Capital Expenditures), any expenditures in furtherance of the construction of the Additional Entertainment Facility and the Retail Facility that otherwise would have constituted Capital Expenditures by virtue of the foregoing and (ii) any Project Costs shall in each case be excluded from this definition for purposes of Section 7.7 only.</w:t>
      </w:r>
    </w:p>
    <w:p>
      <w:pPr>
        <w:spacing w:after="0" w:line="30"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70" w:name="page71"/>
    <w:bookmarkEnd w:id="70"/>
    <w:p>
      <w:pPr>
        <w:ind w:right="20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Capital Stock</w:t>
      </w:r>
      <w:r>
        <w:rPr>
          <w:rFonts w:ascii="Arial" w:cs="Arial" w:eastAsia="Arial" w:hAnsi="Arial"/>
          <w:sz w:val="16"/>
          <w:szCs w:val="16"/>
          <w:color w:val="auto"/>
        </w:rPr>
        <w:t>”: any and all shares, interests, participations or other equivalents (however designated) of capital stock of a corporation, any and all classes of membership or member’s interests in a limited liability company, any and all classes of partnership interests in a partnership, any and all equivalent ownership interests in a Person and any and all warrants, rights or options to purchase any of the foregoing.</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Carryover Amount</w:t>
      </w:r>
      <w:r>
        <w:rPr>
          <w:rFonts w:ascii="Arial" w:cs="Arial" w:eastAsia="Arial" w:hAnsi="Arial"/>
          <w:sz w:val="18"/>
          <w:szCs w:val="18"/>
          <w:color w:val="auto"/>
        </w:rPr>
        <w:t>”: as defined in Section 7.7.</w:t>
      </w:r>
    </w:p>
    <w:p>
      <w:pPr>
        <w:spacing w:after="0" w:line="77" w:lineRule="exact"/>
        <w:rPr>
          <w:sz w:val="20"/>
          <w:szCs w:val="20"/>
          <w:color w:val="auto"/>
        </w:rPr>
      </w:pPr>
    </w:p>
    <w:p>
      <w:pPr>
        <w:ind w:right="20" w:firstLine="43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Equivalents</w:t>
      </w:r>
      <w:r>
        <w:rPr>
          <w:rFonts w:ascii="Arial" w:cs="Arial" w:eastAsia="Arial" w:hAnsi="Arial"/>
          <w:sz w:val="15"/>
          <w:szCs w:val="15"/>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or S&amp;P and in each case maturing within six months after the date of acquisition; (f) money market funds at least 95% of the assets of which constitute Cash Equivalents of the kinds described in clauses (a) through (e) of this definition; (g) to the extent not permitted in clauses</w:t>
      </w:r>
    </w:p>
    <w:p>
      <w:pPr>
        <w:spacing w:after="0" w:line="4" w:lineRule="exact"/>
        <w:rPr>
          <w:sz w:val="20"/>
          <w:szCs w:val="20"/>
          <w:color w:val="auto"/>
        </w:rPr>
      </w:pPr>
    </w:p>
    <w:p>
      <w:pPr>
        <w:ind w:right="200" w:firstLine="4"/>
        <w:spacing w:after="0" w:line="255"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(f) of this definition, Permitted Securities; and (h) to the extent not included in clauses (a) through (g) of this definition and for so long as any 2014 Notes remain outstanding, funds managed or offered by the 2014 Notes Indenture Trustee that invest exclusively in the securities and instruments described in clauses (a) through (g) above.</w:t>
      </w:r>
    </w:p>
    <w:p>
      <w:pPr>
        <w:spacing w:after="0" w:line="50"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the occurrence of any of the following: (a) the direct or indirect sale, transfer, conveyance or other disposition (other than by way of merger or consolidation), in one or a series of related transactions, of all or substantially all of the properties or assets of the Loan Parties, taken as a whole, to any “person” (as that term is used in Section 13(d)(3) of the Exchange Act), other than to Mr. Wynn or a Related Party of Mr. Wynn, (b) the adoption of a plan relating to the liquidation or dissolution of the Borrower or any successor thereto, (c) the consummation of any transaction (including, without limitation, any merger or consolidation) the result of which is that (i) any “person” (as defined in clause (a) above), other than Mr. Wynn and any of his Related Parties becomes the Beneficial Owner, directly or indirectly, of more than 50% of the outstanding Voting Stock of Wynn Resorts, measured by voting power rather than number of equity interests, (ii) any “person” (as defined in clause (a) above)(other than Kazuo Okada, Aruze USA and Aruze Corp., so long as (A) the Stockholders Agreement, as in effect on the Closing Date, remains in full force and effect, (B) a majority of the Board of Directors of</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71" w:name="page72"/>
    <w:bookmarkEnd w:id="7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(iii) prior to December 31, 2007, Mr. Wynn and his Related Parties as a group own less than 80% of the outstanding Voting Stock of Wynn Resorts owned by such group as of the Closing Date, or (iv) prior to December 31, 2007 Mr. Wynn and his Related Parties as a group own less than 10% of the outstanding Voting Stock of Wynn Resorts, measured by voting power rather than number of equity interests, (d) the first day prior to December 31, 2007 on which Mr. Wynn does not act as either the Chairman of the Board of Directors of Wynn Resorts or the Chief Executive Officer of Wynn Resorts, other than (A) as a result of death or disability or (B) if the Board of Directors of Wynn Resorts, exercising their fiduciary duties in good faith, removes or fails to re-appoint Mr. Wynn as Chairman of the Board of Directors of Wynn Resorts or Chief Executive Officer of Wynn Resorts, (e) the first day on which a majority of the members of the Board of Directors of Wynn Resorts are not Continuing Directors, (f) the first day on which Wynn Resorts ceases to own, directly or indirectly, 100% of the outstanding Capital Stock of the Borrower or (g)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December 14, 2004.</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77"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Property of the Loan Parties, Wynn Resorts Holdings or any other Person, now owned or hereafter acquired, upon which a Lien is purported to be created by any Security Document.</w:t>
      </w:r>
    </w:p>
    <w:p>
      <w:pPr>
        <w:spacing w:after="0" w:line="37"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Agency Agreement</w:t>
      </w:r>
      <w:r>
        <w:rPr>
          <w:rFonts w:ascii="Arial" w:cs="Arial" w:eastAsia="Arial" w:hAnsi="Arial"/>
          <w:sz w:val="18"/>
          <w:szCs w:val="18"/>
          <w:color w:val="auto"/>
        </w:rPr>
        <w:t>”: the Collateral Agency Agreement, dated as of the Closing Date, among the Collateral Agent, the Nevada Collateral Agent and other parties from time to time party thereto.</w:t>
      </w:r>
    </w:p>
    <w:p>
      <w:pPr>
        <w:spacing w:after="0" w:line="37"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Deutsche Bank Trust Company Americas in its capacity as Collateral Agent under and as defined in the Intercreditor Agreement, any successor Collateral Agent and any assignee of the foregoing appointed pursuant to the terms of the Intercreditor Agreement.</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72" w:name="page73"/>
    <w:bookmarkEnd w:id="72"/>
    <w:p>
      <w:pPr>
        <w:ind w:right="8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as to any Lender, the sum of the Term B Loan Commitment, the New Term Loan Commitment and the Revolving Credit Commitment of such Lender.</w:t>
      </w:r>
    </w:p>
    <w:p>
      <w:pPr>
        <w:spacing w:after="0" w:line="37" w:lineRule="exact"/>
        <w:rPr>
          <w:sz w:val="20"/>
          <w:szCs w:val="20"/>
          <w:color w:val="auto"/>
        </w:rPr>
      </w:pPr>
    </w:p>
    <w:p>
      <w:pPr>
        <w:jc w:val="both"/>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Disbursement Collateral Account Agreement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Concentration Account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Funds Account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Guarantor</w:t>
      </w:r>
      <w:r>
        <w:rPr>
          <w:rFonts w:ascii="Arial" w:cs="Arial" w:eastAsia="Arial" w:hAnsi="Arial"/>
          <w:sz w:val="18"/>
          <w:szCs w:val="18"/>
          <w:color w:val="auto"/>
        </w:rPr>
        <w:t>”: Wynn Completion Guarantor, LLC, a Nevada limited liability company.</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w:t>
      </w:r>
      <w:r>
        <w:rPr>
          <w:rFonts w:ascii="Arial" w:cs="Arial" w:eastAsia="Arial" w:hAnsi="Arial"/>
          <w:sz w:val="18"/>
          <w:szCs w:val="18"/>
          <w:color w:val="auto"/>
        </w:rPr>
        <w:t>”: that certain Completion Guaranty, dated as of the Closing Date, by the Completion Guarantor in favor of the Administrative Agent and the 2014 Notes Indenture Trustee.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 Collateral Account Agreement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Guaranty Deposit Account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certificate duly executed by a Responsible Officer substantially in the form of Exhibit A hereto.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 Memorandum</w:t>
      </w:r>
      <w:r>
        <w:rPr>
          <w:rFonts w:ascii="Arial" w:cs="Arial" w:eastAsia="Arial" w:hAnsi="Arial"/>
          <w:sz w:val="18"/>
          <w:szCs w:val="18"/>
          <w:color w:val="auto"/>
        </w:rPr>
        <w:t>”: the Confidential Executive Summary dated July 2006 and furnished to the Lenders.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Current Assets</w:t>
      </w:r>
      <w:r>
        <w:rPr>
          <w:rFonts w:ascii="Arial" w:cs="Arial" w:eastAsia="Arial" w:hAnsi="Arial"/>
          <w:sz w:val="16"/>
          <w:szCs w:val="16"/>
          <w:color w:val="auto"/>
        </w:rPr>
        <w:t>”: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1"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73" w:name="page74"/>
    <w:bookmarkEnd w:id="73"/>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and (b) without duplication of clause (a) above, all Indebtedness consisting of Revolving Credit Loans or Swing Line Loans to the extent otherwise included therein.</w:t>
      </w:r>
    </w:p>
    <w:p>
      <w:pPr>
        <w:spacing w:after="0" w:line="37" w:lineRule="exact"/>
        <w:rPr>
          <w:sz w:val="20"/>
          <w:szCs w:val="20"/>
          <w:color w:val="auto"/>
        </w:rPr>
      </w:pPr>
    </w:p>
    <w:p>
      <w:pPr>
        <w:ind w:firstLine="43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of any Person for any period, Consolidated Net Income of such Person and its Subsidiaries for such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without duplication and to the extent included in the calculation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(including prepayment penalties and premiums) associated with Indebtedness (including, in the case of the Borrower and its subsidiaries, the Loans, Letters of Credit and Hedge Agreements), (c) depreciation and amortization expense, (d) amortization of intangibles (including, but not limited to, goodwill), (e) any extraordinary expenses or losses (and, whether or not otherwise includable as separate items in the statement of such Consolidated Net Income for such period, losses on sales of assets outside of the ordinary course of business and pre-opening expenses related to the initial opening of the Phase II Project and (f) other non-cash items reducing such Consolidated Net Income (excluding any such non-cash item (other than accruals or reserves for Management Fees) to the extent that it represents an accrual or reserve for potential cash items in any future period or amortization of a prepaid cash item that was paid in a prior period) and </w:t>
      </w:r>
      <w:r>
        <w:rPr>
          <w:rFonts w:ascii="Arial" w:cs="Arial" w:eastAsia="Arial" w:hAnsi="Arial"/>
          <w:sz w:val="15"/>
          <w:szCs w:val="15"/>
          <w:u w:val="single" w:color="auto"/>
          <w:color w:val="auto"/>
        </w:rPr>
        <w:t>minus</w:t>
      </w:r>
      <w:r>
        <w:rPr>
          <w:rFonts w:ascii="Arial" w:cs="Arial" w:eastAsia="Arial" w:hAnsi="Arial"/>
          <w:sz w:val="15"/>
          <w:szCs w:val="15"/>
          <w:color w:val="auto"/>
        </w:rPr>
        <w:t>, (A) to the extent included in the calculation of such Consolidated Net Income for such period, the sum of (i) interest income other than, in the case of any Loan Party, interest income received in cash or cash equivalents during such period from the Macau Loan (except to the extent deducted in determining Consolidated Interest Expense),</w:t>
      </w:r>
    </w:p>
    <w:p>
      <w:pPr>
        <w:spacing w:after="0" w:line="3" w:lineRule="exact"/>
        <w:rPr>
          <w:sz w:val="20"/>
          <w:szCs w:val="20"/>
          <w:color w:val="auto"/>
        </w:rPr>
      </w:pPr>
    </w:p>
    <w:p>
      <w:pPr>
        <w:ind w:right="40" w:firstLine="4"/>
        <w:spacing w:after="0" w:line="285"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any extraordinary income or gains (and, whether or not otherwise includable as a separate item in the statement of such Consolidated Net Income for such period, gains on the sales of assets outside of the ordinary course of business) and (iii) other non-cash items increasing such Consolidated Net Income for such period (excluding any such non-cash item to the extent it represents the reversal of an accrual or reserve for potential cash item in any prior period), and (B) any cash payment of Management Fees to the extent such payments were not included in the calculation of Consolidated Net Income for such period, all as determined on a consolidated basis. Any cash equity contributions made by Mr. Wynn, Wynn Resorts or any of their Affiliates (other than the Borrower or any other Loan Party) to the Borrower during any fiscal quarter and during a period of fifteen days following such fiscal quarter and not otherwise applied or allocated for application toward Project Costs for either the Phase I Project or the Phase II Project, in an aggregate amount not to exceed $20,000,000 per fiscal quarter, may at the written election of the Borrower to the Administrative Agent (such election to be made during the fiscal quarter in which such cash equity contributions were made or during the fifteen day period following such fiscal quarter) be included in Consolidated EBITDA for such quarter for purposes of any calculations made pursuant to Section 7.1 only;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include such cash equity contributions in Consolidated EBITDA (i) if any Default or Event of Default has occurred and is continuing at the time such cash contribution is made (other than in respect of Section 7.1 for the most recent fiscal quarter of the Borrower absent application of this provision) or (ii) in any event, after the Borrower has elected to include any such cash equity contributions in Consolidated EBITDA in accordance with this sentence for three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74" w:name="page75"/>
    <w:bookmarkEnd w:id="74"/>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consecutive fiscal quarters unless, following any such three consecutive fiscal quarters, the Borrower has thereafter been in compliance with Section 7.1 (without giving affect to any previous cash contributions included in Consolidated EBITDA in accordance with this sentence) on at least one Quarterly Date.</w:t>
      </w:r>
    </w:p>
    <w:p>
      <w:pPr>
        <w:spacing w:after="0" w:line="4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EBITDA of the Borrower and its Subsidiaries for such period to (b) Consolidated Interest Expense of the Borrower and its Subsidiaries for such period.</w:t>
      </w:r>
    </w:p>
    <w:p>
      <w:pPr>
        <w:spacing w:after="0" w:line="37"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of any Person for any period, total interest expense (including that attributable to Capital Lease Obligations in accordance with GAAP) of such Person and its Subsidiaries for such period and any interest capitalized during such period, with respect to all outstanding Indebtedness of such Person and its Subsidiaries (including, without limitation, all commissions, discounts and other fees and charges owed by such Persons with respect to letters of credit and bankers’ acceptance financing and net costs of such Persons under Hedge Agreements in respect of interest rates to the extent such net costs are allocable to such period in accordance with GAAP).</w:t>
      </w:r>
    </w:p>
    <w:p>
      <w:pPr>
        <w:spacing w:after="0" w:line="21"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for any period, the ratio of (a) Consolidated Total Debt on the last day of such period to (b) Consolidated EBITDA of the Borrower for such period.</w:t>
      </w:r>
    </w:p>
    <w:p>
      <w:pPr>
        <w:spacing w:after="0" w:line="3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Member</w:t>
      </w:r>
      <w:r>
        <w:rPr>
          <w:rFonts w:ascii="Arial" w:cs="Arial" w:eastAsia="Arial" w:hAnsi="Arial"/>
          <w:sz w:val="18"/>
          <w:szCs w:val="18"/>
          <w:color w:val="auto"/>
        </w:rPr>
        <w:t>”: a corporation, other than the common parent, that is a member of an affiliated group (as defined in Section 1504 of the Code) of which Wynn Resorts or any of the Loan Parties is the common parent.</w:t>
      </w:r>
    </w:p>
    <w:p>
      <w:pPr>
        <w:spacing w:after="0" w:line="37"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6"/>
          <w:szCs w:val="16"/>
          <w:u w:val="single" w:color="auto"/>
          <w:color w:val="auto"/>
        </w:rPr>
        <w:t>provided</w:t>
      </w:r>
      <w:r>
        <w:rPr>
          <w:rFonts w:ascii="Arial" w:cs="Arial" w:eastAsia="Arial" w:hAnsi="Arial"/>
          <w:sz w:val="16"/>
          <w:szCs w:val="16"/>
          <w:color w:val="auto"/>
        </w:rPr>
        <w:t>, that in calculating Consolidated Net Income of a Person (for purposes of this definition only, the “</w:t>
      </w:r>
      <w:r>
        <w:rPr>
          <w:rFonts w:ascii="Arial" w:cs="Arial" w:eastAsia="Arial" w:hAnsi="Arial"/>
          <w:sz w:val="16"/>
          <w:szCs w:val="16"/>
          <w:u w:val="single" w:color="auto"/>
          <w:color w:val="auto"/>
        </w:rPr>
        <w:t>Parent</w:t>
      </w:r>
      <w:r>
        <w:rPr>
          <w:rFonts w:ascii="Arial" w:cs="Arial" w:eastAsia="Arial" w:hAnsi="Arial"/>
          <w:sz w:val="16"/>
          <w:szCs w:val="16"/>
          <w:color w:val="auto"/>
        </w:rPr>
        <w:t>”) and its consolidated Subsidiaries for any period, there shall be excluded in each case to the extent included in such Consolidated Net Income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75" w:name="page76"/>
    <w:bookmarkEnd w:id="75"/>
    <w:p>
      <w:pPr>
        <w:ind w:right="1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xml:space="preserve">”: at any date, an aggregate amount equal to (a) the aggregate principal amount of all Indebtedness of the Borrower and its Subsidiaries at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an amount equal to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(in each case as defined below), in each case determined on a consolidated basis in accordance with GAAP.</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definition of Consolidated Total Debt at any date:</w:t>
      </w:r>
    </w:p>
    <w:p>
      <w:pPr>
        <w:spacing w:after="0" w:line="77" w:lineRule="exact"/>
        <w:rPr>
          <w:sz w:val="20"/>
          <w:szCs w:val="20"/>
          <w:color w:val="auto"/>
        </w:rPr>
      </w:pPr>
    </w:p>
    <w:p>
      <w:pPr>
        <w:ind w:left="1460" w:right="20" w:hanging="445"/>
        <w:spacing w:after="0" w:line="256" w:lineRule="auto"/>
        <w:tabs>
          <w:tab w:leader="none" w:pos="1440" w:val="left"/>
        </w:tabs>
        <w:rPr>
          <w:sz w:val="20"/>
          <w:szCs w:val="20"/>
          <w:color w:val="auto"/>
        </w:rPr>
      </w:pPr>
      <w:r>
        <w:rPr>
          <w:rFonts w:ascii="Arial" w:cs="Arial" w:eastAsia="Arial" w:hAnsi="Arial"/>
          <w:sz w:val="18"/>
          <w:szCs w:val="18"/>
          <w:color w:val="auto"/>
        </w:rPr>
        <w:t>A =</w:t>
        <w:tab/>
        <w:t>the aggregate amount of cash and Cash Equivalents of the Borrower and the other Loan Parties on such date on deposit in an Account with respect to which the Secured Parties have a perfected first priority Lien securing the Obligations pursuant to a Control Agreement (for purposes of clarification, not to include any amounts on deposit in either of the Completion Guaranty Deposit Account or the Project Liquidity Reserve Account);</w:t>
      </w:r>
    </w:p>
    <w:p>
      <w:pPr>
        <w:spacing w:after="0" w:line="49" w:lineRule="exact"/>
        <w:rPr>
          <w:sz w:val="20"/>
          <w:szCs w:val="20"/>
          <w:color w:val="auto"/>
        </w:rPr>
      </w:pPr>
    </w:p>
    <w:p>
      <w:pPr>
        <w:ind w:left="1460" w:right="300" w:hanging="445"/>
        <w:spacing w:after="0" w:line="268" w:lineRule="auto"/>
        <w:tabs>
          <w:tab w:leader="none" w:pos="1440" w:val="left"/>
        </w:tabs>
        <w:rPr>
          <w:sz w:val="20"/>
          <w:szCs w:val="20"/>
          <w:color w:val="auto"/>
        </w:rPr>
      </w:pPr>
      <w:r>
        <w:rPr>
          <w:rFonts w:ascii="Arial" w:cs="Arial" w:eastAsia="Arial" w:hAnsi="Arial"/>
          <w:sz w:val="18"/>
          <w:szCs w:val="18"/>
          <w:color w:val="auto"/>
        </w:rPr>
        <w:t>B =</w:t>
        <w:tab/>
        <w:t>the aggregate amount of cash and Cash Equivalents of the Borrower and the other Loan Parties on such date on deposit in the 2014 Notes Proceeds Account; and</w:t>
      </w:r>
    </w:p>
    <w:p>
      <w:pPr>
        <w:spacing w:after="0" w:line="37" w:lineRule="exact"/>
        <w:rPr>
          <w:sz w:val="20"/>
          <w:szCs w:val="20"/>
          <w:color w:val="auto"/>
        </w:rPr>
      </w:pPr>
    </w:p>
    <w:p>
      <w:pPr>
        <w:ind w:left="1460" w:right="140" w:hanging="445"/>
        <w:spacing w:after="0" w:line="268" w:lineRule="auto"/>
        <w:tabs>
          <w:tab w:leader="none" w:pos="1440" w:val="left"/>
        </w:tabs>
        <w:rPr>
          <w:sz w:val="20"/>
          <w:szCs w:val="20"/>
          <w:color w:val="auto"/>
        </w:rPr>
      </w:pPr>
      <w:r>
        <w:rPr>
          <w:rFonts w:ascii="Arial" w:cs="Arial" w:eastAsia="Arial" w:hAnsi="Arial"/>
          <w:sz w:val="18"/>
          <w:szCs w:val="18"/>
          <w:color w:val="auto"/>
        </w:rPr>
        <w:t>C =</w:t>
        <w:tab/>
        <w:t>to the extent included in A above, cage cash related to casino operations in an amount up to $16,000,000 (or from and after the Phase II Opening Date, $20,000,000).</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at any date, the excess of Consolidated Current Assets on such date over Consolidated Current Liabilities on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 Agreement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 Consultant</w:t>
      </w:r>
      <w:r>
        <w:rPr>
          <w:rFonts w:ascii="Arial" w:cs="Arial" w:eastAsia="Arial" w:hAnsi="Arial"/>
          <w:sz w:val="18"/>
          <w:szCs w:val="18"/>
          <w:color w:val="auto"/>
        </w:rPr>
        <w:t>”: Inspection &amp; Valuation International, Inc. or such other construction consultant of recognized national standing appointed by the Administrative Agent with, unless at the time of such appointment there exists an Event of Default, the consent of the Borrower (such consent not to be unreasonably withheld or delayed).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as of any date of determination, with respect to any Person, any member of the Board of Directors of such Person who</w:t>
      </w:r>
    </w:p>
    <w:p>
      <w:pPr>
        <w:spacing w:after="0" w:line="38" w:lineRule="exact"/>
        <w:rPr>
          <w:sz w:val="20"/>
          <w:szCs w:val="20"/>
          <w:color w:val="auto"/>
        </w:rPr>
      </w:pPr>
    </w:p>
    <w:p>
      <w:pPr>
        <w:ind w:right="120" w:firstLine="4"/>
        <w:spacing w:after="0" w:line="261"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76" w:name="page77"/>
    <w:bookmarkEnd w:id="76"/>
    <w:p>
      <w:pPr>
        <w:ind w:right="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37"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Agreements</w:t>
      </w:r>
      <w:r>
        <w:rPr>
          <w:rFonts w:ascii="Arial" w:cs="Arial" w:eastAsia="Arial" w:hAnsi="Arial"/>
          <w:sz w:val="16"/>
          <w:szCs w:val="16"/>
          <w:color w:val="auto"/>
        </w:rPr>
        <w:t>”: collectively, (a) the Completion Guaranty Collateral Account Agreement, (b) the Company Disbursement Collateral Account Agreement, (c) the Local Company Collateral Account Agreement(s) and (d) each control agreement executed and delivered by any Loan Party from time to time pursuant to the Security Agreement, substantially in the form of Exhibit C, Exhibit D or Exhibit E, as the case may be, thereto.</w:t>
      </w:r>
    </w:p>
    <w:p>
      <w:pPr>
        <w:spacing w:after="0" w:line="12"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Dealership Lease Agreement</w:t>
      </w:r>
      <w:r>
        <w:rPr>
          <w:rFonts w:ascii="Arial" w:cs="Arial" w:eastAsia="Arial" w:hAnsi="Arial"/>
          <w:sz w:val="18"/>
          <w:szCs w:val="18"/>
          <w:color w:val="auto"/>
        </w:rPr>
        <w:t>”: that certain Lease Agreement, dated as of January 13, 2005, between the Borrower, as lessor, and PW Automotive, LLC, an Affiliate of the Borrower, as lessee.</w:t>
      </w:r>
    </w:p>
    <w:p>
      <w:pPr>
        <w:spacing w:after="0" w:line="3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the occurrence of any of the events specified in Section 8, whether or not any requirement for the giving of notice, the lapse of time, or both, has been satisfied.</w:t>
      </w:r>
    </w:p>
    <w:p>
      <w:pPr>
        <w:spacing w:after="0" w:line="37"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Derivatives Counterparty</w:t>
      </w:r>
      <w:r>
        <w:rPr>
          <w:rFonts w:ascii="Arial" w:cs="Arial" w:eastAsia="Arial" w:hAnsi="Arial"/>
          <w:sz w:val="18"/>
          <w:szCs w:val="18"/>
          <w:color w:val="auto"/>
        </w:rPr>
        <w:t>”: as defined in Section 7.6.</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Account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Agent</w:t>
      </w:r>
      <w:r>
        <w:rPr>
          <w:rFonts w:ascii="Arial" w:cs="Arial" w:eastAsia="Arial" w:hAnsi="Arial"/>
          <w:sz w:val="18"/>
          <w:szCs w:val="18"/>
          <w:color w:val="auto"/>
        </w:rPr>
        <w:t>”: Deutsche Bank Trust Company Americas, in its capacity as Disbursement Agent under the Disbursement Agreement, and any successor Disbursement Agent appointed pursuant to the terms of the Disbursement Agreement.</w:t>
      </w:r>
    </w:p>
    <w:p>
      <w:pPr>
        <w:spacing w:after="0" w:line="37"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the Master Disbursement Agreement dated as of the Closing Date, among the Borrower, the Administrative Agent, the 2014 Notes Indenture Trustee and the Disbursement Agent.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Agreement Event of Default</w:t>
      </w:r>
      <w:r>
        <w:rPr>
          <w:rFonts w:ascii="Arial" w:cs="Arial" w:eastAsia="Arial" w:hAnsi="Arial"/>
          <w:sz w:val="18"/>
          <w:szCs w:val="18"/>
          <w:color w:val="auto"/>
        </w:rPr>
        <w:t>”: an “Event of Default” as defined in the Disbursement Agreement.</w:t>
      </w:r>
    </w:p>
    <w:p>
      <w:pPr>
        <w:spacing w:after="0" w:line="77" w:lineRule="exact"/>
        <w:rPr>
          <w:sz w:val="20"/>
          <w:szCs w:val="20"/>
          <w:color w:val="auto"/>
        </w:rPr>
      </w:pPr>
    </w:p>
    <w:p>
      <w:pPr>
        <w:ind w:right="7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with respect to any Property, any sale, lease, assignment, conveyance, transfer or other disposition thereof and, in the case of Dispositions of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77" w:name="page78"/>
    <w:bookmarkEnd w:id="77"/>
    <w:p>
      <w:pPr>
        <w:ind w:left="46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Golf Course Land and the Home Site Land permitted under Sections 7.5(k) and 7.5(l), respectively, the transfer of the Golf Course Land and the Home Site Land to Wynn Resorts (or any other parent entity of the Loan Parties) pursuant to a dividend or other Restricted Payment; and the terms “</w:t>
      </w:r>
      <w:r>
        <w:rPr>
          <w:rFonts w:ascii="Arial" w:cs="Arial" w:eastAsia="Arial" w:hAnsi="Arial"/>
          <w:sz w:val="16"/>
          <w:szCs w:val="16"/>
          <w:u w:val="single" w:color="auto"/>
          <w:color w:val="auto"/>
        </w:rPr>
        <w:t>Dispose</w:t>
      </w:r>
      <w:r>
        <w:rPr>
          <w:rFonts w:ascii="Arial" w:cs="Arial" w:eastAsia="Arial" w:hAnsi="Arial"/>
          <w:sz w:val="16"/>
          <w:szCs w:val="16"/>
          <w:color w:val="auto"/>
        </w:rPr>
        <w:t>” and “</w:t>
      </w:r>
      <w:r>
        <w:rPr>
          <w:rFonts w:ascii="Arial" w:cs="Arial" w:eastAsia="Arial" w:hAnsi="Arial"/>
          <w:sz w:val="16"/>
          <w:szCs w:val="16"/>
          <w:u w:val="single" w:color="auto"/>
          <w:color w:val="auto"/>
        </w:rPr>
        <w:t>Disposed of</w:t>
      </w:r>
      <w:r>
        <w:rPr>
          <w:rFonts w:ascii="Arial" w:cs="Arial" w:eastAsia="Arial" w:hAnsi="Arial"/>
          <w:sz w:val="16"/>
          <w:szCs w:val="16"/>
          <w:color w:val="auto"/>
        </w:rPr>
        <w:t>” shall have correlative meanings. Notwithstanding the foregoing, the transfer by a Loan Party of water rights from one permit to another permit held by such Loan Party or held by another Loan Party shall in no event be considered a “Disposition” for the purposes of the Loan Documents.</w:t>
      </w:r>
    </w:p>
    <w:p>
      <w:pPr>
        <w:spacing w:after="0" w:line="18" w:lineRule="exact"/>
        <w:rPr>
          <w:sz w:val="20"/>
          <w:szCs w:val="20"/>
          <w:color w:val="auto"/>
        </w:rPr>
      </w:pPr>
    </w:p>
    <w:p>
      <w:pPr>
        <w:ind w:left="460" w:right="240" w:firstLine="438"/>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Disqualified Stock</w:t>
      </w:r>
      <w:r>
        <w:rPr>
          <w:rFonts w:ascii="Arial" w:cs="Arial" w:eastAsia="Arial" w:hAnsi="Arial"/>
          <w:sz w:val="15"/>
          <w:szCs w:val="15"/>
          <w:color w:val="auto"/>
        </w:rPr>
        <w:t>”: any Capital Stock of any Loan Party that any Loan Party is or, upon the passage of time or the occurrence of any event, may become obligated to redeem, purchase, retire, defease or otherwise make any payment in respect of (whether by its terms or by the terms of any security into which it is convertible, or for which it is exchangeable, in each case at the option of the holder of the Capital Stock), whether pursuant to a sinking fund obligation or otherwise, on or prior to the date that is 91 days after the Scheduled Term B Loan Termination Date. Notwithstanding the preceding sentence, any Capital Stock will not constitute Disqualified Stock solely because it is required to be redeemed under applicable Nevada Gaming Laws.</w:t>
      </w:r>
    </w:p>
    <w:p>
      <w:pPr>
        <w:spacing w:after="0" w:line="5" w:lineRule="exact"/>
        <w:rPr>
          <w:sz w:val="20"/>
          <w:szCs w:val="20"/>
          <w:color w:val="auto"/>
        </w:rPr>
      </w:pPr>
    </w:p>
    <w:p>
      <w:pPr>
        <w:ind w:left="460" w:right="18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Documentation Agents</w:t>
      </w:r>
      <w:r>
        <w:rPr>
          <w:rFonts w:ascii="Arial" w:cs="Arial" w:eastAsia="Arial" w:hAnsi="Arial"/>
          <w:sz w:val="16"/>
          <w:szCs w:val="16"/>
          <w:color w:val="auto"/>
        </w:rPr>
        <w:t>”: collectively, Bear Stearns Corporate Lending Inc., in its capacity as a joint documentation agent, JPMorgan Chase Bank, N.A., in its capacity as a joint documentation agent, and Societe Generale, in its capacity as a joint documentation agent.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 of America.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any Subsidiary of the Borrower organized under the laws of any jurisdiction within the United States of America.</w:t>
      </w:r>
    </w:p>
    <w:p>
      <w:pPr>
        <w:spacing w:after="0" w:line="10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with respect to any Fiscal Year, a percentage determined by the Consolidated Leverage Ratio for the four consecutive fiscal quarter period ending on the last day of such Fiscal Year as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Consolidated Leverage Ratio</w:t>
            </w:r>
          </w:p>
        </w:tc>
        <w:tc>
          <w:tcPr>
            <w:tcW w:w="1920" w:type="dxa"/>
            <w:vAlign w:val="bottom"/>
          </w:tcPr>
          <w:p>
            <w:pPr>
              <w:spacing w:after="0"/>
              <w:rPr>
                <w:sz w:val="15"/>
                <w:szCs w:val="15"/>
                <w:color w:val="auto"/>
              </w:rPr>
            </w:pPr>
          </w:p>
        </w:tc>
        <w:tc>
          <w:tcPr>
            <w:tcW w:w="5460" w:type="dxa"/>
            <w:vAlign w:val="bottom"/>
          </w:tcPr>
          <w:p>
            <w:pPr>
              <w:ind w:left="2260"/>
              <w:spacing w:after="0"/>
              <w:rPr>
                <w:sz w:val="20"/>
                <w:szCs w:val="20"/>
                <w:color w:val="auto"/>
              </w:rPr>
            </w:pPr>
            <w:r>
              <w:rPr>
                <w:rFonts w:ascii="Arial" w:cs="Arial" w:eastAsia="Arial" w:hAnsi="Arial"/>
                <w:sz w:val="14"/>
                <w:szCs w:val="14"/>
                <w:b w:val="1"/>
                <w:bCs w:val="1"/>
                <w:color w:val="auto"/>
              </w:rPr>
              <w:t>ECF Percentage</w:t>
            </w:r>
          </w:p>
        </w:tc>
      </w:tr>
      <w:tr>
        <w:trPr>
          <w:trHeight w:val="95"/>
        </w:trPr>
        <w:tc>
          <w:tcPr>
            <w:tcW w:w="170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102"/>
        </w:trPr>
        <w:tc>
          <w:tcPr>
            <w:tcW w:w="17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60" w:type="dxa"/>
            <w:vAlign w:val="bottom"/>
          </w:tcPr>
          <w:p>
            <w:pPr>
              <w:spacing w:after="0"/>
              <w:rPr>
                <w:sz w:val="8"/>
                <w:szCs w:val="8"/>
                <w:color w:val="auto"/>
              </w:rPr>
            </w:pPr>
          </w:p>
        </w:tc>
      </w:tr>
      <w:tr>
        <w:trPr>
          <w:trHeight w:val="216"/>
        </w:trPr>
        <w:tc>
          <w:tcPr>
            <w:tcW w:w="170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x &gt; 3.5:1</w:t>
            </w:r>
          </w:p>
        </w:tc>
        <w:tc>
          <w:tcPr>
            <w:tcW w:w="7380" w:type="dxa"/>
            <w:vAlign w:val="bottom"/>
            <w:gridSpan w:val="2"/>
            <w:shd w:val="clear" w:color="auto" w:fill="CCEEFF"/>
          </w:tcPr>
          <w:p>
            <w:pPr>
              <w:jc w:val="right"/>
              <w:ind w:right="2512"/>
              <w:spacing w:after="0"/>
              <w:rPr>
                <w:sz w:val="20"/>
                <w:szCs w:val="20"/>
                <w:color w:val="auto"/>
              </w:rPr>
            </w:pPr>
            <w:r>
              <w:rPr>
                <w:rFonts w:ascii="Arial" w:cs="Arial" w:eastAsia="Arial" w:hAnsi="Arial"/>
                <w:sz w:val="18"/>
                <w:szCs w:val="18"/>
                <w:color w:val="auto"/>
              </w:rPr>
              <w:t>50%</w:t>
            </w:r>
          </w:p>
        </w:tc>
      </w:tr>
      <w:tr>
        <w:trPr>
          <w:trHeight w:val="222"/>
        </w:trPr>
        <w:tc>
          <w:tcPr>
            <w:tcW w:w="17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x £ 3.5:1</w:t>
            </w:r>
          </w:p>
        </w:tc>
        <w:tc>
          <w:tcPr>
            <w:tcW w:w="7380" w:type="dxa"/>
            <w:vAlign w:val="bottom"/>
            <w:gridSpan w:val="2"/>
          </w:tcPr>
          <w:p>
            <w:pPr>
              <w:jc w:val="right"/>
              <w:ind w:right="2552"/>
              <w:spacing w:after="0"/>
              <w:rPr>
                <w:sz w:val="20"/>
                <w:szCs w:val="20"/>
                <w:color w:val="auto"/>
              </w:rPr>
            </w:pPr>
            <w:r>
              <w:rPr>
                <w:rFonts w:ascii="Arial" w:cs="Arial" w:eastAsia="Arial" w:hAnsi="Arial"/>
                <w:sz w:val="18"/>
                <w:szCs w:val="18"/>
                <w:color w:val="auto"/>
              </w:rPr>
              <w:t>0%</w:t>
            </w:r>
          </w:p>
        </w:tc>
      </w:tr>
    </w:tbl>
    <w:p>
      <w:pPr>
        <w:spacing w:after="0" w:line="53"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8" w:name="page79"/>
    <w:bookmarkEnd w:id="78"/>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 D under the Securities Act) which extends credit or buys loans as one of its businesses, including insurance companies, mutual funds and lease financing companies; and (b) for purposes of Sections 10.13(a), 2.25 and 2.26, any Lender or Affiliate or Affiliated Fund of any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funding obligations are assigned to an Affiliate of a Lender or Affiliated Fund, such Affiliate or Affiliated Fund, as applicable, shall have demonstrable resources to comply with such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an Affiliate of the Borrower nor any Person which has been denied an approval or a license, or otherwise found unsuitable, under the Nevada Gaming Laws applicable to the Lenders shall be an Eligible Assignee;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so long as no Event of Default shall have occurred and be continuing, no (i) Person that owns or operates a casino located in the State of Nevada (or is an Affiliate of such a Person) (</w:t>
      </w:r>
      <w:r>
        <w:rPr>
          <w:rFonts w:ascii="Arial" w:cs="Arial" w:eastAsia="Arial" w:hAnsi="Arial"/>
          <w:sz w:val="15"/>
          <w:szCs w:val="15"/>
          <w:u w:val="single" w:color="auto"/>
          <w:color w:val="auto"/>
        </w:rPr>
        <w:t>provided</w:t>
      </w:r>
      <w:r>
        <w:rPr>
          <w:rFonts w:ascii="Arial" w:cs="Arial" w:eastAsia="Arial" w:hAnsi="Arial"/>
          <w:sz w:val="15"/>
          <w:szCs w:val="15"/>
          <w:color w:val="auto"/>
        </w:rPr>
        <w:t>, that a passive investment constituting less than 20% of the common stock of any such casino shall not constitute ownership thereof for the purposes of this definition) or (ii) Person that owns or operates a convention, trade show or exhibition facility in Las Vegas, Nevada or Clark County, Nevada (or an Affiliate of such a Person) (</w:t>
      </w:r>
      <w:r>
        <w:rPr>
          <w:rFonts w:ascii="Arial" w:cs="Arial" w:eastAsia="Arial" w:hAnsi="Arial"/>
          <w:sz w:val="15"/>
          <w:szCs w:val="15"/>
          <w:u w:val="single" w:color="auto"/>
          <w:color w:val="auto"/>
        </w:rPr>
        <w:t>provided</w:t>
      </w:r>
      <w:r>
        <w:rPr>
          <w:rFonts w:ascii="Arial" w:cs="Arial" w:eastAsia="Arial" w:hAnsi="Arial"/>
          <w:sz w:val="15"/>
          <w:szCs w:val="15"/>
          <w:color w:val="auto"/>
        </w:rPr>
        <w:t>, that a passive investment constituting less than 20% of the common stock of any such convention or trade show facility shall not constitute ownership for the purpose of this definition), shall be an Eligible Assignee.</w:t>
      </w:r>
    </w:p>
    <w:p>
      <w:pPr>
        <w:spacing w:after="0" w:line="15"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Eminent Domain Proceeds</w:t>
      </w:r>
      <w:r>
        <w:rPr>
          <w:rFonts w:ascii="Arial" w:cs="Arial" w:eastAsia="Arial" w:hAnsi="Arial"/>
          <w:sz w:val="16"/>
          <w:szCs w:val="16"/>
          <w:color w:val="auto"/>
        </w:rPr>
        <w:t>”: all cash and cash equivalents received in respect of any Event of Eminent Domain relating to the Project net of (a) all direct costs of recovery of such Eminent Domain Proceeds (including legal, accounting, appraisal and insurance adjuster fees and expenses), (b) amounts required to be applied to the repayment of Indebtedness secured by a Lien (including any penalty, premium or make-whole amounts related thereto) expressly permitted hereunder on any asset which is the subject of the Event of Eminent Domain to which such Eminent Domain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24"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 Activity, or (c) in connection with any actual or alleged damage, injury, threat or harm to health, natural resources or the environment.</w:t>
      </w:r>
    </w:p>
    <w:p>
      <w:pPr>
        <w:spacing w:after="0" w:line="18"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as has been, is now, or may at any time hereafter be, in effect, including, without limitation,</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79" w:name="page80"/>
    <w:bookmarkEnd w:id="79"/>
    <w:p>
      <w:pPr>
        <w:ind w:left="-280" w:right="460" w:firstLine="421"/>
        <w:spacing w:after="0" w:line="268" w:lineRule="auto"/>
        <w:tabs>
          <w:tab w:leader="none" w:pos="379"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Comprehensive Environmental Response, Compensation, and Liability Act of 1980, as amended (42 U.S.C. Section 9601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CERCLA</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Federal Water Pollution Control Act (33 U.S.C. Section 1251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Clean Water Act</w:t>
      </w:r>
      <w:r>
        <w:rPr>
          <w:rFonts w:ascii="Arial" w:cs="Arial" w:eastAsia="Arial" w:hAnsi="Arial"/>
          <w:sz w:val="18"/>
          <w:szCs w:val="18"/>
          <w:color w:val="auto"/>
        </w:rPr>
        <w:t>” or “</w:t>
      </w:r>
      <w:r>
        <w:rPr>
          <w:rFonts w:ascii="Arial" w:cs="Arial" w:eastAsia="Arial" w:hAnsi="Arial"/>
          <w:sz w:val="18"/>
          <w:szCs w:val="18"/>
          <w:u w:val="single" w:color="auto"/>
          <w:color w:val="auto"/>
        </w:rPr>
        <w:t>CWA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Resource Conservation and Recovery Act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RCRA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Atomic Energy Act of 1954 (42 U.S.C. Section 2011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AEA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Clean Air Act (42 U.S.C. Section 7401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60" w:hanging="219"/>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Emergency Planning and Community Right-to-Know Act (42 U.S.C. Section 11001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Federal Insecticide, Fungicide, and Rodenticide Act (7 U.S.C. Section 136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FIFRA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Oil Pollution Act of 1990 (P.L. 101-380, 32 U.S.C. 2702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60" w:hanging="219"/>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Safe Drinking Water Act (42 U.S.C. Sections 300f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SDWA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60" w:hanging="219"/>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Surface Mining Control and Reclamation Act of 1977 (30 U.S.C. Sections 1201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Toxic Substances Control Act (15 U.S.C. Section 2601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TSCA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60" w:hanging="219"/>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Hazardous Materials Transportation Authorization Act (49 U.S.C. Section 5101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0" w:hanging="299"/>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Uranium Mill Tailings Radiation Control Act of 1978 (42 U.S.C. Section 7901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UMTRCA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the Occupational Safety and Health Act (29 U.S.C. Section 651 </w:t>
      </w:r>
      <w:r>
        <w:rPr>
          <w:rFonts w:ascii="Arial" w:cs="Arial" w:eastAsia="Arial" w:hAnsi="Arial"/>
          <w:sz w:val="15"/>
          <w:szCs w:val="15"/>
          <w:i w:val="1"/>
          <w:iCs w:val="1"/>
          <w:color w:val="auto"/>
        </w:rPr>
        <w:t>et seq.</w:t>
      </w:r>
      <w:r>
        <w:rPr>
          <w:rFonts w:ascii="Arial" w:cs="Arial" w:eastAsia="Arial" w:hAnsi="Arial"/>
          <w:sz w:val="15"/>
          <w:szCs w:val="15"/>
          <w:color w:val="auto"/>
        </w:rPr>
        <w:t>) (“</w:t>
      </w:r>
      <w:r>
        <w:rPr>
          <w:rFonts w:ascii="Arial" w:cs="Arial" w:eastAsia="Arial" w:hAnsi="Arial"/>
          <w:sz w:val="15"/>
          <w:szCs w:val="15"/>
          <w:u w:val="single" w:color="auto"/>
          <w:color w:val="auto"/>
        </w:rPr>
        <w:t>OSHA</w:t>
      </w:r>
      <w:r>
        <w:rPr>
          <w:rFonts w:ascii="Arial" w:cs="Arial" w:eastAsia="Arial" w:hAnsi="Arial"/>
          <w:sz w:val="15"/>
          <w:szCs w:val="15"/>
          <w:color w:val="auto"/>
        </w:rPr>
        <w:t>”) as it relates solely to exposure to Hazardous Substances;</w:t>
      </w:r>
    </w:p>
    <w:p>
      <w:pPr>
        <w:spacing w:after="0" w:line="111" w:lineRule="exact"/>
        <w:rPr>
          <w:rFonts w:ascii="Arial" w:cs="Arial" w:eastAsia="Arial" w:hAnsi="Arial"/>
          <w:sz w:val="15"/>
          <w:szCs w:val="15"/>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Nevada Hazardous Materials law (NRS Chapter 459);</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Nevada Collection and Disposal of Solid Waste/Sewage law (NRS Section 444.440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00"/>
          </w:cols>
          <w:pgMar w:left="1440" w:top="280" w:right="259" w:bottom="1440" w:gutter="0" w:footer="0" w:header="0"/>
        </w:sectPr>
      </w:pPr>
    </w:p>
    <w:bookmarkStart w:id="80" w:name="page81"/>
    <w:bookmarkEnd w:id="80"/>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Nevada Water Controls/Pollution law (NRS Chapter 445A);</w:t>
      </w:r>
    </w:p>
    <w:p>
      <w:pPr>
        <w:spacing w:after="0" w:line="76" w:lineRule="exact"/>
        <w:rPr>
          <w:rFonts w:ascii="Arial" w:cs="Arial" w:eastAsia="Arial" w:hAnsi="Arial"/>
          <w:sz w:val="18"/>
          <w:szCs w:val="18"/>
          <w:color w:val="auto"/>
        </w:rPr>
      </w:pPr>
    </w:p>
    <w:p>
      <w:pPr>
        <w:ind w:left="660" w:hanging="21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Air Pollution law (NRS Chapter 445B);</w:t>
      </w:r>
    </w:p>
    <w:p>
      <w:pPr>
        <w:spacing w:after="0" w:line="76" w:lineRule="exact"/>
        <w:rPr>
          <w:rFonts w:ascii="Arial" w:cs="Arial" w:eastAsia="Arial" w:hAnsi="Arial"/>
          <w:sz w:val="18"/>
          <w:szCs w:val="18"/>
          <w:color w:val="auto"/>
        </w:rPr>
      </w:pPr>
    </w:p>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Cleanup of Discharged Petroleum law (NRS 590.700 to 590.920, inclusive);</w:t>
      </w:r>
    </w:p>
    <w:p>
      <w:pPr>
        <w:spacing w:after="0" w:line="76" w:lineRule="exact"/>
        <w:rPr>
          <w:rFonts w:ascii="Arial" w:cs="Arial" w:eastAsia="Arial" w:hAnsi="Arial"/>
          <w:sz w:val="18"/>
          <w:szCs w:val="18"/>
          <w:color w:val="auto"/>
        </w:rPr>
      </w:pPr>
    </w:p>
    <w:p>
      <w:pPr>
        <w:ind w:left="660" w:hanging="21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Control of Asbestos law (NRS 618.750 to 618.850);</w:t>
      </w:r>
    </w:p>
    <w:p>
      <w:pPr>
        <w:spacing w:after="0" w:line="76" w:lineRule="exact"/>
        <w:rPr>
          <w:rFonts w:ascii="Arial" w:cs="Arial" w:eastAsia="Arial" w:hAnsi="Arial"/>
          <w:sz w:val="18"/>
          <w:szCs w:val="18"/>
          <w:color w:val="auto"/>
        </w:rPr>
      </w:pPr>
    </w:p>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Appropriation of Public Waters law (NRS 533.324 to 533.435, inclusive);</w:t>
      </w:r>
    </w:p>
    <w:p>
      <w:pPr>
        <w:spacing w:after="0" w:line="76" w:lineRule="exact"/>
        <w:rPr>
          <w:rFonts w:ascii="Arial" w:cs="Arial" w:eastAsia="Arial" w:hAnsi="Arial"/>
          <w:sz w:val="18"/>
          <w:szCs w:val="18"/>
          <w:color w:val="auto"/>
        </w:rPr>
      </w:pPr>
    </w:p>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Artificial Water Body Development Permit law (NRS 502.390);</w:t>
      </w:r>
    </w:p>
    <w:p>
      <w:pPr>
        <w:spacing w:after="0" w:line="76" w:lineRule="exact"/>
        <w:rPr>
          <w:rFonts w:ascii="Arial" w:cs="Arial" w:eastAsia="Arial" w:hAnsi="Arial"/>
          <w:sz w:val="18"/>
          <w:szCs w:val="18"/>
          <w:color w:val="auto"/>
        </w:rPr>
      </w:pPr>
    </w:p>
    <w:p>
      <w:pPr>
        <w:ind w:left="720" w:hanging="27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Nevada Environmental Requirements Law (NRS 445C.010 to NRS 445C.120, inclusive);</w:t>
      </w:r>
    </w:p>
    <w:p>
      <w:pPr>
        <w:spacing w:after="0" w:line="76" w:lineRule="exact"/>
        <w:rPr>
          <w:rFonts w:ascii="Arial" w:cs="Arial" w:eastAsia="Arial" w:hAnsi="Arial"/>
          <w:sz w:val="18"/>
          <w:szCs w:val="18"/>
          <w:color w:val="auto"/>
        </w:rPr>
      </w:pPr>
    </w:p>
    <w:p>
      <w:pPr>
        <w:ind w:left="680" w:hanging="239"/>
        <w:spacing w:after="0"/>
        <w:tabs>
          <w:tab w:leader="none" w:pos="6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Nevada Occupational Safety and Health Act (NRS 618.005 </w:t>
      </w:r>
      <w:r>
        <w:rPr>
          <w:rFonts w:ascii="Arial" w:cs="Arial" w:eastAsia="Arial" w:hAnsi="Arial"/>
          <w:sz w:val="15"/>
          <w:szCs w:val="15"/>
          <w:i w:val="1"/>
          <w:iCs w:val="1"/>
          <w:color w:val="auto"/>
        </w:rPr>
        <w:t>et seq</w:t>
      </w:r>
      <w:r>
        <w:rPr>
          <w:rFonts w:ascii="Arial" w:cs="Arial" w:eastAsia="Arial" w:hAnsi="Arial"/>
          <w:sz w:val="15"/>
          <w:szCs w:val="15"/>
          <w:color w:val="auto"/>
        </w:rPr>
        <w:t>, inclusive)(as it relates solely to exposure to Hazardous Substances);</w:t>
      </w:r>
    </w:p>
    <w:p>
      <w:pPr>
        <w:spacing w:after="0" w:line="111" w:lineRule="exact"/>
        <w:rPr>
          <w:rFonts w:ascii="Arial" w:cs="Arial" w:eastAsia="Arial" w:hAnsi="Arial"/>
          <w:sz w:val="15"/>
          <w:szCs w:val="15"/>
          <w:color w:val="auto"/>
        </w:rPr>
      </w:pPr>
    </w:p>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Laws Regarding the Authority of Nevada State Fire Marshall Division (NRS 477.010 to 477.250, inclusive);</w:t>
      </w:r>
    </w:p>
    <w:p>
      <w:pPr>
        <w:spacing w:after="0" w:line="76" w:lineRule="exact"/>
        <w:rPr>
          <w:rFonts w:ascii="Arial" w:cs="Arial" w:eastAsia="Arial" w:hAnsi="Arial"/>
          <w:sz w:val="18"/>
          <w:szCs w:val="18"/>
          <w:color w:val="auto"/>
        </w:rPr>
      </w:pPr>
    </w:p>
    <w:p>
      <w:pPr>
        <w:ind w:left="680" w:hanging="239"/>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Uniform Fire Code, as now or hereafter adopted in the State of Nevada;</w:t>
      </w:r>
    </w:p>
    <w:p>
      <w:pPr>
        <w:spacing w:after="0" w:line="77" w:lineRule="exact"/>
        <w:rPr>
          <w:sz w:val="20"/>
          <w:szCs w:val="20"/>
          <w:color w:val="auto"/>
        </w:rPr>
      </w:pPr>
    </w:p>
    <w:p>
      <w:pPr>
        <w:ind w:left="20" w:right="440" w:firstLine="421"/>
        <w:spacing w:after="0" w:line="325" w:lineRule="auto"/>
        <w:tabs>
          <w:tab w:leader="none" w:pos="75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Nevada Protection of Endangered Species, Endangered Wildlife Permit (NRS 503.585) and Endangered Flora Permit law (NRS 527.270); and</w:t>
      </w:r>
    </w:p>
    <w:p>
      <w:pPr>
        <w:spacing w:after="0" w:line="1" w:lineRule="exact"/>
        <w:rPr>
          <w:rFonts w:ascii="Arial" w:cs="Arial" w:eastAsia="Arial" w:hAnsi="Arial"/>
          <w:sz w:val="16"/>
          <w:szCs w:val="16"/>
          <w:color w:val="auto"/>
        </w:rPr>
      </w:pPr>
    </w:p>
    <w:p>
      <w:pPr>
        <w:ind w:left="20" w:firstLine="421"/>
        <w:spacing w:after="0" w:line="268" w:lineRule="auto"/>
        <w:tabs>
          <w:tab w:leader="none" w:pos="7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Federal, state and local Requirements of Law which govern Hazardous Substances, and the regulations adopted and publications promulgated pursuant to all such foregoing laws.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Matter</w:t>
      </w:r>
      <w:r>
        <w:rPr>
          <w:rFonts w:ascii="Arial" w:cs="Arial" w:eastAsia="Arial" w:hAnsi="Arial"/>
          <w:sz w:val="18"/>
          <w:szCs w:val="18"/>
          <w:color w:val="auto"/>
        </w:rPr>
        <w:t>”: any:</w:t>
      </w:r>
    </w:p>
    <w:p>
      <w:pPr>
        <w:spacing w:after="0" w:line="77" w:lineRule="exact"/>
        <w:rPr>
          <w:sz w:val="20"/>
          <w:szCs w:val="20"/>
          <w:color w:val="auto"/>
        </w:rPr>
      </w:pPr>
    </w:p>
    <w:p>
      <w:pPr>
        <w:ind w:left="20" w:right="220" w:firstLine="421"/>
        <w:spacing w:after="0" w:line="268" w:lineRule="auto"/>
        <w:tabs>
          <w:tab w:leader="none" w:pos="6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 emission, entry or introduction into the air including, without limitation, the air within buildings and other natural or man-made structures above ground;</w:t>
      </w:r>
    </w:p>
    <w:p>
      <w:pPr>
        <w:spacing w:after="0" w:line="37" w:lineRule="exact"/>
        <w:rPr>
          <w:rFonts w:ascii="Arial" w:cs="Arial" w:eastAsia="Arial" w:hAnsi="Arial"/>
          <w:sz w:val="18"/>
          <w:szCs w:val="18"/>
          <w:color w:val="auto"/>
        </w:rPr>
      </w:pPr>
    </w:p>
    <w:p>
      <w:pPr>
        <w:ind w:left="20" w:right="100" w:firstLine="421"/>
        <w:spacing w:after="0" w:line="268" w:lineRule="auto"/>
        <w:tabs>
          <w:tab w:leader="none" w:pos="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discharge, release or entry into water including, without limitation, into any river, watercourse, lake, or pond (whether natural or artificial or above ground or which joins or flows into any such water</w:t>
      </w:r>
    </w:p>
    <w:p>
      <w:pPr>
        <w:spacing w:after="0" w:line="1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40"/>
          </w:cols>
          <w:pgMar w:left="1140" w:top="280" w:right="319" w:bottom="1440" w:gutter="0" w:footer="0" w:header="0"/>
        </w:sectPr>
      </w:pPr>
    </w:p>
    <w:bookmarkStart w:id="81" w:name="page82"/>
    <w:bookmarkEnd w:id="8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outlet above ground) or reservoir, or the surface of the riverbed or of other land supporting such waters, ground waters, sewer or the sea;</w:t>
      </w:r>
    </w:p>
    <w:p>
      <w:pPr>
        <w:spacing w:after="0" w:line="100" w:lineRule="exact"/>
        <w:rPr>
          <w:sz w:val="20"/>
          <w:szCs w:val="20"/>
          <w:color w:val="auto"/>
        </w:rPr>
      </w:pPr>
    </w:p>
    <w:p>
      <w:pPr>
        <w:ind w:left="460" w:right="320" w:firstLine="421"/>
        <w:spacing w:after="0" w:line="268" w:lineRule="auto"/>
        <w:tabs>
          <w:tab w:leader="none" w:pos="11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deposit, disposal, keeping, treatment, importation, exportation, production, transportation, handling, processing, carrying, manufacture, collection, sorting or presence of any Hazardous Substance;</w:t>
      </w:r>
    </w:p>
    <w:p>
      <w:pPr>
        <w:spacing w:after="0" w:line="37" w:lineRule="exact"/>
        <w:rPr>
          <w:rFonts w:ascii="Arial" w:cs="Arial" w:eastAsia="Arial" w:hAnsi="Arial"/>
          <w:sz w:val="18"/>
          <w:szCs w:val="18"/>
          <w:color w:val="auto"/>
        </w:rPr>
      </w:pPr>
    </w:p>
    <w:p>
      <w:pPr>
        <w:ind w:left="460" w:right="60" w:firstLine="421"/>
        <w:spacing w:after="0" w:line="259"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45" w:lineRule="exact"/>
        <w:rPr>
          <w:rFonts w:ascii="Arial" w:cs="Arial" w:eastAsia="Arial" w:hAnsi="Arial"/>
          <w:sz w:val="18"/>
          <w:szCs w:val="18"/>
          <w:color w:val="auto"/>
        </w:rPr>
      </w:pPr>
    </w:p>
    <w:p>
      <w:pPr>
        <w:ind w:left="460" w:right="160" w:firstLine="421"/>
        <w:spacing w:after="0" w:line="268" w:lineRule="auto"/>
        <w:tabs>
          <w:tab w:leader="none" w:pos="11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conservation, preservation or protection of the natural or man made environment or any living organisms supported by the natural or man made environment; or</w:t>
      </w:r>
    </w:p>
    <w:p>
      <w:pPr>
        <w:spacing w:after="0" w:line="37" w:lineRule="exact"/>
        <w:rPr>
          <w:rFonts w:ascii="Arial" w:cs="Arial" w:eastAsia="Arial" w:hAnsi="Arial"/>
          <w:sz w:val="18"/>
          <w:szCs w:val="18"/>
          <w:color w:val="auto"/>
        </w:rPr>
      </w:pPr>
    </w:p>
    <w:p>
      <w:pPr>
        <w:ind w:left="1100" w:hanging="219"/>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matter howsoever directly affecting the environment or any aspect of it.</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any and all permits, licenses, approvals, registrations, notifications, exemptions and any other authorization required under any Environmental Law.</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w:t>
      </w:r>
    </w:p>
    <w:p>
      <w:pPr>
        <w:spacing w:after="0" w:line="77"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77"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with respect to each day during each Interest Period pertaining to a Eurodollar Loan, a rate per annum (rounded upwards, if necessary, to the nearest 1/100 of 1%) equal to (a) the rate per annum determined by the Administrative Agent at approximately 11:00 A.M. (London time) on the date that is two Business Days prior to the commencement of such Interest Period by reference to the rate for eurodollar deposits which appears on the page of the Telerate screen that displays an average British Bankers Association Interest Settlement Rate (such page currently being page number 3740 or page 3750 of the Telerate screen) for a period equal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 interest rate is not ascertainable pursuant to the foregoing provisions of this clause (a), the rate determined pursuant to this clause (a)</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82" w:name="page83"/>
    <w:bookmarkEnd w:id="8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as of 10:00 A.M. (New York time) on the date that is two Business Days prior to the commencement of such Interest Period), divided by (b) a percentage equal to 100% minus the Eurocurrency Reserve Requirements.</w:t>
      </w:r>
    </w:p>
    <w:p>
      <w:pPr>
        <w:spacing w:after="0" w:line="48"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Tranche</w:t>
      </w:r>
      <w:r>
        <w:rPr>
          <w:rFonts w:ascii="Arial" w:cs="Arial" w:eastAsia="Arial" w:hAnsi="Arial"/>
          <w:sz w:val="18"/>
          <w:szCs w:val="18"/>
          <w:color w:val="auto"/>
        </w:rPr>
        <w:t>”: the collective reference to Eurodollar Loans for which the then current Interest Periods begin on the same date and end on the same later date (whether or not such Loans shall originally have been made on the same day).</w:t>
      </w:r>
    </w:p>
    <w:p>
      <w:pPr>
        <w:spacing w:after="0" w:line="3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the occurrence of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requirements for the giving of notice and the lapse of time have been satisfied.</w:t>
      </w:r>
    </w:p>
    <w:p>
      <w:pPr>
        <w:spacing w:after="0" w:line="37"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Eminent Domain</w:t>
      </w:r>
      <w:r>
        <w:rPr>
          <w:rFonts w:ascii="Arial" w:cs="Arial" w:eastAsia="Arial" w:hAnsi="Arial"/>
          <w:sz w:val="16"/>
          <w:szCs w:val="16"/>
          <w:color w:val="auto"/>
        </w:rPr>
        <w:t>”: with respect to any Property, (a)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(b) any settlement in lieu of clause (a) above.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Loss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for any Fiscal Year, the excess, if any, of (a) the sum, without duplication, of (i) Consolidated Net Income of the Loan Parties for such Fiscal Year, (ii) an amount equal to the amount of all non-cash charges (including depreciation and amortization charges)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 of business), to the extent deducted in arriving at such Consolidated Net Income and (v) the net increase during such Fiscal Year (if any) in deferred tax accounts of the Loan Parties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or capital equity contributions received directly or indirectly from Wynn Resorts, (iii) with respect to the first Fiscal Year for which Excess Cash Flow is determined in accordance with Section 2.12(d), the aggregate amount of Project Costs anticipated to be paid by the Loan Parties in the following Fiscal Year excluding the principal amount of Indebtedness incurred or anticipated to be incurred in connection with such expenditures and any such expenditures financed or anticipated to</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83" w:name="page84"/>
    <w:bookmarkEnd w:id="8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financed with capital equity contributions received or anticipated to be received directly or indirectly from Wynn Resorts;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Project Costs subtracted in the calculation of Excess Cash Flow pursuant to this clause (iii) shall not be deemed “Capital Expenditures” for purposes of the definition of Excess Cash Flow in the Fiscal Year actually paid, (iv) the aggregate amount of all prepayments of Revolving Credit Loans and Swing Line Loans during such Fiscal Year to the extent accompanying permanent optional reductions of the Revolving Credit Commitments and all optional prepayments of the Term Loans and other Funded Debt (in the event consisting of revolving credit facilities, to the extent accompanied by permanent optional reductions of the related revolving commitments in the amount of any such prepayments) during such Fiscal Year, (v) the aggregate amount of all regularly scheduled principal payments of Funded Debt (including, without limitation, the Term Loans) of the Loan Parties made during such Fiscal Year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(vi) increases in Consolidated Working Capital of the Loan Parties for such Fiscal Year, (vii) an amount equal to the aggregate net non-cash gain on the Disposition of Property by the Loan Parties during such Fiscal Year (other than sales of inventory in the ordinary course of business), to the extent included in arriving at such Consolidated Net Income, (viii) the net decrease during such Fiscal Year (if any) in deferred tax accounts of the Loan Parties and (ix) the aggregate amount of (A) any mandatory prepayments of Funded Debt during such Fiscal Year (including the Term Loans or the Revolving Credit Loans pursuant to Section 2.12(b) but, in any case, other than in respect of any revolving credit facility to the extent there is not an equivalent permanent reduction in commitments thereunder such that after giving effect to such commitment reduction the applicable Loan Party, as the case may be, would not be able to reborrow all or any of the amount so prepaid) with Net Cash Proceeds of Asset Sales and (B) any Reinvestment Deferred Amounts paid on the account of Capital Expenditures during such Fiscal Year, in each case to the extent such Net Cash Proceeds or Reinvestment Deferred Amounts are included in arriving at such Consolidated Net Income.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Application Date</w:t>
      </w:r>
      <w:r>
        <w:rPr>
          <w:rFonts w:ascii="Arial" w:cs="Arial" w:eastAsia="Arial" w:hAnsi="Arial"/>
          <w:sz w:val="18"/>
          <w:szCs w:val="18"/>
          <w:color w:val="auto"/>
        </w:rPr>
        <w:t>”: as defined in Section 2.12(d).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as defined in the Security Agreement.</w:t>
      </w:r>
    </w:p>
    <w:p>
      <w:pPr>
        <w:spacing w:after="0" w:line="77"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taxes imposed on, or measured by, the net profits, net income or gross receipts (including franchise taxes imposed in lieu of any such taxes) of any Arranger, any Agent, any Manager or any Lender as a result of a present or former connection between such Arranger, such Agent, such Manager or such Lender and the jurisdiction of the Governmental Authority imposing such tax or any political subdivision or taxing authority thereof or therein (other than any such connection arising solely from such Arranger’s, such Agent’s, such Manager’s or such Lender’s having executed, delivered or performed its obligations or received a payment under, or enforced, this Agreement or any other Loan Document).</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280" w:right="279" w:bottom="1440" w:gutter="0" w:footer="0" w:header="0"/>
        </w:sectPr>
      </w:pPr>
    </w:p>
    <w:bookmarkStart w:id="84" w:name="page85"/>
    <w:bookmarkEnd w:id="84"/>
    <w:p>
      <w:pPr>
        <w:ind w:right="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Existing Stockholders</w:t>
      </w:r>
      <w:r>
        <w:rPr>
          <w:rFonts w:ascii="Arial" w:cs="Arial" w:eastAsia="Arial" w:hAnsi="Arial"/>
          <w:sz w:val="18"/>
          <w:szCs w:val="18"/>
          <w:color w:val="auto"/>
        </w:rPr>
        <w:t>”: collectively, Mr. Wynn, Aruze USA, Inc., a Nevada corporation, Baron Asset Fund, a Massachusetts business trust, and the Kenneth R. Wynn Family Trust and, in each case, any Affiliates thereof.</w:t>
      </w:r>
    </w:p>
    <w:p>
      <w:pPr>
        <w:spacing w:after="0" w:line="3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collectively, each of (a) the Term B Loan Facility, (b) each New Term Loan Facility related to a Series of New Term Loans and (c) the Revolving Credit Facility.</w:t>
      </w:r>
    </w:p>
    <w:p>
      <w:pPr>
        <w:spacing w:after="0" w:line="37"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Letter</w:t>
      </w:r>
      <w:r>
        <w:rPr>
          <w:rFonts w:ascii="Arial" w:cs="Arial" w:eastAsia="Arial" w:hAnsi="Arial"/>
          <w:sz w:val="18"/>
          <w:szCs w:val="18"/>
          <w:color w:val="auto"/>
        </w:rPr>
        <w:t>”: the Credit Facilities Fee Letter, dated July 7, 2006, among the Borrower, Deutsche Bank Securities Inc. and Banc of America Securities LLC.</w:t>
      </w:r>
    </w:p>
    <w:p>
      <w:pPr>
        <w:spacing w:after="0" w:line="37"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Proportionate Share</w:t>
      </w:r>
      <w:r>
        <w:rPr>
          <w:rFonts w:ascii="Arial" w:cs="Arial" w:eastAsia="Arial" w:hAnsi="Arial"/>
          <w:sz w:val="18"/>
          <w:szCs w:val="18"/>
          <w:color w:val="auto"/>
        </w:rPr>
        <w:t xml:space="preserve">”: as of any date the proportion that (a) the Total Extensions of Credit on such date bears to (b) the aggregate principal amount of all First Lien Secured Obligations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the case where the Facility Proportionate Share of any Insurance Proceeds and/or Eminent Domain Proceeds exceeds $100,000,000, in the event the Facility Proportionate Share of any amount is in excess of the Total Term Loan Extensions of Credit at such time, the Facility Proportionate Share of such amount shall equal the Total Term Loan Extensions of Credit at such time.</w:t>
      </w:r>
    </w:p>
    <w:p>
      <w:pPr>
        <w:spacing w:after="0" w:line="48" w:lineRule="exact"/>
        <w:rPr>
          <w:sz w:val="20"/>
          <w:szCs w:val="20"/>
          <w:color w:val="auto"/>
        </w:rPr>
      </w:pPr>
    </w:p>
    <w:p>
      <w:pPr>
        <w:ind w:right="1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Completion Date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Agreements</w:t>
      </w:r>
      <w:r>
        <w:rPr>
          <w:rFonts w:ascii="Arial" w:cs="Arial" w:eastAsia="Arial" w:hAnsi="Arial"/>
          <w:sz w:val="18"/>
          <w:szCs w:val="18"/>
          <w:color w:val="auto"/>
        </w:rPr>
        <w:t>”: collectively, this Agreement and the other Loan Documents, any other agreements relating to the First Lien Secured Obligations and any agreements relating to the Second Lien Secured Obligations and including, in each case, any agreements with respect to Permitted Refinancing Indebtedness.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Secured Obligations</w:t>
      </w:r>
      <w:r>
        <w:rPr>
          <w:rFonts w:ascii="Arial" w:cs="Arial" w:eastAsia="Arial" w:hAnsi="Arial"/>
          <w:sz w:val="18"/>
          <w:szCs w:val="18"/>
          <w:color w:val="auto"/>
        </w:rPr>
        <w:t>”: as defined in the Intercreditor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Security Document</w:t>
      </w:r>
      <w:r>
        <w:rPr>
          <w:rFonts w:ascii="Arial" w:cs="Arial" w:eastAsia="Arial" w:hAnsi="Arial"/>
          <w:sz w:val="18"/>
          <w:szCs w:val="18"/>
          <w:color w:val="auto"/>
        </w:rPr>
        <w:t>”: as defined in the Intercreditor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Borrower and the other Loan Parties ending on December 31 of each calendar year.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Lender</w:t>
      </w:r>
      <w:r>
        <w:rPr>
          <w:rFonts w:ascii="Arial" w:cs="Arial" w:eastAsia="Arial" w:hAnsi="Arial"/>
          <w:sz w:val="18"/>
          <w:szCs w:val="18"/>
          <w:color w:val="auto"/>
        </w:rPr>
        <w:t>”: as defined in Section 10.13(a).</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as to any Person, all Indebtedness of such Person of the types described in clauses (a) through (e) of the definition of “Indebtedness” in this Section.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85" w:name="page86"/>
    <w:bookmarkEnd w:id="85"/>
    <w:p>
      <w:pPr>
        <w:jc w:val="both"/>
        <w:ind w:right="3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Funding Account</w:t>
      </w:r>
      <w:r>
        <w:rPr>
          <w:rFonts w:ascii="Arial" w:cs="Arial" w:eastAsia="Arial" w:hAnsi="Arial"/>
          <w:sz w:val="16"/>
          <w:szCs w:val="16"/>
          <w:color w:val="auto"/>
        </w:rPr>
        <w:t xml:space="preserve">”: any Account with respect to which the Secured Parties have a perfected first priority Lien (subject only to Permitted Liens) securing the Obligations pursuant to a Control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the use of this definition in Section 2.24, such Funding Account shall be a segregated account established to hold and disburse the relevant Insurance Proceeds and/or Eminent Domain Proceeds only.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the office specified from time to time by the Administrative Agent as its funding office by notice to the Lenders.</w:t>
      </w:r>
    </w:p>
    <w:p>
      <w:pPr>
        <w:spacing w:after="0" w:line="77"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subject to the limitations on the application thereof set forth in Section 10.17, generally accepted accounting principles in the United States of America as in effect from time to time as set forth in the opinions and pronouncements of the Accounting Principals Board and the American Institute of Certified Public Accountants and the statements and pronouncements of the Financial Accounting Standards Board, or in such other statements by such other entity as may be in general use by significant segments of the accounting profession.</w:t>
      </w:r>
    </w:p>
    <w:p>
      <w:pPr>
        <w:spacing w:after="0" w:line="18" w:lineRule="exact"/>
        <w:rPr>
          <w:sz w:val="20"/>
          <w:szCs w:val="20"/>
          <w:color w:val="auto"/>
        </w:rPr>
      </w:pPr>
    </w:p>
    <w:p>
      <w:pPr>
        <w:ind w:right="14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Gaming Facility</w:t>
      </w:r>
      <w:r>
        <w:rPr>
          <w:rFonts w:ascii="Arial" w:cs="Arial" w:eastAsia="Arial" w:hAnsi="Arial"/>
          <w:sz w:val="16"/>
          <w:szCs w:val="16"/>
          <w:color w:val="auto"/>
        </w:rPr>
        <w:t>”: any building or other structure used or expected to be used to enclose space in which a gaming operation is conducted and (a) is wholly owned by a Loan Party or (b) any portion or aspect of which is managed or used, or expected to be managed or used, by a Loan Party.</w:t>
      </w:r>
    </w:p>
    <w:p>
      <w:pPr>
        <w:spacing w:after="0" w:line="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Reserves</w:t>
      </w:r>
      <w:r>
        <w:rPr>
          <w:rFonts w:ascii="Arial" w:cs="Arial" w:eastAsia="Arial" w:hAnsi="Arial"/>
          <w:sz w:val="18"/>
          <w:szCs w:val="18"/>
          <w:color w:val="auto"/>
        </w:rPr>
        <w:t>”: any mandatory gaming security reserves or other reserves required under applicable Nevada Gaming Laws or by directive of the Nevada Gaming Authorities.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Collateral</w:t>
      </w:r>
      <w:r>
        <w:rPr>
          <w:rFonts w:ascii="Arial" w:cs="Arial" w:eastAsia="Arial" w:hAnsi="Arial"/>
          <w:sz w:val="18"/>
          <w:szCs w:val="18"/>
          <w:color w:val="auto"/>
        </w:rPr>
        <w:t>”: collectively, (a) the Golf Course Land, (b) any other Property owned by Wynn Golf included as Collateral and (c) all Capital Stock of Wynn Golf pledged as Collateral.</w:t>
      </w:r>
    </w:p>
    <w:p>
      <w:pPr>
        <w:spacing w:after="0" w:line="37"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Land</w:t>
      </w:r>
      <w:r>
        <w:rPr>
          <w:rFonts w:ascii="Arial" w:cs="Arial" w:eastAsia="Arial" w:hAnsi="Arial"/>
          <w:sz w:val="18"/>
          <w:szCs w:val="18"/>
          <w:color w:val="auto"/>
        </w:rPr>
        <w:t>”: as defined in the Disbursement Agreement. The Golf Course Land includes (a) the Wynn Home Site Land until such time (if ever) as the Wynn Home Site Land has been Disposed of in accordance with Section 7.5(j) and (b) the Home Site Land until such time (if ever) as the Home Site Land has been Disposed of in accordance with Section 7.5(l).</w:t>
      </w:r>
    </w:p>
    <w:p>
      <w:pPr>
        <w:spacing w:after="0" w:line="46"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Golf Course Lease</w:t>
      </w:r>
      <w:r>
        <w:rPr>
          <w:rFonts w:ascii="Arial" w:cs="Arial" w:eastAsia="Arial" w:hAnsi="Arial"/>
          <w:sz w:val="18"/>
          <w:szCs w:val="18"/>
          <w:color w:val="auto"/>
        </w:rPr>
        <w:t>”: that certain Golf Course Lease, dated as of the Closing Date, by and between Wynn Golf, on the one hand, as lessor, and the Borrower, on the other hand, as lessee.</w:t>
      </w:r>
    </w:p>
    <w:p>
      <w:pPr>
        <w:spacing w:after="0" w:line="37"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collectively, as to any Person, the articles or certificate of incorporation and bylaws, any shareholders agreement, articles of organization or certificate of formation, limited liability company agreement, operating agreement, partnership agreement or other formation or constituent documents of such Person.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86" w:name="page87"/>
    <w:bookmarkEnd w:id="86"/>
    <w:p>
      <w:pPr>
        <w:ind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48"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dated as of the Closing Date, executed by each Loan Party (other than the Borrower) in favor of the Administrative Agent.</w:t>
      </w:r>
    </w:p>
    <w:p>
      <w:pPr>
        <w:spacing w:after="0" w:line="37"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or other obligations (the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6" w:lineRule="exact"/>
        <w:rPr>
          <w:sz w:val="20"/>
          <w:szCs w:val="20"/>
          <w:color w:val="auto"/>
        </w:rPr>
      </w:pPr>
    </w:p>
    <w:p>
      <w:pPr>
        <w:ind w:right="80" w:firstLine="4"/>
        <w:spacing w:after="0" w:line="288" w:lineRule="auto"/>
        <w:tabs>
          <w:tab w:leader="none" w:pos="2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the collective reference to each of the Loan Parties, other than the Borrower.</w:t>
      </w:r>
    </w:p>
    <w:p>
      <w:pPr>
        <w:spacing w:after="0" w:line="77"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 Activity</w:t>
      </w:r>
      <w:r>
        <w:rPr>
          <w:rFonts w:ascii="Arial" w:cs="Arial" w:eastAsia="Arial" w:hAnsi="Arial"/>
          <w:sz w:val="16"/>
          <w:szCs w:val="16"/>
          <w:color w:val="auto"/>
        </w:rPr>
        <w:t>”: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handling of any Hazardous Substances, and any corrective action or response action with respect to any of the foregoing.</w:t>
      </w:r>
    </w:p>
    <w:p>
      <w:pPr>
        <w:spacing w:after="0" w:line="77" w:lineRule="exact"/>
        <w:rPr>
          <w:sz w:val="20"/>
          <w:szCs w:val="20"/>
          <w:color w:val="auto"/>
        </w:rPr>
      </w:pPr>
    </w:p>
    <w:p>
      <w:pPr>
        <w:ind w:right="6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xml:space="preserve">”: (statutory acronyms and abbreviations having the meaning given them in the definition of “Environmental Laws”) substances defined as “hazardous substances,” “pollutants” or “contaminants”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CERCLA; those substances defined as “hazardous waste” by the RCRA; those substances designated as a “hazardous substance” pursuant to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of the CWA; those substances regulated as a hazardous chemical substance or mixture or as an imminently hazardous chemical substance or mixture pursuant to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the TSCA; those substances defined as “contaminants” by </w:t>
      </w:r>
      <w:r>
        <w:rPr>
          <w:rFonts w:ascii="Arial" w:cs="Arial" w:eastAsia="Arial" w:hAnsi="Arial"/>
          <w:sz w:val="16"/>
          <w:szCs w:val="16"/>
          <w:u w:val="single" w:color="auto"/>
          <w:color w:val="auto"/>
        </w:rPr>
        <w:t>Section 1401</w:t>
      </w:r>
      <w:r>
        <w:rPr>
          <w:rFonts w:ascii="Arial" w:cs="Arial" w:eastAsia="Arial" w:hAnsi="Arial"/>
          <w:sz w:val="16"/>
          <w:szCs w:val="16"/>
          <w:color w:val="auto"/>
        </w:rPr>
        <w:t xml:space="preserve"> of the SDWA, if present in excess of permissible levels; those substances regulated by the Oil Pollution Act; those substances defined as a pesticide pursuant to </w:t>
      </w:r>
      <w:r>
        <w:rPr>
          <w:rFonts w:ascii="Arial" w:cs="Arial" w:eastAsia="Arial" w:hAnsi="Arial"/>
          <w:sz w:val="16"/>
          <w:szCs w:val="16"/>
          <w:u w:val="single" w:color="auto"/>
          <w:color w:val="auto"/>
        </w:rPr>
        <w:t>Section 2(u)</w:t>
      </w:r>
      <w:r>
        <w:rPr>
          <w:rFonts w:ascii="Arial" w:cs="Arial" w:eastAsia="Arial" w:hAnsi="Arial"/>
          <w:sz w:val="16"/>
          <w:szCs w:val="16"/>
          <w:color w:val="auto"/>
        </w:rPr>
        <w:t xml:space="preserve"> of the FIFRA; those substances defined as a source, special nuclear or by-product material by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AEA; those substances defined as “residual radioactive material” by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UMTRCA; those substances defined as “toxic materials” or “harmful physical agents”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any other Environmental Laws, and in the regulations adopted and publications promulgated pursuant to said laws, whether or not such regulations or publications are specifically referenced herein.</w:t>
      </w:r>
    </w:p>
    <w:p>
      <w:pPr>
        <w:spacing w:after="0" w:line="26"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all interest rate swaps, caps or collar agreements or similar arrangements entered into by a Loan Party providing for protection against fluctuations in interest rates or currency exchange rates or the exchange of nominal interest obligations, either generally or under specific contingencies.</w:t>
      </w:r>
    </w:p>
    <w:p>
      <w:pPr>
        <w:spacing w:after="0" w:line="4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Site Land</w:t>
      </w:r>
      <w:r>
        <w:rPr>
          <w:rFonts w:ascii="Arial" w:cs="Arial" w:eastAsia="Arial" w:hAnsi="Arial"/>
          <w:sz w:val="18"/>
          <w:szCs w:val="18"/>
          <w:color w:val="auto"/>
        </w:rPr>
        <w:t>”: a tract or tracts of land not greater than 20 acres located on the Golf Course Land where residential and other non-gaming related developments may, after Disposition of the Home Site Land in accordance with Section 7.5(l), be built.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 Balance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as defined in Section 2.26(a).</w:t>
      </w:r>
    </w:p>
    <w:p>
      <w:pPr>
        <w:spacing w:after="0" w:line="77"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(which shall include trade or other payables incurred in connection with the construction of Phase II that are payable within 120 days of incurrence)), (c) all obligations of such Person evidenced by notes, bonds, debentures or other similar instruments, (d) all indebtedness created or arising under any conditional sale or other title retention agreement with respect to Property acquired by such Person</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700" w:top="280" w:right="299" w:bottom="1440" w:gutter="0" w:footer="0" w:header="0"/>
        </w:sectPr>
      </w:pPr>
    </w:p>
    <w:bookmarkStart w:id="88" w:name="page89"/>
    <w:bookmarkEnd w:id="8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performance bonds or similar facilities, (g) all obligations of such Person, contingent or otherwise, to purchase, redeem, retire or otherwise acquire for value any Capital Stock of such Person where such obligation is required within 180 days of the Scheduled Term B Loan Termination Date, valued in the case of preferred Capital Stock at liquidation value,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8(e) only, all obligations of such Person in respect of Hedge Agreements.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10.5.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10.5.</w:t>
      </w:r>
    </w:p>
    <w:p>
      <w:pPr>
        <w:spacing w:after="0" w:line="7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Agreements</w:t>
      </w:r>
      <w:r>
        <w:rPr>
          <w:rFonts w:ascii="Arial" w:cs="Arial" w:eastAsia="Arial" w:hAnsi="Arial"/>
          <w:sz w:val="18"/>
          <w:szCs w:val="18"/>
          <w:color w:val="auto"/>
        </w:rPr>
        <w:t>”: collectively, the Borrower Indemnity Agreement, the Wynn Golf Indemnity Agreement, the Wynn Sunrise Indemnity Agreement and each of the other Indemnity Agreements executed by a Loan Party with respect to its Mortgaged Properties in favor of the Administrative Agent substantially in the form of Exhibit F hereto.</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Lending Institution Provisions</w:t>
      </w:r>
      <w:r>
        <w:rPr>
          <w:rFonts w:ascii="Arial" w:cs="Arial" w:eastAsia="Arial" w:hAnsi="Arial"/>
          <w:sz w:val="18"/>
          <w:szCs w:val="18"/>
          <w:color w:val="auto"/>
        </w:rPr>
        <w:t>”: Section 2.24 and the definition of “Subordinated Debt”.</w:t>
      </w:r>
    </w:p>
    <w:p>
      <w:pPr>
        <w:spacing w:after="0" w:line="7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Lending Institutions</w:t>
      </w:r>
      <w:r>
        <w:rPr>
          <w:rFonts w:ascii="Arial" w:cs="Arial" w:eastAsia="Arial" w:hAnsi="Arial"/>
          <w:sz w:val="18"/>
          <w:szCs w:val="18"/>
          <w:color w:val="auto"/>
        </w:rPr>
        <w:t>”: collectively, Deutsche Bank Trust Company Americas, Bank of America, N.A., Bear Stearns Corporate Lending, Inc., Societe Generale and JPMorgan Chase Bank, N.A.</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Phase II Calculation Date</w:t>
      </w:r>
      <w:r>
        <w:rPr>
          <w:rFonts w:ascii="Arial" w:cs="Arial" w:eastAsia="Arial" w:hAnsi="Arial"/>
          <w:sz w:val="16"/>
          <w:szCs w:val="16"/>
          <w:color w:val="auto"/>
        </w:rPr>
        <w:t>”: the last day of the first full fiscal quarter of the Borrower beginning after the Phase II Opening Date.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77" w:lineRule="exact"/>
        <w:rPr>
          <w:sz w:val="20"/>
          <w:szCs w:val="20"/>
          <w:color w:val="auto"/>
        </w:rPr>
      </w:pPr>
    </w:p>
    <w:p>
      <w:pPr>
        <w:ind w:right="3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Advisor</w:t>
      </w:r>
      <w:r>
        <w:rPr>
          <w:rFonts w:ascii="Arial" w:cs="Arial" w:eastAsia="Arial" w:hAnsi="Arial"/>
          <w:sz w:val="16"/>
          <w:szCs w:val="16"/>
          <w:color w:val="auto"/>
        </w:rPr>
        <w:t>”: Moore-McNeil, LLC, or its successor, appointed by the Administrative Agent with, unless at the time of such appointment there exists an Event of Default, the consent of the Borrower (such consent not to be unreasonably withheld or delayed).</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700" w:top="280" w:right="299" w:bottom="1440" w:gutter="0" w:footer="0" w:header="0"/>
        </w:sectPr>
      </w:pPr>
    </w:p>
    <w:bookmarkStart w:id="89" w:name="page90"/>
    <w:bookmarkEnd w:id="89"/>
    <w:p>
      <w:pPr>
        <w:ind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Insurance Proceeds</w:t>
      </w:r>
      <w:r>
        <w:rPr>
          <w:rFonts w:ascii="Arial" w:cs="Arial" w:eastAsia="Arial" w:hAnsi="Arial"/>
          <w:sz w:val="16"/>
          <w:szCs w:val="16"/>
          <w:color w:val="auto"/>
        </w:rPr>
        <w:t>”: all cash and cash equivalents paid under any casualty insurance policy maintained by a Loan Party other than, at such times as any Loan Party has incurred Indebtedness pursuant to Section 7.2(c), any such amounts received in respect of the Aircraft, net of (a) all direct costs of recovery of such Insurance Proceeds (including legal, accounting, appraisal and insurance adjuster fees and expenses), (b) all amounts required to be applied to the repayment of Indebtedness secured by a Lien (including any penalty, premium or make-whole amounts related thereto) expressly permitted hereunder on any asset which is the subject of the event to which such Insurance Proceeds relate (other than any Lien pursuant to a Security Document or any other First Lien Security Document or any Second Lien Security Document) and (c) all taxes paid or reasonably estimated to be payable as a result thereof (after taking into account any tax credits or deductions and any tax sharing arrangements, in each case reducing the amount of taxes so paid or estimated to be payable).</w:t>
      </w:r>
    </w:p>
    <w:p>
      <w:pPr>
        <w:spacing w:after="0" w:line="24"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Requirements</w:t>
      </w:r>
      <w:r>
        <w:rPr>
          <w:rFonts w:ascii="Arial" w:cs="Arial" w:eastAsia="Arial" w:hAnsi="Arial"/>
          <w:sz w:val="18"/>
          <w:szCs w:val="18"/>
          <w:color w:val="auto"/>
        </w:rPr>
        <w:t>”: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49" w:lineRule="exact"/>
        <w:rPr>
          <w:sz w:val="20"/>
          <w:szCs w:val="20"/>
          <w:color w:val="auto"/>
        </w:rPr>
      </w:pPr>
    </w:p>
    <w:p>
      <w:pPr>
        <w:ind w:firstLine="438"/>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3"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all Intellectual Property of the Loan Parties, now owned or hereafter acquired, upon which a Lien is purported to be created by the Intellectual Property Security Agreements or the Security Agreement.</w:t>
      </w:r>
    </w:p>
    <w:p>
      <w:pPr>
        <w:spacing w:after="0" w:line="3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any Intellectual Property Security Agreement executed and delivered by a Loan Party from time to time, substantially in the form of Exhibit B to the Security Agreement.</w:t>
      </w:r>
    </w:p>
    <w:p>
      <w:pPr>
        <w:spacing w:after="0" w:line="3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the Intercreditor Agreement dated as of the Closing Date, among the Administrative Agent, the 2014 Notes Indenture Trustee and the Collateral Agent.</w:t>
      </w:r>
    </w:p>
    <w:p>
      <w:pPr>
        <w:spacing w:after="0" w:line="37" w:lineRule="exact"/>
        <w:rPr>
          <w:sz w:val="20"/>
          <w:szCs w:val="20"/>
          <w:color w:val="auto"/>
        </w:rPr>
      </w:pPr>
    </w:p>
    <w:p>
      <w:pPr>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(a) as to any Base Rate Loan, the last day of each March, June, September and December to occur while such Loan is outstanding and the final maturity date of such Loan, (b) as to any Eurodollar Loan having an Interest Period of three months or less, the last day of such Interest Period, (c) as to any Eurodollar Loan having an Interest Period longer than three months, each day which is three months, or an</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80" w:right="279" w:bottom="1440" w:gutter="0" w:footer="0" w:header="0"/>
        </w:sectPr>
      </w:pPr>
    </w:p>
    <w:bookmarkStart w:id="90" w:name="page91"/>
    <w:bookmarkEnd w:id="90"/>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integral multiple thereof, after the first day of such Interest Period and the last day of such Interest Period and (d) as to any Loan (other than any Revolving Credit Loan that is a Base Rate Loan (unless all Revolving Credit Loans are being repaid in full in immediately available funds and the Revolving Credit Commitments terminated) and any Swing Line Loan), the date of any repayment or prepayment made in respect thereof.</w:t>
      </w:r>
    </w:p>
    <w:p>
      <w:pPr>
        <w:spacing w:after="0" w:line="1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any Eurodollar Loan, (a) initially, the period commencing on the borrowing or conversion date, as the case may be, with respect to such Eurodollar Loan and ending one, two, three or six months thereafter, as selected by the Borrower in its Notice of Advance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26" w:lineRule="exact"/>
        <w:rPr>
          <w:sz w:val="20"/>
          <w:szCs w:val="20"/>
          <w:color w:val="auto"/>
        </w:rPr>
      </w:pPr>
    </w:p>
    <w:p>
      <w:pPr>
        <w:ind w:left="460" w:right="40" w:firstLine="421"/>
        <w:spacing w:after="0" w:line="259"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45" w:lineRule="exact"/>
        <w:rPr>
          <w:rFonts w:ascii="Arial" w:cs="Arial" w:eastAsia="Arial" w:hAnsi="Arial"/>
          <w:sz w:val="18"/>
          <w:szCs w:val="18"/>
          <w:color w:val="auto"/>
        </w:rPr>
      </w:pPr>
    </w:p>
    <w:p>
      <w:pPr>
        <w:ind w:left="460" w:right="60" w:firstLine="421"/>
        <w:spacing w:after="0" w:line="306" w:lineRule="auto"/>
        <w:tabs>
          <w:tab w:leader="none" w:pos="113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Interest Period that would otherwise extend beyond the Scheduled Revolving Credit Termination Date, the Scheduled New Term Loan Termination Date or the Scheduled Term B Loan Termination Date, as the case may be, shall end on the Revolving Credit Termination Date, the New Term Loan Termination Date or the Term B Loan Termination Date, as applicable; and</w:t>
      </w:r>
    </w:p>
    <w:p>
      <w:pPr>
        <w:spacing w:after="0" w:line="12" w:lineRule="exact"/>
        <w:rPr>
          <w:rFonts w:ascii="Arial" w:cs="Arial" w:eastAsia="Arial" w:hAnsi="Arial"/>
          <w:sz w:val="16"/>
          <w:szCs w:val="16"/>
          <w:color w:val="auto"/>
        </w:rPr>
      </w:pPr>
    </w:p>
    <w:p>
      <w:pPr>
        <w:ind w:left="460" w:right="100" w:firstLine="421"/>
        <w:spacing w:after="0" w:line="325" w:lineRule="auto"/>
        <w:tabs>
          <w:tab w:leader="none" w:pos="11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as defined in Section 7.8.</w:t>
      </w:r>
    </w:p>
    <w:p>
      <w:pPr>
        <w:spacing w:after="0" w:line="77" w:lineRule="exact"/>
        <w:rPr>
          <w:sz w:val="20"/>
          <w:szCs w:val="20"/>
          <w:color w:val="auto"/>
        </w:rPr>
      </w:pPr>
    </w:p>
    <w:p>
      <w:pPr>
        <w:ind w:right="2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Deutsche Bank Trust Company Americas and any other Revolving Credit Lender which at the request of the Borrower and with the consent of the Administrative Agent agrees to issue Letters of Credit. As of the Amended and Restated Effective Date, the sole Issuing Lender is Deutsche Bank Trust Company Americas.</w:t>
      </w:r>
    </w:p>
    <w:p>
      <w:pPr>
        <w:spacing w:after="0" w:line="46"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an agreement substantially in the form of Exhibit C hereto or such other form as shall be approved by the Administrative Agent.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Kevyn</w:t>
      </w:r>
      <w:r>
        <w:rPr>
          <w:rFonts w:ascii="Arial" w:cs="Arial" w:eastAsia="Arial" w:hAnsi="Arial"/>
          <w:sz w:val="18"/>
          <w:szCs w:val="18"/>
          <w:color w:val="auto"/>
        </w:rPr>
        <w:t>”: Kevyn, LLC, a Nevada limited liability company.</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91" w:name="page92"/>
    <w:bookmarkEnd w:id="91"/>
    <w:p>
      <w:pPr>
        <w:ind w:right="1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Koval Land</w:t>
      </w:r>
      <w:r>
        <w:rPr>
          <w:rFonts w:ascii="Arial" w:cs="Arial" w:eastAsia="Arial" w:hAnsi="Arial"/>
          <w:sz w:val="18"/>
          <w:szCs w:val="18"/>
          <w:color w:val="auto"/>
        </w:rPr>
        <w:t>”: the approximately 18 acres of land located across from the Project on Koval Lane and Sands Avenue and owned as of the Amended and Restated Effective Date by Wynn Sunrise.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$25,000,000.</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Fee Payment Date</w:t>
      </w:r>
      <w:r>
        <w:rPr>
          <w:rFonts w:ascii="Arial" w:cs="Arial" w:eastAsia="Arial" w:hAnsi="Arial"/>
          <w:sz w:val="16"/>
          <w:szCs w:val="16"/>
          <w:color w:val="auto"/>
        </w:rPr>
        <w:t>”: the last day of each March, June, September and December and the last day of the Revolving Credit Commitment Period.</w:t>
      </w:r>
    </w:p>
    <w:p>
      <w:pPr>
        <w:spacing w:after="0" w:line="100" w:lineRule="exact"/>
        <w:rPr>
          <w:sz w:val="20"/>
          <w:szCs w:val="20"/>
          <w:color w:val="auto"/>
        </w:rPr>
      </w:pPr>
    </w:p>
    <w:p>
      <w:pPr>
        <w:ind w:right="6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the collective reference to all the Revolving Credit Lenders other than the Issuing Lender.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Las Vegas Jet</w:t>
      </w:r>
      <w:r>
        <w:rPr>
          <w:rFonts w:ascii="Arial" w:cs="Arial" w:eastAsia="Arial" w:hAnsi="Arial"/>
          <w:sz w:val="18"/>
          <w:szCs w:val="18"/>
          <w:color w:val="auto"/>
        </w:rPr>
        <w:t>”: Las Vegas Jet, LLC, a Nevada limited liability company.</w:t>
      </w:r>
    </w:p>
    <w:p>
      <w:pPr>
        <w:spacing w:after="0" w:line="77"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Default</w:t>
      </w:r>
      <w:r>
        <w:rPr>
          <w:rFonts w:ascii="Arial" w:cs="Arial" w:eastAsia="Arial" w:hAnsi="Arial"/>
          <w:sz w:val="18"/>
          <w:szCs w:val="18"/>
          <w:color w:val="auto"/>
        </w:rPr>
        <w:t>”: the failure or refusal (which has not been retracted in writing) of a Lender to make available (a) its portion of any Loan required to be made by such Lender hereunder (including, without limitation, under Section 2.7(b)), (b) its portion of any unreimbursed payment required to be made by such Lender under Section 3.4, (c) its portion of any participating interest required to be purchased by such Lender pursuant to Section 2.7(c) or (d)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the Swing Line Lender, each Revolving Credit Lender, each Term B Loan Lender, each New Term Loan Lender and the Issuing Lender.</w:t>
      </w:r>
    </w:p>
    <w:p>
      <w:pPr>
        <w:spacing w:after="0" w:line="100"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 Period</w:t>
      </w:r>
      <w:r>
        <w:rPr>
          <w:rFonts w:ascii="Arial" w:cs="Arial" w:eastAsia="Arial" w:hAnsi="Arial"/>
          <w:sz w:val="18"/>
          <w:szCs w:val="18"/>
          <w:color w:val="auto"/>
        </w:rPr>
        <w:t>”: the period from and including the Closing Date to the date that is 30 days prior to the Scheduled Revolving Credit Termination Date.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a certificate duly executed by a Responsible Officer of the Borrower substantially in the form of Exhibit O hereto.</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as defined in Section 3.1(a).</w:t>
      </w:r>
    </w:p>
    <w:p>
      <w:pPr>
        <w:spacing w:after="0" w:line="77" w:lineRule="exact"/>
        <w:rPr>
          <w:sz w:val="20"/>
          <w:szCs w:val="20"/>
          <w:color w:val="auto"/>
        </w:rPr>
      </w:pPr>
    </w:p>
    <w:p>
      <w:pPr>
        <w:ind w:right="4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 Revocation</w:t>
      </w:r>
      <w:r>
        <w:rPr>
          <w:rFonts w:ascii="Arial" w:cs="Arial" w:eastAsia="Arial" w:hAnsi="Arial"/>
          <w:sz w:val="16"/>
          <w:szCs w:val="16"/>
          <w:color w:val="auto"/>
        </w:rPr>
        <w:t>”: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1"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with respect to any Property, any mortgage, lien, pledge, charge, security interest or encumbrance of any kind in respect of such Property, whether or not filed,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92" w:name="page93"/>
    <w:bookmarkEnd w:id="9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recorded or otherwise perfected under applicable law (including any conditional sale or other title retention agreement, any lease in the nature thereof and any option or other agreement to sell or give a security interest in such Property but excluding any license or similar agreement (such as an option to obtain a license) of Intellectual Property).</w:t>
      </w:r>
    </w:p>
    <w:p>
      <w:pPr>
        <w:spacing w:after="0" w:line="46" w:lineRule="exact"/>
        <w:rPr>
          <w:sz w:val="20"/>
          <w:szCs w:val="20"/>
          <w:color w:val="auto"/>
        </w:rPr>
      </w:pPr>
    </w:p>
    <w:p>
      <w:pPr>
        <w:jc w:val="both"/>
        <w:ind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Liquidated Damages</w:t>
      </w:r>
      <w:r>
        <w:rPr>
          <w:rFonts w:ascii="Arial" w:cs="Arial" w:eastAsia="Arial" w:hAnsi="Arial"/>
          <w:sz w:val="16"/>
          <w:szCs w:val="16"/>
          <w:color w:val="auto"/>
        </w:rPr>
        <w:t>”: any proceeds or liquidated damages paid pursuant to any obligation, default or breach under the Project Documents (net of costs, fees and expenses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any Revolving Credit Loan, Term B Loan, New Term Loan or Swing Line Loan made by any Lender pursuant to this Agreement.</w:t>
      </w:r>
    </w:p>
    <w:p>
      <w:pPr>
        <w:spacing w:after="0" w:line="100" w:lineRule="exact"/>
        <w:rPr>
          <w:sz w:val="20"/>
          <w:szCs w:val="20"/>
          <w:color w:val="auto"/>
        </w:rPr>
      </w:pPr>
    </w:p>
    <w:p>
      <w:pPr>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Agreement, the Security Documents, the Disbursement Agreement, the Intercreditor Agreement, the Management Fee Subordination Agreement, the Completion Guaranty, the Indemnity Agreements, the Notes, the Administrative Agent Fee Letter, the Facility Fee Letter and any other loan agreements entered into from time to time by any Loan Party with the Administrative Agent in its capacity as such.</w:t>
      </w:r>
    </w:p>
    <w:p>
      <w:pPr>
        <w:spacing w:after="0" w:line="12" w:lineRule="exact"/>
        <w:rPr>
          <w:sz w:val="20"/>
          <w:szCs w:val="20"/>
          <w:color w:val="auto"/>
        </w:rPr>
      </w:pPr>
    </w:p>
    <w:p>
      <w:pPr>
        <w:ind w:righ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Borrower, Capital Corp., Show Performers, Wynn Golf, Wynn Sunrise, World Travel, Las Vegas Jet, Kevyn and each other Subsidiary of the Borrower (including any such Subsidiary that becomes a party to a Loan Document pursuant to Section 6.10(b)) other than the Completion Guarantor or any trust that owns the Aircraft.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Company Collateral Account Agreement(s)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Proceeds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Macau Loan</w:t>
      </w:r>
      <w:r>
        <w:rPr>
          <w:rFonts w:ascii="Arial" w:cs="Arial" w:eastAsia="Arial" w:hAnsi="Arial"/>
          <w:sz w:val="18"/>
          <w:szCs w:val="18"/>
          <w:color w:val="auto"/>
        </w:rPr>
        <w:t>”: the intercompany loan in the principal amount of $80 million directly or indirectly provided by Wynn Las Vegas to Wynn Macau in August 2005.</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Project Participant</w:t>
      </w:r>
      <w:r>
        <w:rPr>
          <w:rFonts w:ascii="Arial" w:cs="Arial" w:eastAsia="Arial" w:hAnsi="Arial"/>
          <w:sz w:val="18"/>
          <w:szCs w:val="18"/>
          <w:color w:val="auto"/>
        </w:rPr>
        <w:t>”: each Person who is a party to a Material Contract (other than a Loan Party).</w:t>
      </w:r>
    </w:p>
    <w:p>
      <w:pPr>
        <w:spacing w:after="0" w:line="7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Initial Lending Institutions</w:t>
      </w:r>
      <w:r>
        <w:rPr>
          <w:rFonts w:ascii="Arial" w:cs="Arial" w:eastAsia="Arial" w:hAnsi="Arial"/>
          <w:sz w:val="16"/>
          <w:szCs w:val="16"/>
          <w:color w:val="auto"/>
        </w:rPr>
        <w:t xml:space="preserve">”: at any time, the Initial Lending Institutions holding more than 50% of the sum of (i) the Total Initial Lending Institution Term B Loan Commitments then in effect or, if the Term B Loan Commitments have been terminated, the Total Initial Lending Institution Term B Loan Extensions of Credit then outstanding and (ii) the Total Initial Lending Institution Revolving Credit Commitments then in effect or, if the Revolving Credit Commitments have been terminated, the Total Initial Lending Institution Revolving Extensions of Credit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determining the Revolving Credit Commitments, Term B Loan Commitments, Revolving Extensions of Credit or Term B Loan Extensions of Credit, as applicable, held by an Initial Lending Institution at any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80" w:right="259" w:bottom="1440" w:gutter="0" w:footer="0" w:header="0"/>
        </w:sectPr>
      </w:pPr>
    </w:p>
    <w:bookmarkStart w:id="93" w:name="page94"/>
    <w:bookmarkEnd w:id="93"/>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pursuant to this definition only, each Initial Lending Institution shall be deemed to hold such Revolving Credit Commitments, Term B Loan Commitments, Revolving Extensions of Credit or Term B Loan Extensions of Credit, as applicable, held by its Affiliates in addition to that held by it directly.</w:t>
      </w:r>
    </w:p>
    <w:p>
      <w:pPr>
        <w:spacing w:after="0" w:line="4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Arrangers</w:t>
      </w:r>
      <w:r>
        <w:rPr>
          <w:rFonts w:ascii="Arial" w:cs="Arial" w:eastAsia="Arial" w:hAnsi="Arial"/>
          <w:sz w:val="18"/>
          <w:szCs w:val="18"/>
          <w:color w:val="auto"/>
        </w:rPr>
        <w:t>”: at any time, the majority of the Arrangers, as determined by the number of Arrangers and not by Commitments or other extensions of credit under this Agreement or the other Loan Documents.</w:t>
      </w:r>
    </w:p>
    <w:p>
      <w:pPr>
        <w:spacing w:after="0" w:line="37"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the Management Agreement, dated as of the Closing Date, between the Loan Parties, on the one hand, and Wynn Resorts, on the other hand.</w:t>
      </w:r>
    </w:p>
    <w:p>
      <w:pPr>
        <w:spacing w:after="0" w:line="37"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 Subordination Agreement</w:t>
      </w:r>
      <w:r>
        <w:rPr>
          <w:rFonts w:ascii="Arial" w:cs="Arial" w:eastAsia="Arial" w:hAnsi="Arial"/>
          <w:sz w:val="18"/>
          <w:szCs w:val="18"/>
          <w:color w:val="auto"/>
        </w:rPr>
        <w:t>”: the Management Fee Subordination Agreement, dated as of the Closing Date, among the Loan Parties, Wynn Resorts, the 2014 Notes Indenture Trustee and the Administrative Agent.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Fees</w:t>
      </w:r>
      <w:r>
        <w:rPr>
          <w:rFonts w:ascii="Arial" w:cs="Arial" w:eastAsia="Arial" w:hAnsi="Arial"/>
          <w:sz w:val="18"/>
          <w:szCs w:val="18"/>
          <w:color w:val="auto"/>
        </w:rPr>
        <w:t>”: as defined in the Management Agreement.</w:t>
      </w:r>
    </w:p>
    <w:p>
      <w:pPr>
        <w:spacing w:after="0" w:line="77" w:lineRule="exact"/>
        <w:rPr>
          <w:sz w:val="20"/>
          <w:szCs w:val="20"/>
          <w:color w:val="auto"/>
        </w:rPr>
      </w:pPr>
    </w:p>
    <w:p>
      <w:pPr>
        <w:jc w:val="both"/>
        <w:ind w:right="2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Managers</w:t>
      </w:r>
      <w:r>
        <w:rPr>
          <w:rFonts w:ascii="Arial" w:cs="Arial" w:eastAsia="Arial" w:hAnsi="Arial"/>
          <w:sz w:val="16"/>
          <w:szCs w:val="16"/>
          <w:color w:val="auto"/>
        </w:rPr>
        <w:t>”: collectively, Deutsche Bank Securities Inc., in its capacity as a joint book running manager, Banc of America Securities LLC, in its capacity as a joint book running manager, Bear, Stearns &amp; Co. Inc., in its capacity as a joint book running manager, SG Americas Securities, LLC, in its capacity as a joint book running manager, and J.P. Morgan Securities Inc., in its capacity as a joint book running manager.</w:t>
      </w:r>
    </w:p>
    <w:p>
      <w:pPr>
        <w:spacing w:after="0" w:line="12"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Agents</w:t>
      </w:r>
      <w:r>
        <w:rPr>
          <w:rFonts w:ascii="Arial" w:cs="Arial" w:eastAsia="Arial" w:hAnsi="Arial"/>
          <w:sz w:val="18"/>
          <w:szCs w:val="18"/>
          <w:color w:val="auto"/>
        </w:rPr>
        <w:t>”: collectively, Bank of Scotland, HSH Nordbank AG, The Royal Bank of Scotland PLC and Wachovia Bank, in each case in its capacity as a managing agent.</w:t>
      </w:r>
    </w:p>
    <w:p>
      <w:pPr>
        <w:spacing w:after="0" w:line="37"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one or a combination of conditions or changes affecting, in a material adverse way (a) the business, assets, liabilities, property, condition (financial or otherwise), results of operations, prospects, value or management of the Borrower and the other Loan Parties taken as a whole, (b) the Project,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Construction Agreements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1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(a) the Material Construction Agreements, the Golf Course Lease, the Management Agreement and the Project Services Agreement and (b) any other contract or arrangement to which any Loan Party is a party (other than the Financing Documents or any other agreements relating to Indebtedness permitted hereunder) for which breach, nonperformance, cancellation or failure to renew could reasonably be expected to have a Material Adverse Effect (taking into consideration any viable replacements or substitutions therefor at the time such determination is made).</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700" w:top="280" w:right="29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 Delaware corporation, or any successor thereof.</w:t>
      </w:r>
    </w:p>
    <w:p>
      <w:pPr>
        <w:spacing w:after="0" w:line="77"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the real properties and leasehold estates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or otherwise as to which the Collateral Agent for the benefit of, among others, the Secured Parties has been granted or shall be granted a Lien pursuant to the Mortgages. For purposes of clarification, subject to Section 6.7, the leasehold estate described under number 2 of Schedule 4.25(a) is not a Mortgaged Property and the Lien of the Secured Parties created under the Security Documents does not attach thereto.</w:t>
      </w:r>
    </w:p>
    <w:p>
      <w:pPr>
        <w:spacing w:after="0" w:line="49"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the Borrower Mortgage, the Wynn Golf Mortgage, the Wynn Sunrise Mortgage and each of the other mortgages, deeds of trust and deeds to secure Obligations made by any Loan Party in favor of, or for the benefit of, the Collateral Agent for the benefit of the Secured Parties, substantially in the form of Exhibit D hereto (with such changes thereto as shall be advisable under the law of the jurisdiction in which such mortgage, deed of trust or deed is to be recorded).</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Wynn</w:t>
      </w:r>
      <w:r>
        <w:rPr>
          <w:rFonts w:ascii="Arial" w:cs="Arial" w:eastAsia="Arial" w:hAnsi="Arial"/>
          <w:sz w:val="18"/>
          <w:szCs w:val="18"/>
          <w:color w:val="auto"/>
        </w:rPr>
        <w:t>”: Stephen A. Wynn, an individual, and his heirs.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3(37) or 4001(a)(3) of ERISA.</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(a) in connection with any Asset Sale or other Disposition,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(including any penalty, premium or make-whole amounts related thereto) expressly permitted hereunder on any asset which is the subject of such Asset Sale or other Disposition (other than any Lien pursuant to a Security Document or any other First Lien Security Document or any Second Lien Security Document), commissions, related surety costs and title insurance premiums and other fees and expenses, in each case, to the extent actually incurred or reimbursed by a Loan Party in connection with such Asset Sale or other Disposition and net of taxes paid or reasonably estimated to be payable (after taking into account any tax credits or deductions and any tax sharing arrangements, in each case reducing the amount of taxes so paid or estimated to be payable), purchase price adjustments reasonably expected to be payable and reserves or other set asides against liabilities, in each case as a result thereof and (b) 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or reimbursed by a Loan Party in connection therewith.</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Revenues</w:t>
      </w:r>
      <w:r>
        <w:rPr>
          <w:rFonts w:ascii="Arial" w:cs="Arial" w:eastAsia="Arial" w:hAnsi="Arial"/>
          <w:sz w:val="18"/>
          <w:szCs w:val="18"/>
          <w:color w:val="auto"/>
        </w:rPr>
        <w:t>”: for any period, the net revenues of the Borrower and its consolidated Subsidiaries, as set forth on the Borrower’s income statement for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80" w:right="239" w:bottom="1440" w:gutter="0" w:footer="0" w:header="0"/>
        </w:sectPr>
      </w:pPr>
    </w:p>
    <w:bookmarkStart w:id="95" w:name="page96"/>
    <w:bookmarkEnd w:id="9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relevant period under the line item “net revenues,” calculated in accordance with GAAP and with Regulation S-X under the Securities Act and in a manner consistent with that customarily utilized in the gaming industry.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Collateral Agent</w:t>
      </w:r>
      <w:r>
        <w:rPr>
          <w:rFonts w:ascii="Arial" w:cs="Arial" w:eastAsia="Arial" w:hAnsi="Arial"/>
          <w:sz w:val="18"/>
          <w:szCs w:val="18"/>
          <w:color w:val="auto"/>
        </w:rPr>
        <w:t>”: Bank of America, N.A., as collateral agent under the Collateral Agency Agreement.</w:t>
      </w:r>
    </w:p>
    <w:p>
      <w:pPr>
        <w:spacing w:after="0" w:line="7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Gaming Approvals</w:t>
      </w:r>
      <w:r>
        <w:rPr>
          <w:rFonts w:ascii="Arial" w:cs="Arial" w:eastAsia="Arial" w:hAnsi="Arial"/>
          <w:sz w:val="18"/>
          <w:szCs w:val="18"/>
          <w:color w:val="auto"/>
        </w:rPr>
        <w:t>”: with respect to any action by a particular Person, any consent, approval or other authorization required for such action by such Person from a Nevada Gaming Authority or under Nevada Gaming Laws.</w:t>
      </w:r>
    </w:p>
    <w:p>
      <w:pPr>
        <w:spacing w:after="0" w:line="37"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Nevada Gaming Authorities</w:t>
      </w:r>
      <w:r>
        <w:rPr>
          <w:rFonts w:ascii="Arial" w:cs="Arial" w:eastAsia="Arial" w:hAnsi="Arial"/>
          <w:sz w:val="16"/>
          <w:szCs w:val="16"/>
          <w:color w:val="auto"/>
        </w:rPr>
        <w:t>”: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1"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Nevada Gaming Laws</w:t>
      </w:r>
      <w:r>
        <w:rPr>
          <w:rFonts w:ascii="Arial" w:cs="Arial" w:eastAsia="Arial" w:hAnsi="Arial"/>
          <w:sz w:val="18"/>
          <w:szCs w:val="18"/>
          <w:color w:val="auto"/>
        </w:rPr>
        <w:t>”: the Nevada Gaming Control Act, as codified in Chapter 463 of the NRS, the regulations of the Nevada Gaming Commission promulgated thereunder, as amended from time to time, and other laws or regulations promulgated by the Nevada Gaming Authorities and applying to gaming operations in the State of Nevada.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Commitments</w:t>
      </w:r>
      <w:r>
        <w:rPr>
          <w:rFonts w:ascii="Arial" w:cs="Arial" w:eastAsia="Arial" w:hAnsi="Arial"/>
          <w:sz w:val="18"/>
          <w:szCs w:val="18"/>
          <w:color w:val="auto"/>
        </w:rPr>
        <w:t>”: as defined in Section 2.26(a).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Lender</w:t>
      </w:r>
      <w:r>
        <w:rPr>
          <w:rFonts w:ascii="Arial" w:cs="Arial" w:eastAsia="Arial" w:hAnsi="Arial"/>
          <w:sz w:val="18"/>
          <w:szCs w:val="18"/>
          <w:color w:val="auto"/>
        </w:rPr>
        <w:t>”: as defined in Section 2.26(a).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Credit Loan</w:t>
      </w:r>
      <w:r>
        <w:rPr>
          <w:rFonts w:ascii="Arial" w:cs="Arial" w:eastAsia="Arial" w:hAnsi="Arial"/>
          <w:sz w:val="18"/>
          <w:szCs w:val="18"/>
          <w:color w:val="auto"/>
        </w:rPr>
        <w:t>”: as defined in Section 2.26(b).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Commitments</w:t>
      </w:r>
      <w:r>
        <w:rPr>
          <w:rFonts w:ascii="Arial" w:cs="Arial" w:eastAsia="Arial" w:hAnsi="Arial"/>
          <w:sz w:val="18"/>
          <w:szCs w:val="18"/>
          <w:color w:val="auto"/>
        </w:rPr>
        <w:t>”: as defined in Section 2.26(a).</w:t>
      </w:r>
    </w:p>
    <w:p>
      <w:pPr>
        <w:spacing w:after="0" w:line="77"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Extensions of Credit</w:t>
      </w:r>
      <w:r>
        <w:rPr>
          <w:rFonts w:ascii="Arial" w:cs="Arial" w:eastAsia="Arial" w:hAnsi="Arial"/>
          <w:sz w:val="18"/>
          <w:szCs w:val="18"/>
          <w:color w:val="auto"/>
        </w:rPr>
        <w:t>”: as to any New Term Loan Lender at any time, the aggregate principal amount of all New Term Loans made by such Lender then outstanding.</w:t>
      </w:r>
    </w:p>
    <w:p>
      <w:pPr>
        <w:spacing w:after="0" w:line="37"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Facility</w:t>
      </w:r>
      <w:r>
        <w:rPr>
          <w:rFonts w:ascii="Arial" w:cs="Arial" w:eastAsia="Arial" w:hAnsi="Arial"/>
          <w:sz w:val="18"/>
          <w:szCs w:val="18"/>
          <w:color w:val="auto"/>
        </w:rPr>
        <w:t>”: with respect to each Series of New Term Loans, the applicable New Term Loan Commitments and the New Term Loans made thereunder.</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as defined in Section 2.26(a).</w:t>
      </w:r>
    </w:p>
    <w:p>
      <w:pPr>
        <w:spacing w:after="0" w:line="77"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Term Loan Percentage</w:t>
      </w:r>
      <w:r>
        <w:rPr>
          <w:rFonts w:ascii="Arial" w:cs="Arial" w:eastAsia="Arial" w:hAnsi="Arial"/>
          <w:sz w:val="16"/>
          <w:szCs w:val="16"/>
          <w:color w:val="auto"/>
        </w:rPr>
        <w:t>”: as to any New Term Loan Lender with respect to any Series of New Term Loans at any time, the percentage which such Lender’s New Term Loan Commitment then constitutes of the aggregate New Term Loan Commitments (or, at any time after the New Term Loan Commitments shall have expired or terminated, the percentage which the aggregate principal amount of such Lender’s New Term Loans then outstanding constitutes of the aggregate principal amount of all New Term Loans then outstanding).</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96" w:name="page97"/>
    <w:bookmarkEnd w:id="96"/>
    <w:p>
      <w:pPr>
        <w:ind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New Term Loan Termination Date</w:t>
      </w:r>
      <w:r>
        <w:rPr>
          <w:rFonts w:ascii="Arial" w:cs="Arial" w:eastAsia="Arial" w:hAnsi="Arial"/>
          <w:sz w:val="18"/>
          <w:szCs w:val="18"/>
          <w:color w:val="auto"/>
        </w:rPr>
        <w:t>”: with respect to each Series of New Term Loans, the earlier of (a) the Scheduled New Term Loan Termination Date and (b) the date on which the Loans become due and payable pursuant to Section 8, but in no event later than the Scheduled Term B Loan Termination Date.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Loans</w:t>
      </w:r>
      <w:r>
        <w:rPr>
          <w:rFonts w:ascii="Arial" w:cs="Arial" w:eastAsia="Arial" w:hAnsi="Arial"/>
          <w:sz w:val="18"/>
          <w:szCs w:val="18"/>
          <w:color w:val="auto"/>
        </w:rPr>
        <w:t>”: as defined in Section 2.26(c).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Notes</w:t>
      </w:r>
      <w:r>
        <w:rPr>
          <w:rFonts w:ascii="Arial" w:cs="Arial" w:eastAsia="Arial" w:hAnsi="Arial"/>
          <w:sz w:val="18"/>
          <w:szCs w:val="18"/>
          <w:color w:val="auto"/>
        </w:rPr>
        <w:t>”: as defined in Section 2.8(e).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any Lender other than a Defaulting Lender.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2.20(a).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2.20(f).</w:t>
      </w:r>
    </w:p>
    <w:p>
      <w:pPr>
        <w:spacing w:after="0" w:line="77" w:lineRule="exact"/>
        <w:rPr>
          <w:sz w:val="20"/>
          <w:szCs w:val="20"/>
          <w:color w:val="auto"/>
        </w:rPr>
      </w:pPr>
    </w:p>
    <w:p>
      <w:pPr>
        <w:ind w:right="8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the collective reference to the Revolving Credit Notes, the Term B Notes, the Swing Line Notes and the New Term Notes, if any, evidencing Loans.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Advance Request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Borrowing</w:t>
      </w:r>
      <w:r>
        <w:rPr>
          <w:rFonts w:ascii="Arial" w:cs="Arial" w:eastAsia="Arial" w:hAnsi="Arial"/>
          <w:sz w:val="16"/>
          <w:szCs w:val="16"/>
          <w:color w:val="auto"/>
        </w:rPr>
        <w:t>”: a certificate duly executed by a Responsible Officer of the Borrower substantially in the form of Exhibit M hereto.</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NRS</w:t>
      </w:r>
      <w:r>
        <w:rPr>
          <w:rFonts w:ascii="Arial" w:cs="Arial" w:eastAsia="Arial" w:hAnsi="Arial"/>
          <w:sz w:val="18"/>
          <w:szCs w:val="18"/>
          <w:color w:val="auto"/>
        </w:rPr>
        <w:t>”: the Nevada Revised Statutes, as amended from time to time.</w:t>
      </w:r>
    </w:p>
    <w:p>
      <w:pPr>
        <w:spacing w:after="0" w:line="77"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Wynn Resorts Holdings or the Loan Parties to any Arranger, to any Agent, to any Manager, to any Managing Agent or to any Lender (or, in the case of Specified Hedge Agreements, any affiliate of any Lender), whether direct or indirect, absolute or contingent, due or to become due, or now existing or hereafter incurred, which may arise under, out of, or in connection with, this Agreement, any other 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to any Managing Agent or to any Lender that are required to be paid by any Loan Party pursuant hereto or to any other Loan Document) or otherwise.</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On-Site Cash</w:t>
      </w:r>
      <w:r>
        <w:rPr>
          <w:rFonts w:ascii="Arial" w:cs="Arial" w:eastAsia="Arial" w:hAnsi="Arial"/>
          <w:sz w:val="18"/>
          <w:szCs w:val="18"/>
          <w:color w:val="auto"/>
        </w:rPr>
        <w:t>”: amounts held in cash at the Site in connection with and necessary for the ordinary course operations of the Project.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Documents</w:t>
      </w:r>
      <w:r>
        <w:rPr>
          <w:rFonts w:ascii="Arial" w:cs="Arial" w:eastAsia="Arial" w:hAnsi="Arial"/>
          <w:sz w:val="18"/>
          <w:szCs w:val="18"/>
          <w:color w:val="auto"/>
        </w:rPr>
        <w:t>”: the Financing Agreements and the Project Documents.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80" w:right="239" w:bottom="1440" w:gutter="0" w:footer="0" w:header="0"/>
        </w:sectPr>
      </w:pPr>
    </w:p>
    <w:bookmarkStart w:id="97" w:name="page98"/>
    <w:bookmarkEnd w:id="97"/>
    <w:p>
      <w:pPr>
        <w:ind w:right="60" w:firstLine="438"/>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Original Credit Agreement</w:t>
      </w:r>
      <w:r>
        <w:rPr>
          <w:rFonts w:ascii="Arial" w:cs="Arial" w:eastAsia="Arial" w:hAnsi="Arial"/>
          <w:sz w:val="16"/>
          <w:szCs w:val="16"/>
          <w:color w:val="auto"/>
        </w:rPr>
        <w:t>”: that certain Credit Agreement, dated as of the Closing Date, entered into among the Borrower, the several banks and other financial institutions or entities from time to time party thereto as lenders, Deutsche Bank Securities Inc., as lead arranger and joint book running manager, Deutsche Bank Trust Company Americas, as administrative agent, issuing lender and swing line lender,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and Societe Generale, as joint documentation agent, as amended by that certain First Amendment to Credit Agreement dated as of April 26, 2005, that certain Second Amendment to Credit Agreement dated as of June 29, 2005, that certain Third Amendment to Credit Agreement dated as of March 15, 2006 and that certain Fourth Amendment to Credit Agreement dated as of June 30, 2006.</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10.6(b).</w:t>
      </w:r>
    </w:p>
    <w:p>
      <w:pPr>
        <w:spacing w:after="0" w:line="7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Entity</w:t>
      </w:r>
      <w:r>
        <w:rPr>
          <w:rFonts w:ascii="Arial" w:cs="Arial" w:eastAsia="Arial" w:hAnsi="Arial"/>
          <w:sz w:val="18"/>
          <w:szCs w:val="18"/>
          <w:color w:val="auto"/>
        </w:rPr>
        <w:t>”: any of (a) a grantor trust for federal or state income tax purposes or (b) an entity treated as a partnership or a disregarded entity for federal or state income tax purposes.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shall have the meaning given in Section 4.30.</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Amount</w:t>
      </w:r>
      <w:r>
        <w:rPr>
          <w:rFonts w:ascii="Arial" w:cs="Arial" w:eastAsia="Arial" w:hAnsi="Arial"/>
          <w:sz w:val="18"/>
          <w:szCs w:val="18"/>
          <w:color w:val="auto"/>
        </w:rPr>
        <w:t>”: as defined in Section 3.5.</w:t>
      </w:r>
    </w:p>
    <w:p>
      <w:pPr>
        <w:spacing w:after="0" w:line="7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the office of the Administrative Agent specified in Section 10.2 or as otherwise specified from time to time by the Administrative Agent as its payment office by notice to the Borrower and the Lenders.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77"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the collective reference to (a) Environmental Permits and (b) any and all other franchises, licenses, leases, permits, approvals, notifications, certifications, registrations, authorizations, exemptions, variances, qualifications, easements, rights of way, Liens and other rights, privileges and approvals required under any Requirement of Law (including Nevada Gaming Laws), but excluding any license or similar agreement (such as an option to obtain a license) of Intellectual Property.</w:t>
      </w:r>
    </w:p>
    <w:p>
      <w:pPr>
        <w:spacing w:after="0" w:line="49"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Businesses</w:t>
      </w:r>
      <w:r>
        <w:rPr>
          <w:rFonts w:ascii="Arial" w:cs="Arial" w:eastAsia="Arial" w:hAnsi="Arial"/>
          <w:sz w:val="16"/>
          <w:szCs w:val="16"/>
          <w:color w:val="auto"/>
        </w:rPr>
        <w:t>”: (a) the gaming business, (b) the development, construction, ownership and operation of a Gaming Facility, (c) all businesses, whether or not licensed by the Nevada Gaming Authorities, which are necessary for, incident to, useful to, arising out of, supportive of or connected to the development, construction, ownership or operation of a Gaming Facility, (d) any development, construction, ownership or operation of lodging, retail, restaurant or convention facilities, sports or entertainment facilities, golf course facilities, art gallery facilities, food and beverage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80" w:right="239" w:bottom="1440" w:gutter="0" w:footer="0" w:header="0"/>
        </w:sectPr>
      </w:pPr>
    </w:p>
    <w:bookmarkStart w:id="98" w:name="page99"/>
    <w:bookmarkEnd w:id="98"/>
    <w:p>
      <w:pPr>
        <w:ind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 operations, transportation services (including operation of the Aircraft and chartering thereof), parking services, sales and marketing services, sales, leasing and repair of automobiles or other activities related to the foregoing, (e) any development, construction, ownership or operation of a full service destination resort, including, without limitation, residential or vacation housing facilities (including, without limitation, timeshares, interval ownership and condominiums and similar developments), and parking services, sales and marketing services or other activities related to the foregoing,</w:t>
      </w:r>
    </w:p>
    <w:p>
      <w:pPr>
        <w:spacing w:after="0" w:line="3" w:lineRule="exact"/>
        <w:rPr>
          <w:sz w:val="20"/>
          <w:szCs w:val="20"/>
          <w:color w:val="auto"/>
        </w:rPr>
      </w:pPr>
    </w:p>
    <w:p>
      <w:pPr>
        <w:ind w:left="220" w:hanging="216"/>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business (including any related internet business) that is a reasonable extension, development or expansion of any of the foregoing or incidental</w:t>
      </w:r>
    </w:p>
    <w:p>
      <w:pPr>
        <w:spacing w:after="0" w:line="32" w:lineRule="exact"/>
        <w:rPr>
          <w:rFonts w:ascii="Arial" w:cs="Arial" w:eastAsia="Arial" w:hAnsi="Arial"/>
          <w:sz w:val="16"/>
          <w:szCs w:val="16"/>
          <w:color w:val="auto"/>
        </w:rPr>
      </w:pPr>
    </w:p>
    <w:p>
      <w:pPr>
        <w:ind w:right="40"/>
        <w:spacing w:after="0" w:line="300" w:lineRule="auto"/>
        <w:rPr>
          <w:rFonts w:ascii="Arial" w:cs="Arial" w:eastAsia="Arial" w:hAnsi="Arial"/>
          <w:sz w:val="16"/>
          <w:szCs w:val="16"/>
          <w:color w:val="auto"/>
        </w:rPr>
      </w:pPr>
      <w:r>
        <w:rPr>
          <w:rFonts w:ascii="Arial" w:cs="Arial" w:eastAsia="Arial" w:hAnsi="Arial"/>
          <w:sz w:val="15"/>
          <w:szCs w:val="15"/>
          <w:color w:val="auto"/>
        </w:rPr>
        <w:t xml:space="preserve">thereto and/or (g) the ownership by a Person of Capital Stock in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notwithstanding the foregoing, the Borrower shall be permitted to (i) continue to perform its obligations and receive benefits under the Macau Loan and</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Allocable Overhead as otherwise permitted under this Agreement.</w:t>
      </w:r>
    </w:p>
    <w:p>
      <w:pPr>
        <w:spacing w:after="0" w:line="70" w:lineRule="exact"/>
        <w:rPr>
          <w:sz w:val="20"/>
          <w:szCs w:val="20"/>
          <w:color w:val="auto"/>
        </w:rPr>
      </w:pPr>
    </w:p>
    <w:p>
      <w:pPr>
        <w:ind w:right="120"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C-Corp. Conversion</w:t>
      </w:r>
      <w:r>
        <w:rPr>
          <w:rFonts w:ascii="Arial" w:cs="Arial" w:eastAsia="Arial" w:hAnsi="Arial"/>
          <w:sz w:val="16"/>
          <w:szCs w:val="16"/>
          <w:color w:val="auto"/>
        </w:rPr>
        <w:t>”: a transaction resulting in the Borrower, any other Loan Party or the Completion Guarantor becoming a subchapter “C” corporation under the Code, so long as, in connection with such transaction (a) the subchapter “C” corporation resulting from such transaction is a corporation organized and existing under the laws of any state of the United States or the District of Columbia and the Beneficial Owners of the Capital Stock of the subchapter “C” corporation shall be the same, and shall be in the same percentages, as the Beneficial Owners of the Capital Stock of the applicable entity immediately prior to such transaction, (b) the subchapter “C” corporation resulting from such transaction assumes in writing all of the obligations, if any, of the applicable entity under the Loan Documents and all other material documents and instruments to which such Person is a party,</w:t>
      </w:r>
    </w:p>
    <w:p>
      <w:pPr>
        <w:spacing w:after="0" w:line="1" w:lineRule="exact"/>
        <w:rPr>
          <w:sz w:val="20"/>
          <w:szCs w:val="20"/>
          <w:color w:val="auto"/>
        </w:rPr>
      </w:pPr>
    </w:p>
    <w:p>
      <w:pPr>
        <w:ind w:firstLine="4"/>
        <w:spacing w:after="0" w:line="286"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extent the Liens securing the Obligations on the Property of the applicable entity immediately prior to such transaction do not survive with respect to the subchapter “C” corporation resulting from such transaction, such subchapter “C” corporation complies with the requirements of Section 6.10 as if it and/or its Property, as the case may be, was newly acquired on the date of the applicable Permitted C-Corp. Conversion, (d) the Required Lenders are given not less than 45 days’ advance written notice of such transaction and evidence reasonably satisfactory to the Required Lenders (including, without limitation, title insurance and a reasonably satisfactory opinion of counsel) regarding the maintenance of the perfection and priority of Liens granted, or intended to be granted, in favor of the Secured Parties in the Collateral following such transaction, (e) such transaction would not cause or result in a Default or an Event of Default; (f) such transaction does not result in the loss or suspension or material impairment of any material Permit unless a comparable Permit is effective prior to or simultaneously with such loss, suspension or material impairment, (g) such transaction does not require any Lender to obtain any license, permit, franchise or other authorization from any Nevada Gaming Authority necessary on the date of the Permitted C-Corp. Conversion or at any time thereafter to own, lease, operate or otherwise conduct the gaming business of the Borrower or any other Loan Party or be qualified or found suitable under the laws of any applicable gaming jurisdiction and (h)</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80" w:right="239" w:bottom="1440" w:gutter="0" w:footer="0" w:header="0"/>
        </w:sectPr>
      </w:pPr>
    </w:p>
    <w:bookmarkStart w:id="99" w:name="page100"/>
    <w:bookmarkEnd w:id="9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shall have delivered to the Administrative Agent an opinion of counsel of national repute in the United States reasonably acceptable to the Administrative Agent confirming that neither the Borrower nor any other Loan Party nor any of the Lenders will recognize income, gain or loss for United States federal or state income tax purposes as a result of such Permitted C-Corp. Conversion.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the collective reference to (a) in the case of Collateral other than Pledged Stock, Liens permitted by Section 7.3 (but only of the priority and to the extent of coverage expressly set forth in Section 7.3 and the Security Agreement and subject to the provisions of the Intercreditor Agreement) and (b) in the case of Collateral consisting of Pledged Stock, non-consensual Liens permitted by Section 7.3 to the extent arising by operation of law and Liens permitted by Section 7.3(k).</w:t>
      </w:r>
    </w:p>
    <w:p>
      <w:pPr>
        <w:spacing w:after="0" w:line="49"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any Indebtedness of any Loan Party issued in exchange for, or the net proceeds of which are used to extend, refinance, renew, replace, defease or refund any First Lien Secured Obligations or any Second Lien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 renewed, replaced, defeased or refunded, taken as a whole, could not reasonably be expected to be materially adverse to the Loan Parties (taken as a whole) or the Lenders and (d) the relevant holders of such Permitted Refinancing Indebtedness become party to the Intercreditor Agreement. In the event Permitted Refinancing Indebtedness is used to extend, refinance, renew, replace, amend and restate, restate, defease or refund the 2014 Notes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 by action of the Administrative Agent without the consent of the Lenders.</w:t>
      </w:r>
    </w:p>
    <w:p>
      <w:pPr>
        <w:spacing w:after="0" w:line="29"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Securities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700" w:top="280" w:right="279" w:bottom="1440" w:gutter="0" w:footer="0" w:header="0"/>
        </w:sectPr>
      </w:pPr>
    </w:p>
    <w:bookmarkStart w:id="100" w:name="page101"/>
    <w:bookmarkEnd w:id="100"/>
    <w:p>
      <w:pPr>
        <w:ind w:right="6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18 months from the date of acquisition, (b) shares of money market, mutual or similar funds which invest exclusively in assets satisfying the requirements of clause (a) of this definition or (c) shares of, or an investment in, the JPMorgan Federal Money Market Fund.</w:t>
      </w:r>
    </w:p>
    <w:p>
      <w:pPr>
        <w:spacing w:after="0" w:line="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Final Completion Date</w:t>
      </w:r>
      <w:r>
        <w:rPr>
          <w:rFonts w:ascii="Arial" w:cs="Arial" w:eastAsia="Arial" w:hAnsi="Arial"/>
          <w:sz w:val="18"/>
          <w:szCs w:val="18"/>
          <w:color w:val="auto"/>
        </w:rPr>
        <w:t>”: the Final Completion Date with respect to the Phase I Project.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Opening Date</w:t>
      </w:r>
      <w:r>
        <w:rPr>
          <w:rFonts w:ascii="Arial" w:cs="Arial" w:eastAsia="Arial" w:hAnsi="Arial"/>
          <w:sz w:val="18"/>
          <w:szCs w:val="18"/>
          <w:color w:val="auto"/>
        </w:rPr>
        <w:t>”: April 28, 2005.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Project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Project Budget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Completion Date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Final Completion Date</w:t>
      </w:r>
      <w:r>
        <w:rPr>
          <w:rFonts w:ascii="Arial" w:cs="Arial" w:eastAsia="Arial" w:hAnsi="Arial"/>
          <w:sz w:val="18"/>
          <w:szCs w:val="18"/>
          <w:color w:val="auto"/>
        </w:rPr>
        <w:t>”: (a) if the Amended and Restated Disbursement Agreement Effective Date has not occurred, the Final Completion Date with respect to the Phase II Project or (b) if the Amended and Restated Disbursement Agreement Effective Date has occurred, as defined in the Disbursement Agreement.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Opening Date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Project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Project Budget</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 and Specifications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as defined in the Security Agreement.</w:t>
      </w:r>
    </w:p>
    <w:p>
      <w:pPr>
        <w:spacing w:after="0" w:line="77" w:lineRule="exact"/>
        <w:rPr>
          <w:sz w:val="20"/>
          <w:szCs w:val="20"/>
          <w:color w:val="auto"/>
        </w:rPr>
      </w:pPr>
    </w:p>
    <w:p>
      <w:pPr>
        <w:ind w:right="3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Points of Diversion</w:t>
      </w:r>
      <w:r>
        <w:rPr>
          <w:rFonts w:ascii="Arial" w:cs="Arial" w:eastAsia="Arial" w:hAnsi="Arial"/>
          <w:sz w:val="16"/>
          <w:szCs w:val="16"/>
          <w:color w:val="auto"/>
        </w:rPr>
        <w:t>”: with respect to any water permit held by any Loan Party or otherwise utilized or expected to be utilized with respect to the Project, the locations designated under such water permit where a well can be located for the draw of water under such water permit.</w:t>
      </w:r>
    </w:p>
    <w:p>
      <w:pPr>
        <w:spacing w:after="0" w:line="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Presumed Tax Liability</w:t>
      </w:r>
      <w:r>
        <w:rPr>
          <w:rFonts w:ascii="Arial" w:cs="Arial" w:eastAsia="Arial" w:hAnsi="Arial"/>
          <w:sz w:val="18"/>
          <w:szCs w:val="18"/>
          <w:color w:val="auto"/>
        </w:rPr>
        <w:t>”: for any Person that is not a Pass Through Entity for any period, an amount equal to the product of (a) the Taxable Income allocated or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101" w:name="page102"/>
    <w:bookmarkEnd w:id="10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attributable to such Person (directly or through one or more tiers of Pass Through Entities) (net of taxable losses allocated to such Person with respect to any Loan Party that (i) are, or were previously, deductible by such Person and (ii) have not previously reduced Taxable Income) and (b) the Presumed Tax Rate.</w:t>
      </w:r>
    </w:p>
    <w:p>
      <w:pPr>
        <w:spacing w:after="0" w:line="46"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Presumed Tax Rate</w:t>
      </w:r>
      <w:r>
        <w:rPr>
          <w:rFonts w:ascii="Arial" w:cs="Arial" w:eastAsia="Arial" w:hAnsi="Arial"/>
          <w:sz w:val="16"/>
          <w:szCs w:val="16"/>
          <w:color w:val="auto"/>
        </w:rPr>
        <w:t>”: with respect to any Person for any period,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the pricing grid attached hereto as Annex A.</w:t>
      </w:r>
    </w:p>
    <w:p>
      <w:pPr>
        <w:spacing w:after="0" w:line="77" w:lineRule="exact"/>
        <w:rPr>
          <w:sz w:val="20"/>
          <w:szCs w:val="20"/>
          <w:color w:val="auto"/>
        </w:rPr>
      </w:pPr>
    </w:p>
    <w:p>
      <w:pPr>
        <w:ind w:right="8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 Americas. The Borrower acknowledges that Deutsche Bank Trust Company Americas may, from time to time, make commercial loans or other loans at rates of interest at, above or below the Prime Rate.</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as defined in Section 6.2(n).</w:t>
      </w:r>
    </w:p>
    <w:p>
      <w:pPr>
        <w:spacing w:after="0" w:line="7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collectively, the Phase I Project, the Phase II Project and all other Property of the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Section 2.24 only, the term “Project” shall mean (i) until the Phase II Completion Date, the Phase I Project, and (ii) for the period from and after the Phase II Completion Date, collectively the Phase I Project, the Phase II Project and all other Property of the Loan Parties.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Costs</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 Documents</w:t>
      </w:r>
      <w:r>
        <w:rPr>
          <w:rFonts w:ascii="Arial" w:cs="Arial" w:eastAsia="Arial" w:hAnsi="Arial"/>
          <w:sz w:val="16"/>
          <w:szCs w:val="16"/>
          <w:color w:val="auto"/>
        </w:rPr>
        <w:t>”: collectively, each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 but, in any case, excluding Financing Agreements.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Liquidity Reserve Account</w:t>
      </w:r>
      <w:r>
        <w:rPr>
          <w:rFonts w:ascii="Arial" w:cs="Arial" w:eastAsia="Arial" w:hAnsi="Arial"/>
          <w:sz w:val="18"/>
          <w:szCs w:val="18"/>
          <w:color w:val="auto"/>
        </w:rPr>
        <w:t>”: as defined in the Disbursement Agreement.</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102" w:name="page103"/>
    <w:bookmarkEnd w:id="102"/>
    <w:p>
      <w:pPr>
        <w:ind w:right="3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Project Services Agreement</w:t>
      </w:r>
      <w:r>
        <w:rPr>
          <w:rFonts w:ascii="Arial" w:cs="Arial" w:eastAsia="Arial" w:hAnsi="Arial"/>
          <w:sz w:val="18"/>
          <w:szCs w:val="18"/>
          <w:color w:val="auto"/>
        </w:rPr>
        <w:t>”: the Amended and Restated Project Administration Services Agreement, dated as of the Closing Date, between the Borrower and Wynn Design.</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as defined in Section 6.2(c).</w:t>
      </w:r>
    </w:p>
    <w:p>
      <w:pPr>
        <w:spacing w:after="0" w:line="77"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any right or interest in or to property of any kind whatsoever, whether real, personal or mixed and whether tangible or intangible, including, without limitation, Capital Stock.</w:t>
      </w:r>
    </w:p>
    <w:p>
      <w:pPr>
        <w:spacing w:after="0" w:line="3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Date</w:t>
      </w:r>
      <w:r>
        <w:rPr>
          <w:rFonts w:ascii="Arial" w:cs="Arial" w:eastAsia="Arial" w:hAnsi="Arial"/>
          <w:sz w:val="18"/>
          <w:szCs w:val="18"/>
          <w:color w:val="auto"/>
        </w:rPr>
        <w:t>”: (a) with respect to the first Quarterly Date, December 31, 2005 and (b) with respect to each subsequent Quarterly Date, the last day of the next succeeding fiscal quarter of the Borrower.</w:t>
      </w:r>
    </w:p>
    <w:p>
      <w:pPr>
        <w:spacing w:after="0" w:line="37" w:lineRule="exact"/>
        <w:rPr>
          <w:sz w:val="20"/>
          <w:szCs w:val="20"/>
          <w:color w:val="auto"/>
        </w:rPr>
      </w:pPr>
    </w:p>
    <w:p>
      <w:pPr>
        <w:ind w:right="52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Reaffirmation Agreement</w:t>
      </w:r>
      <w:r>
        <w:rPr>
          <w:rFonts w:ascii="Arial" w:cs="Arial" w:eastAsia="Arial" w:hAnsi="Arial"/>
          <w:sz w:val="16"/>
          <w:szCs w:val="16"/>
          <w:color w:val="auto"/>
        </w:rPr>
        <w:t>”: that certain Reaffirmation Agreement substantially in the form of Exhibit B hereto, dated as of the Amended and Restated Effective Date, executed by Wynn Resorts Holdings and each Loan Party in favor of the Administrative Agent and the Collateral Agent.</w:t>
      </w:r>
    </w:p>
    <w:p>
      <w:pPr>
        <w:spacing w:after="0" w:line="1"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All real property held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w:t>
      </w:r>
      <w:r>
        <w:rPr>
          <w:rFonts w:ascii="Arial" w:cs="Arial" w:eastAsia="Arial" w:hAnsi="Arial"/>
          <w:sz w:val="18"/>
          <w:szCs w:val="18"/>
          <w:u w:val="single" w:color="auto"/>
          <w:color w:val="auto"/>
        </w:rPr>
        <w:t>Schedule 4.25(a)</w:t>
      </w:r>
      <w:r>
        <w:rPr>
          <w:rFonts w:ascii="Arial" w:cs="Arial" w:eastAsia="Arial" w:hAnsi="Arial"/>
          <w:sz w:val="18"/>
          <w:szCs w:val="18"/>
          <w:color w:val="auto"/>
        </w:rPr>
        <w:t xml:space="preserve"> and includes, without limitation, the Site and the Site Easements.</w:t>
      </w:r>
    </w:p>
    <w:p>
      <w:pPr>
        <w:spacing w:after="0" w:line="46" w:lineRule="exact"/>
        <w:rPr>
          <w:sz w:val="20"/>
          <w:szCs w:val="20"/>
          <w:color w:val="auto"/>
        </w:rPr>
      </w:pPr>
    </w:p>
    <w:p>
      <w:pPr>
        <w:ind w:right="60"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Transaction</w:t>
      </w:r>
      <w:r>
        <w:rPr>
          <w:rFonts w:ascii="Arial" w:cs="Arial" w:eastAsia="Arial" w:hAnsi="Arial"/>
          <w:sz w:val="18"/>
          <w:szCs w:val="18"/>
          <w:color w:val="auto"/>
        </w:rPr>
        <w:t>”: collectively and in each case as occurred on or about the Closing Date, (a) the consummation of a tender offer for the 2010 Notes, (b) the discharge of the 2010 Notes Indenture pursuant to Article 12 of the 2010 Notes Indenture, (c) the payment in full and termination of that certain Credit Agreement, dated as of October 30, 2002, among the Borrower, Deutsche Bank Trust Company Americas, as administrative agent, and the other banks and financial institutions party thereto from time to time, (d) the payment in full and termination of that certain Credit Agreement, dated as of May 3, 2004, among Bora Bora, LLC, Deutsche Bank Trust Company Americas, as administrative agent, and the other banks and financial institutions party thereto from time to time and (e) the payment in full and termination of that certain Loan Agreement, dated as of October 30, 2002, among the Borrower, Wells Fargo Bank Nevada, National Association, as collateral agent, and the other banks and financial institutions party thereto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as defined in Section 2.7(b).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Date</w:t>
      </w:r>
      <w:r>
        <w:rPr>
          <w:rFonts w:ascii="Arial" w:cs="Arial" w:eastAsia="Arial" w:hAnsi="Arial"/>
          <w:sz w:val="18"/>
          <w:szCs w:val="18"/>
          <w:color w:val="auto"/>
        </w:rPr>
        <w:t>”: as defined in Section 2.7(c).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10.6(d).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Regulation D of the Board as in effect from time to time (and any successor to all or a portion thereof).</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80" w:right="25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Regulation H</w:t>
      </w:r>
      <w:r>
        <w:rPr>
          <w:rFonts w:ascii="Arial" w:cs="Arial" w:eastAsia="Arial" w:hAnsi="Arial"/>
          <w:sz w:val="18"/>
          <w:szCs w:val="18"/>
          <w:color w:val="auto"/>
        </w:rPr>
        <w:t>”: Regulation H of the Board as in effect from time to time (and any successor to all or a portion thereof).</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Regulation T of the Board as in effect from time to time (and any successor to all or a portion thereof).</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 (and any successor to all or a portion thereof).</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Regulation X of the Board as in effect from time to time (and any successor to all or a portion thereof).</w:t>
      </w:r>
    </w:p>
    <w:p>
      <w:pPr>
        <w:spacing w:after="0" w:line="77"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the obligation of the Borrower to reimburse the Issuing Lender pursuant to Section 3.5 for amounts drawn under Letters of Credit.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Reinvested Amounts</w:t>
      </w:r>
      <w:r>
        <w:rPr>
          <w:rFonts w:ascii="Arial" w:cs="Arial" w:eastAsia="Arial" w:hAnsi="Arial"/>
          <w:sz w:val="18"/>
          <w:szCs w:val="18"/>
          <w:color w:val="auto"/>
        </w:rPr>
        <w:t>”: as defined in Section 2.12(c).</w:t>
      </w:r>
    </w:p>
    <w:p>
      <w:pPr>
        <w:spacing w:after="0" w:line="77"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Deferred Amount</w:t>
      </w:r>
      <w:r>
        <w:rPr>
          <w:rFonts w:ascii="Arial" w:cs="Arial" w:eastAsia="Arial" w:hAnsi="Arial"/>
          <w:sz w:val="18"/>
          <w:szCs w:val="18"/>
          <w:color w:val="auto"/>
        </w:rPr>
        <w: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Event</w:t>
      </w:r>
      <w:r>
        <w:rPr>
          <w:rFonts w:ascii="Arial" w:cs="Arial" w:eastAsia="Arial" w:hAnsi="Arial"/>
          <w:sz w:val="18"/>
          <w:szCs w:val="18"/>
          <w:color w:val="auto"/>
        </w:rPr>
        <w:t>”: any Asset Sale in respect of which the Borrower has delivered a Reinvestment Notice.</w:t>
      </w:r>
    </w:p>
    <w:p>
      <w:pPr>
        <w:spacing w:after="0" w:line="77"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Notice</w:t>
      </w:r>
      <w:r>
        <w:rPr>
          <w:rFonts w:ascii="Arial" w:cs="Arial" w:eastAsia="Arial" w:hAnsi="Arial"/>
          <w:sz w:val="16"/>
          <w:szCs w:val="16"/>
          <w:color w:val="auto"/>
        </w:rPr>
        <w:t>”: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Businesses.</w:t>
      </w:r>
    </w:p>
    <w:p>
      <w:pPr>
        <w:spacing w:after="0" w:line="18" w:lineRule="exact"/>
        <w:rPr>
          <w:sz w:val="20"/>
          <w:szCs w:val="20"/>
          <w:color w:val="auto"/>
        </w:rPr>
      </w:pPr>
    </w:p>
    <w:p>
      <w:pPr>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Amount</w:t>
      </w:r>
      <w:r>
        <w:rPr>
          <w:rFonts w:ascii="Arial" w:cs="Arial" w:eastAsia="Arial" w:hAnsi="Arial"/>
          <w:sz w:val="18"/>
          <w:szCs w:val="18"/>
          <w:color w:val="auto"/>
        </w:rPr>
        <w: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Businesses.</w:t>
      </w:r>
    </w:p>
    <w:p>
      <w:pPr>
        <w:spacing w:after="0" w:line="46" w:lineRule="exact"/>
        <w:rPr>
          <w:sz w:val="20"/>
          <w:szCs w:val="20"/>
          <w:color w:val="auto"/>
        </w:rPr>
      </w:pPr>
    </w:p>
    <w:p>
      <w:pPr>
        <w:jc w:val="both"/>
        <w:ind w:right="2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Date</w:t>
      </w:r>
      <w:r>
        <w:rPr>
          <w:rFonts w:ascii="Arial" w:cs="Arial" w:eastAsia="Arial" w:hAnsi="Arial"/>
          <w:sz w:val="18"/>
          <w:szCs w:val="18"/>
          <w:color w:val="auto"/>
        </w:rPr>
        <w:t>”: with respect to any Reinvestment Event, the earlier of (a) the date occurring 360 days after such Reinvestment Event and (b) the date on which the Borrower or the applicable Loan Party shall have determined not to acquire assets useful in its respective Permitted Business with all or any portion of the relevant Reinvestment Deferred Amount.</w:t>
      </w:r>
    </w:p>
    <w:p>
      <w:pPr>
        <w:spacing w:after="0" w:line="46"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either (a) any 80% (or more) owned Subsidiary, heir, estate, lineal descendent or immediate family member of Mr. Wynn; or (b) any trust, corporation, partnership or other entity, the beneficiaries, equity holders, partners, owners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700" w:top="280" w:right="259" w:bottom="1440" w:gutter="0" w:footer="0" w:header="0"/>
        </w:sectPr>
      </w:pPr>
    </w:p>
    <w:bookmarkStart w:id="104" w:name="page105"/>
    <w:bookmarkEnd w:id="10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Persons beneficially holding an 80% or more controlling interest of which consist of Mr. Wynn and/or such other Persons referred to in the immediately preceding clause (a).</w:t>
      </w:r>
    </w:p>
    <w:p>
      <w:pPr>
        <w:spacing w:after="0" w:line="37"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Assets</w:t>
      </w:r>
      <w:r>
        <w:rPr>
          <w:rFonts w:ascii="Arial" w:cs="Arial" w:eastAsia="Arial" w:hAnsi="Arial"/>
          <w:sz w:val="18"/>
          <w:szCs w:val="18"/>
          <w:color w:val="auto"/>
        </w:rPr>
        <w:t>”: as defined in the Security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Repair Plan</w:t>
      </w:r>
      <w:r>
        <w:rPr>
          <w:rFonts w:ascii="Arial" w:cs="Arial" w:eastAsia="Arial" w:hAnsi="Arial"/>
          <w:sz w:val="18"/>
          <w:szCs w:val="18"/>
          <w:color w:val="auto"/>
        </w:rPr>
        <w:t>”: as defined in Section 2.24(a)(iv).</w:t>
      </w:r>
    </w:p>
    <w:p>
      <w:pPr>
        <w:spacing w:after="0" w:line="77"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applicable regulations.</w:t>
      </w:r>
    </w:p>
    <w:p>
      <w:pPr>
        <w:spacing w:after="0" w:line="3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Facility Lenders</w:t>
      </w:r>
      <w:r>
        <w:rPr>
          <w:rFonts w:ascii="Arial" w:cs="Arial" w:eastAsia="Arial" w:hAnsi="Arial"/>
          <w:sz w:val="16"/>
          <w:szCs w:val="16"/>
          <w:color w:val="auto"/>
        </w:rPr>
        <w:t>”: with respect to any Facility (a) at any time on or after the termination of the Term B Loan Commitments, the New Term Loan Commitments with respect to a Series of New Term Loans or the Revolving Credit Commitments, as the case may be, Non-Defaulting Lenders holding more than 50% of the Total Term B Loan Extensions of Credit of Non-Defaulting Lenders, the Total New Term Loan Extensions of Credit with respect to such Series of New Term Loans of Non-Defaulting Lenders or the Total Revolving Extensions of Credit of Non-Defaulting Lenders, as the case may be, or (b) at any time prior to any termination of the Term B Loan Commitments, the New Term Loan Commitments with respect to a Series of New Term Loans or the Revolving Credit Commitments, as the case may be, Non-Defaulting Lenders holding more than 50% of the Total Term B Loan Commitments (less the aggregate Term B Loan Commitments of Defaulting Lenders), Total New Term Loan Commitments with respect to such Series of New Term Loans (less the aggregate of such New Term Loan Commitments of Defaulting Lenders) or Total Revolving Credit Commitments (less the aggregate Revolving Credit Commitments of Defaulting Lenders), as the case may be.</w:t>
      </w:r>
    </w:p>
    <w:p>
      <w:pPr>
        <w:spacing w:after="0" w:line="25"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at any time, Non-Defaulting Lenders holding more than 50% of the sum of (a) the Total Term B Loan Commitments (less the aggregate Term B Loan Commitments of Defaulting Lenders) then in effect or, if the Term B Loan Commitments have been terminated, the Total Term B Loan Extensions of Credit of Non-Defaulting Lenders then outstanding, (b) the Total New Term Loan Commitments (less the aggregate New Term Loan Commitments of Defaulting Lenders) then in effect or, if the New Term Loan Commitments have been terminated, the Total New Term Loan Extensions of Credit of Non-Defaulting Lenders then outstanding, and (c) the Total Revolving Credit Commitments (less the aggregate Revolving Credit Commitments of</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80" w:right="259" w:bottom="1440" w:gutter="0" w:footer="0" w:header="0"/>
        </w:sectPr>
      </w:pPr>
    </w:p>
    <w:bookmarkStart w:id="105" w:name="page106"/>
    <w:bookmarkEnd w:id="105"/>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Defaulting Lenders) then in effect or, if the Revolving Credit Commitments have been terminated, the Total Revolving Extensions of Credit of Non-Defaulting Lenders then outstanding.</w:t>
      </w:r>
    </w:p>
    <w:p>
      <w:pPr>
        <w:spacing w:after="0" w:line="37" w:lineRule="exact"/>
        <w:rPr>
          <w:sz w:val="20"/>
          <w:szCs w:val="20"/>
          <w:color w:val="auto"/>
        </w:rPr>
      </w:pPr>
    </w:p>
    <w:p>
      <w:pPr>
        <w:jc w:val="both"/>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Governing Documents of such Person, and any law, treaty, order, rule or regulation or determination of an arbitrator or a court or other Governmental Authority, including, without limitation, Permits, in each case applicable to or binding upon such Person or any of its Property or to which such Person or any of its Property is subject.</w:t>
      </w:r>
    </w:p>
    <w:p>
      <w:pPr>
        <w:spacing w:after="0" w:line="46" w:lineRule="exact"/>
        <w:rPr>
          <w:sz w:val="20"/>
          <w:szCs w:val="20"/>
          <w:color w:val="auto"/>
        </w:rPr>
      </w:pPr>
    </w:p>
    <w:p>
      <w:pPr>
        <w:jc w:val="both"/>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as to any Person, the chief executive officer, president, chief financial officer or treasurer of such Person, but in any event, with respect to matters set forth in Section 6.1 or 7.27 or the delivery of Compliance Certificates or Reinvestment Notices, the chief financial officer of such Person. All references to a “Responsible Officer” shall refer to a Responsible Officer of the Borrower or Wynn Resorts.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7.6.</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Retail Facility</w:t>
      </w:r>
      <w:r>
        <w:rPr>
          <w:rFonts w:ascii="Arial" w:cs="Arial" w:eastAsia="Arial" w:hAnsi="Arial"/>
          <w:sz w:val="18"/>
          <w:szCs w:val="18"/>
          <w:color w:val="auto"/>
        </w:rPr>
        <w:t>”: an up to approximately 60,000 square foot retail facility adjoining the Project on the Site (other than any retail facility contemplated in the Plans and Specifications on the Amended and Restated Effective Date).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Fee</w:t>
      </w:r>
      <w:r>
        <w:rPr>
          <w:rFonts w:ascii="Arial" w:cs="Arial" w:eastAsia="Arial" w:hAnsi="Arial"/>
          <w:sz w:val="18"/>
          <w:szCs w:val="18"/>
          <w:color w:val="auto"/>
        </w:rPr>
        <w:t>”: as defined in Section 2.9(a).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 Fee Rate</w:t>
      </w:r>
      <w:r>
        <w:rPr>
          <w:rFonts w:ascii="Arial" w:cs="Arial" w:eastAsia="Arial" w:hAnsi="Arial"/>
          <w:sz w:val="16"/>
          <w:szCs w:val="16"/>
          <w:color w:val="auto"/>
        </w:rPr>
        <w:t>”: (a) until the first Adjustment Date occurring after the Initial Phase II Calculation Date, 0.375% per annum, and</w:t>
      </w:r>
    </w:p>
    <w:p>
      <w:pPr>
        <w:spacing w:after="0" w:line="38" w:lineRule="exact"/>
        <w:rPr>
          <w:sz w:val="20"/>
          <w:szCs w:val="20"/>
          <w:color w:val="auto"/>
        </w:rPr>
      </w:pPr>
    </w:p>
    <w:p>
      <w:pPr>
        <w:ind w:right="140" w:firstLine="4"/>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and after the first Adjustment Date occurring after the Initial Phase II Calculation Date, such rate as shall be determined from time to time pursuant to the Pricing Grid.</w:t>
      </w:r>
    </w:p>
    <w:p>
      <w:pPr>
        <w:spacing w:after="0" w:line="43" w:lineRule="exact"/>
        <w:rPr>
          <w:sz w:val="20"/>
          <w:szCs w:val="20"/>
          <w:color w:val="auto"/>
        </w:rPr>
      </w:pPr>
    </w:p>
    <w:p>
      <w:pPr>
        <w:ind w:right="340" w:firstLine="438"/>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Credit Commitment</w:t>
      </w:r>
      <w:r>
        <w:rPr>
          <w:rFonts w:ascii="Arial" w:cs="Arial" w:eastAsia="Arial" w:hAnsi="Arial"/>
          <w:sz w:val="15"/>
          <w:szCs w:val="15"/>
          <w:color w:val="auto"/>
        </w:rPr>
        <w:t>”: as to any Lender, the obligation of such Lender, if any, to make Revolving Credit Loans and/or participate in Swing Line Loans and Letters of Credit, in an aggregate principal and/or face amount not to exceed the amount set forth under the heading “Revolving Credit Commitment” opposite such Lender’s name on Annex B hereto or, as the case may be, in the Assignment and Acceptance or Joinder Agreement pursuant to which such Lender became a party hereto, as the same may be changed from time to time pursuant to the terms hereof.</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Period</w:t>
      </w:r>
      <w:r>
        <w:rPr>
          <w:rFonts w:ascii="Arial" w:cs="Arial" w:eastAsia="Arial" w:hAnsi="Arial"/>
          <w:sz w:val="18"/>
          <w:szCs w:val="18"/>
          <w:color w:val="auto"/>
        </w:rPr>
        <w:t>”: the period from and including the Closing Date to the Revolving Credit Termination Date.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the Revolving Credit Commitments and the extensions of credit made thereunder.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each Lender that has a Revolving Credit Commitment or that is the holder of Revolving Credit Loans.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106" w:name="page107"/>
    <w:bookmarkEnd w:id="106"/>
    <w:p>
      <w:pPr>
        <w:ind w:right="300" w:firstLine="438"/>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Revolving Credit Loans</w:t>
      </w:r>
      <w:r>
        <w:rPr>
          <w:rFonts w:ascii="Arial" w:cs="Arial" w:eastAsia="Arial" w:hAnsi="Arial"/>
          <w:sz w:val="16"/>
          <w:szCs w:val="16"/>
          <w:color w:val="auto"/>
        </w:rPr>
        <w:t>”: as defined in Section 2.3. Upon the Borrower’s election to increase the Revolving Credit Commitments in accordance with Section 2.26, “Revolving Credit Loans” shall include the revolving credit loans made under the New Revolving Credit Commitments.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Notes</w:t>
      </w:r>
      <w:r>
        <w:rPr>
          <w:rFonts w:ascii="Arial" w:cs="Arial" w:eastAsia="Arial" w:hAnsi="Arial"/>
          <w:sz w:val="18"/>
          <w:szCs w:val="18"/>
          <w:color w:val="auto"/>
        </w:rPr>
        <w:t>”: as defined in Section 2.8(e).</w:t>
      </w:r>
    </w:p>
    <w:p>
      <w:pPr>
        <w:spacing w:after="0" w:line="77"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Percentage</w:t>
      </w:r>
      <w:r>
        <w:rPr>
          <w:rFonts w:ascii="Arial" w:cs="Arial" w:eastAsia="Arial" w:hAnsi="Arial"/>
          <w:sz w:val="16"/>
          <w:szCs w:val="16"/>
          <w:color w:val="auto"/>
        </w:rPr>
        <w:t>”: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and/or face amount of such Lender’s Revolving Extensions of Credit then outstanding constitutes of the aggregate principal and/or face amount of the Total Revolving Extensions of Credit then outstanding).</w:t>
      </w:r>
    </w:p>
    <w:p>
      <w:pPr>
        <w:spacing w:after="0" w:line="18"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Termination Date</w:t>
      </w:r>
      <w:r>
        <w:rPr>
          <w:rFonts w:ascii="Arial" w:cs="Arial" w:eastAsia="Arial" w:hAnsi="Arial"/>
          <w:sz w:val="18"/>
          <w:szCs w:val="18"/>
          <w:color w:val="auto"/>
        </w:rPr>
        <w:t>”: the earlier of (a) the Scheduled Revolving Credit Termination Date and (b) the date on which the Loans become due and payable pursuant to Section 8.</w:t>
      </w:r>
    </w:p>
    <w:p>
      <w:pPr>
        <w:spacing w:after="0" w:line="37"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Extensions of Credit</w:t>
      </w:r>
      <w:r>
        <w:rPr>
          <w:rFonts w:ascii="Arial" w:cs="Arial" w:eastAsia="Arial" w:hAnsi="Arial"/>
          <w:sz w:val="16"/>
          <w:szCs w:val="16"/>
          <w:color w:val="auto"/>
        </w:rPr>
        <w:t>”: as to any Revolving Credit Lender at any time, an amount equal to the sum of (a) the aggregate principal amount of all Revolving Credit Loans made by such Lender then outstanding, (b) such Lender’s Revolving Credit Percentage of the L/C Obligations then outstanding and (c) such Lender’s Revolving Credit Percentage of the aggregate principal amount of Swing Line Loans then outstanding.</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Group, a New York corporation, or any successor thereof.</w:t>
      </w:r>
    </w:p>
    <w:p>
      <w:pPr>
        <w:spacing w:after="0" w:line="77"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New Term Loan Termination Date</w:t>
      </w:r>
      <w:r>
        <w:rPr>
          <w:rFonts w:ascii="Arial" w:cs="Arial" w:eastAsia="Arial" w:hAnsi="Arial"/>
          <w:sz w:val="18"/>
          <w:szCs w:val="18"/>
          <w:color w:val="auto"/>
        </w:rPr>
        <w:t>”: the date that the New Term Loans of a Series shall become due and payable in full hereunder, as specified in the applicable Joinder Agreement, including by acceleration or otherwise.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Revolving Credit Termination Date</w:t>
      </w:r>
      <w:r>
        <w:rPr>
          <w:rFonts w:ascii="Arial" w:cs="Arial" w:eastAsia="Arial" w:hAnsi="Arial"/>
          <w:sz w:val="18"/>
          <w:szCs w:val="18"/>
          <w:color w:val="auto"/>
        </w:rPr>
        <w:t>”: the fifth anniversary of the Amended and Restated Effective Date.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 B Loan Termination Date</w:t>
      </w:r>
      <w:r>
        <w:rPr>
          <w:rFonts w:ascii="Arial" w:cs="Arial" w:eastAsia="Arial" w:hAnsi="Arial"/>
          <w:sz w:val="18"/>
          <w:szCs w:val="18"/>
          <w:color w:val="auto"/>
        </w:rPr>
        <w:t>”: the seventh anniversary of the Amended and Restated Effective Date.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successors thereto or an analogous Governmental Authority).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Secured Obligations</w:t>
      </w:r>
      <w:r>
        <w:rPr>
          <w:rFonts w:ascii="Arial" w:cs="Arial" w:eastAsia="Arial" w:hAnsi="Arial"/>
          <w:sz w:val="18"/>
          <w:szCs w:val="18"/>
          <w:color w:val="auto"/>
        </w:rPr>
        <w:t>”: as defined in the Intercreditor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Security Document</w:t>
      </w:r>
      <w:r>
        <w:rPr>
          <w:rFonts w:ascii="Arial" w:cs="Arial" w:eastAsia="Arial" w:hAnsi="Arial"/>
          <w:sz w:val="18"/>
          <w:szCs w:val="18"/>
          <w:color w:val="auto"/>
        </w:rPr>
        <w:t>”: as defined in the Intercreditor Agreement.</w:t>
      </w:r>
    </w:p>
    <w:p>
      <w:pPr>
        <w:spacing w:after="0" w:line="77"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collectively, the Arrangers, the Agents, the Managers, the Managing Agents, the Lenders and, with respect to any Specified Hedge Agreement, any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80" w:right="239" w:bottom="1440" w:gutter="0" w:footer="0" w:header="0"/>
        </w:sectPr>
      </w:pPr>
    </w:p>
    <w:bookmarkStart w:id="107" w:name="page108"/>
    <w:bookmarkEnd w:id="10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 of any Lender party thereto (or any Person that was a Lender or an affiliate thereof when such Specified Hedge Agreement was entered into) that has agreed to be bound by the provisions of Section 6.2 of the Security Agreement as if it were a party thereto, and by the provisions of Section 9 hereof as if it were a Lender party hereto.</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Pledge and Security Agreement dated as of the Closing Date, among each Loan Party, Wynn Resorts Holdings and the Collateral Agent.</w:t>
      </w:r>
    </w:p>
    <w:p>
      <w:pPr>
        <w:spacing w:after="0" w:line="37"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the collective reference to the Guarantee, the Security Agreement, the Reaffirmation Agreement, the Intellectual Property Security Agreements, the Control Agreements, the Mortgages, the Consents, the Collateral Agency Agreement and all other pledge and security documents hereafter delivered to the Collateral Agent or the Administrative Agent granting a Lien on any Property (or associated with such a grant) of any Person to secure the obligations and liabilities of any Loan Party, Wynn Resorts Holdings or the Completion Guarantor under any Loan Document.</w:t>
      </w:r>
    </w:p>
    <w:p>
      <w:pPr>
        <w:spacing w:after="0" w:line="18"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Permitted Liens</w:t>
      </w:r>
      <w:r>
        <w:rPr>
          <w:rFonts w:ascii="Arial" w:cs="Arial" w:eastAsia="Arial" w:hAnsi="Arial"/>
          <w:sz w:val="18"/>
          <w:szCs w:val="18"/>
          <w:color w:val="auto"/>
        </w:rPr>
        <w:t>”: Permitted Liens that are expressly permitted by the terms of the Loan Documents to be superior in priority to the Liens of the Security Documents.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as defined in Section 2.26(a).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Show Performers</w:t>
      </w:r>
      <w:r>
        <w:rPr>
          <w:rFonts w:ascii="Arial" w:cs="Arial" w:eastAsia="Arial" w:hAnsi="Arial"/>
          <w:sz w:val="18"/>
          <w:szCs w:val="18"/>
          <w:color w:val="auto"/>
        </w:rPr>
        <w:t>”: Wynn Show Performers, LLC, a Nevada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that is covered by Title IV of ERISA, but which is not a Multiemployer Plan.</w:t>
      </w:r>
    </w:p>
    <w:p>
      <w:pPr>
        <w:spacing w:after="0" w:line="77" w:lineRule="exact"/>
        <w:rPr>
          <w:sz w:val="20"/>
          <w:szCs w:val="20"/>
          <w:color w:val="auto"/>
        </w:rPr>
      </w:pPr>
    </w:p>
    <w:p>
      <w:pPr>
        <w:ind w:right="6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w:t>
      </w:r>
      <w:r>
        <w:rPr>
          <w:rFonts w:ascii="Arial" w:cs="Arial" w:eastAsia="Arial" w:hAnsi="Arial"/>
          <w:sz w:val="16"/>
          <w:szCs w:val="16"/>
          <w:color w:val="auto"/>
        </w:rPr>
        <w:t>”: all or any portion of the Real Estate. The Site includes, without limitation, the Wynn Home Site Land (until such time (if ever) as such Property has been Disposed of in accordance with Section 7.5(j)), the Golf Course Land (until such time (if ever) as such Property has been Disposed of in accordance with Section 7.5(k) or released pursuant to Section 10.22 or distributed pursuant to Section 7.6), the Home Site Land (until such time (if ever) as such Property has been Disposed of in accordance with Section 7.5(l)) and any other Property which is subject to a Lien under any Mortgage (in each such case, until such Property is Disposed of and released from the Lien of the Security Documents in accordance with this Agreement.)</w:t>
      </w:r>
    </w:p>
    <w:p>
      <w:pPr>
        <w:spacing w:after="0" w:line="21" w:lineRule="exact"/>
        <w:rPr>
          <w:sz w:val="20"/>
          <w:szCs w:val="20"/>
          <w:color w:val="auto"/>
        </w:rPr>
      </w:pPr>
    </w:p>
    <w:p>
      <w:pPr>
        <w:ind w:right="8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 Easements</w:t>
      </w:r>
      <w:r>
        <w:rPr>
          <w:rFonts w:ascii="Arial" w:cs="Arial" w:eastAsia="Arial" w:hAnsi="Arial"/>
          <w:sz w:val="16"/>
          <w:szCs w:val="16"/>
          <w:color w:val="auto"/>
        </w:rPr>
        <w:t>”: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when used with respect to any Person, as of any date of determination, (a) the amount of the “present fair saleable value” of the assets of such Person will, as of such date, exceed the amount of all “liabilities of such Person, contingent or otherwise”,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700" w:top="280" w:right="259" w:bottom="1440" w:gutter="0" w:footer="0" w:header="0"/>
        </w:sectPr>
      </w:pPr>
    </w:p>
    <w:bookmarkStart w:id="108" w:name="page109"/>
    <w:bookmarkEnd w:id="108"/>
    <w:p>
      <w:pPr>
        <w:ind w:right="2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w:t>
      </w:r>
    </w:p>
    <w:p>
      <w:pPr>
        <w:spacing w:after="0" w:line="3" w:lineRule="exact"/>
        <w:rPr>
          <w:sz w:val="20"/>
          <w:szCs w:val="20"/>
          <w:color w:val="auto"/>
        </w:rPr>
      </w:pPr>
    </w:p>
    <w:p>
      <w:pPr>
        <w:ind w:right="240" w:firstLine="4"/>
        <w:spacing w:after="0" w:line="295"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21"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Hedge Agreement</w:t>
      </w:r>
      <w:r>
        <w:rPr>
          <w:rFonts w:ascii="Arial" w:cs="Arial" w:eastAsia="Arial" w:hAnsi="Arial"/>
          <w:sz w:val="18"/>
          <w:szCs w:val="18"/>
          <w:color w:val="auto"/>
        </w:rPr>
        <w:t xml:space="preserve">”: any Hedge Agreement (a) entered into by (i) 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w:t>
      </w:r>
    </w:p>
    <w:p>
      <w:pPr>
        <w:spacing w:after="0" w:line="5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that certain Stockholders Agreement, dated as of April 11, 2002, by and among Mr. Wynn, Baron Asset Fund and Aruze USA, as in effect on the Closing Date.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Stop Funding Notice</w:t>
      </w:r>
      <w:r>
        <w:rPr>
          <w:rFonts w:ascii="Arial" w:cs="Arial" w:eastAsia="Arial" w:hAnsi="Arial"/>
          <w:sz w:val="18"/>
          <w:szCs w:val="18"/>
          <w:color w:val="auto"/>
        </w:rPr>
        <w:t>”: as defined in the Disbursement Agreement.</w:t>
      </w:r>
    </w:p>
    <w:p>
      <w:pPr>
        <w:spacing w:after="0" w:line="77"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Indebtedness of any Loan Party that (a) does not have any scheduled principal payment, mandatory principal prepayment, sinking fund payment or similar payment due prior to the Scheduled Term B Loan Termination Date, (b) is not secured by any Lien on any Property, (c) is subordinated on terms and conditions reasonably satisfactory to the Majority Initial Lending Institutions and (d) is subject to such covenants and events of default as may be reasonably acceptable to the Majority Initial Lending Institutions.</w:t>
      </w:r>
    </w:p>
    <w:p>
      <w:pPr>
        <w:spacing w:after="0" w:line="18"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Intercompany Note</w:t>
      </w:r>
      <w:r>
        <w:rPr>
          <w:rFonts w:ascii="Arial" w:cs="Arial" w:eastAsia="Arial" w:hAnsi="Arial"/>
          <w:sz w:val="18"/>
          <w:szCs w:val="18"/>
          <w:color w:val="auto"/>
        </w:rPr>
        <w:t>”: the Subordinated Intercompany Note dated as of the Closing Date among the Borrower, each of the other Loan Parties and the Administrative Agent.</w:t>
      </w:r>
    </w:p>
    <w:p>
      <w:pPr>
        <w:spacing w:after="0" w:line="37"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corporation, partnership, limited liability company or other entity of which shares of stock or other ownership interests having ordinary voting power (other than stock or such other ownership interests having such</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80"/>
          </w:cols>
          <w:pgMar w:left="700" w:top="280" w:right="319" w:bottom="1440" w:gutter="0" w:footer="0" w:header="0"/>
        </w:sectPr>
      </w:pPr>
    </w:p>
    <w:bookmarkStart w:id="109" w:name="page110"/>
    <w:bookmarkEnd w:id="10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Lender</w:t>
      </w:r>
      <w:r>
        <w:rPr>
          <w:rFonts w:ascii="Arial" w:cs="Arial" w:eastAsia="Arial" w:hAnsi="Arial"/>
          <w:sz w:val="18"/>
          <w:szCs w:val="18"/>
          <w:color w:val="auto"/>
        </w:rPr>
        <w:t>”: as defined in Section 10.13(a).</w:t>
      </w:r>
    </w:p>
    <w:p>
      <w:pPr>
        <w:spacing w:after="0" w:line="7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the obligation of the Swing Line Lender to make Swing Line Loans pursuant to Section 2.6 in an aggregate principal amount at any one time outstanding not to exceed $25,000,000.</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Credit Commitment Period</w:t>
      </w:r>
      <w:r>
        <w:rPr>
          <w:rFonts w:ascii="Arial" w:cs="Arial" w:eastAsia="Arial" w:hAnsi="Arial"/>
          <w:sz w:val="16"/>
          <w:szCs w:val="16"/>
          <w:color w:val="auto"/>
        </w:rPr>
        <w:t>”: the period from and including the Phase I Opening Date to the Revolving Credit Termination Date.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Deutsche Bank Trust Company Americas, in its capacity as the lender of Swing Line Loans.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Loans</w:t>
      </w:r>
      <w:r>
        <w:rPr>
          <w:rFonts w:ascii="Arial" w:cs="Arial" w:eastAsia="Arial" w:hAnsi="Arial"/>
          <w:sz w:val="18"/>
          <w:szCs w:val="18"/>
          <w:color w:val="auto"/>
        </w:rPr>
        <w:t>”: as defined in Section 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Notes</w:t>
      </w:r>
      <w:r>
        <w:rPr>
          <w:rFonts w:ascii="Arial" w:cs="Arial" w:eastAsia="Arial" w:hAnsi="Arial"/>
          <w:sz w:val="18"/>
          <w:szCs w:val="18"/>
          <w:color w:val="auto"/>
        </w:rPr>
        <w:t>”: as defined in Section 2.8(e).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Participation Amount</w:t>
      </w:r>
      <w:r>
        <w:rPr>
          <w:rFonts w:ascii="Arial" w:cs="Arial" w:eastAsia="Arial" w:hAnsi="Arial"/>
          <w:sz w:val="18"/>
          <w:szCs w:val="18"/>
          <w:color w:val="auto"/>
        </w:rPr>
        <w:t>”: as defined in Section 2.7(c).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in its capacity as syndication agent.</w:t>
      </w:r>
    </w:p>
    <w:p>
      <w:pPr>
        <w:spacing w:after="0" w:line="7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Obligations</w:t>
      </w:r>
      <w:r>
        <w:rPr>
          <w:rFonts w:ascii="Arial" w:cs="Arial" w:eastAsia="Arial" w:hAnsi="Arial"/>
          <w:sz w:val="16"/>
          <w:szCs w:val="16"/>
          <w:color w:val="auto"/>
        </w:rPr>
        <w:t>”: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 The amount of Synthetic Lease Obligations in respect of any synthetic lease at any date of determination thereof shall be equal to the aggregate purchase price of any property subject to such lease less the aggregate amount of payments of rent theretofore made which reduce the lessee’s obligations under such synthetic lease and which are not the financial equivalent of interest.</w:t>
      </w:r>
    </w:p>
    <w:p>
      <w:pPr>
        <w:spacing w:after="0" w:line="26" w:lineRule="exact"/>
        <w:rPr>
          <w:sz w:val="20"/>
          <w:szCs w:val="20"/>
          <w:color w:val="auto"/>
        </w:rPr>
      </w:pPr>
    </w:p>
    <w:p>
      <w:pPr>
        <w:jc w:val="both"/>
        <w:ind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Taking</w:t>
      </w:r>
      <w:r>
        <w:rPr>
          <w:rFonts w:ascii="Arial" w:cs="Arial" w:eastAsia="Arial" w:hAnsi="Arial"/>
          <w:sz w:val="16"/>
          <w:szCs w:val="16"/>
          <w:color w:val="auto"/>
        </w:rPr>
        <w:t>”: a taking or voluntary conveyance during the term of this Agreement of all or part of any Mortgaged Property, or any 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12" w:lineRule="exact"/>
        <w:rPr>
          <w:sz w:val="20"/>
          <w:szCs w:val="20"/>
          <w:color w:val="auto"/>
        </w:rPr>
      </w:pPr>
    </w:p>
    <w:p>
      <w:pPr>
        <w:ind w:right="6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Amount</w:t>
      </w:r>
      <w:r>
        <w:rPr>
          <w:rFonts w:ascii="Arial" w:cs="Arial" w:eastAsia="Arial" w:hAnsi="Arial"/>
          <w:sz w:val="16"/>
          <w:szCs w:val="16"/>
          <w:color w:val="auto"/>
        </w:rPr>
        <w:t>”: with respect to any period, (a) in the case of any direct or indirect member of a Loan Party that is a Pass Through Entity, the Presumed Tax Liability of such direct or indirect member and (b) with respect to any of the Loan Parties that are</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700" w:top="280" w:right="299" w:bottom="1440" w:gutter="0" w:footer="0" w:header="0"/>
        </w:sectPr>
      </w:pPr>
    </w:p>
    <w:bookmarkStart w:id="110" w:name="page111"/>
    <w:bookmarkEnd w:id="11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Members, the aggregate federal income tax liability such Loan Parties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48"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Income</w:t>
      </w:r>
      <w:r>
        <w:rPr>
          <w:rFonts w:ascii="Arial" w:cs="Arial" w:eastAsia="Arial" w:hAnsi="Arial"/>
          <w:sz w:val="18"/>
          <w:szCs w:val="18"/>
          <w:color w:val="auto"/>
        </w:rPr>
        <w:t xml:space="preserve">”: with respect to any Person for any period, the taxable income or loss of such Person for such period for federal income tax purposes as a result of such Person’s equity ownership of one or more Loan Parties that are Pass Through Entities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all items of income, gain, loss or deduction required to be stated separately pursuant to Section 703(a)(1) of the Code shall be included in taxable income or loss.</w:t>
      </w:r>
    </w:p>
    <w:p>
      <w:pPr>
        <w:spacing w:after="0" w:line="49"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Commitment</w:t>
      </w:r>
      <w:r>
        <w:rPr>
          <w:rFonts w:ascii="Arial" w:cs="Arial" w:eastAsia="Arial" w:hAnsi="Arial"/>
          <w:sz w:val="18"/>
          <w:szCs w:val="18"/>
          <w:color w:val="auto"/>
        </w:rPr>
        <w:t>”: as to any Term B Loan Lender, the obligation of such Lender, if any, to make a Term B Loan to the Borrower hereunder in a principal amount not to exceed the amount set forth under the heading “Term B Loan Commitment” opposite such Lender’s name on Annex B hereto or, as the case may be, in the Assignment and Acceptance pursuant to which such Lender became a party hereto, as the same may be changed from time to time pursuant to the terms hereof.</w:t>
      </w:r>
    </w:p>
    <w:p>
      <w:pPr>
        <w:spacing w:after="0" w:line="4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Extensions of Credit</w:t>
      </w:r>
      <w:r>
        <w:rPr>
          <w:rFonts w:ascii="Arial" w:cs="Arial" w:eastAsia="Arial" w:hAnsi="Arial"/>
          <w:sz w:val="18"/>
          <w:szCs w:val="18"/>
          <w:color w:val="auto"/>
        </w:rPr>
        <w:t>”: as to any Term B Loan Lender at any time, the aggregate principal amount of all Term B Loans made by such Lender then outstanding.</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Facility</w:t>
      </w:r>
      <w:r>
        <w:rPr>
          <w:rFonts w:ascii="Arial" w:cs="Arial" w:eastAsia="Arial" w:hAnsi="Arial"/>
          <w:sz w:val="18"/>
          <w:szCs w:val="18"/>
          <w:color w:val="auto"/>
        </w:rPr>
        <w:t>”: the Term B Loan Commitments and the Term B Loans made thereunder.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Lender</w:t>
      </w:r>
      <w:r>
        <w:rPr>
          <w:rFonts w:ascii="Arial" w:cs="Arial" w:eastAsia="Arial" w:hAnsi="Arial"/>
          <w:sz w:val="18"/>
          <w:szCs w:val="18"/>
          <w:color w:val="auto"/>
        </w:rPr>
        <w:t>”: each Lender that has a Term B Loan Commitment or is the holder of a Term B Loan.</w:t>
      </w:r>
    </w:p>
    <w:p>
      <w:pPr>
        <w:spacing w:after="0" w:line="77" w:lineRule="exact"/>
        <w:rPr>
          <w:sz w:val="20"/>
          <w:szCs w:val="20"/>
          <w:color w:val="auto"/>
        </w:rPr>
      </w:pPr>
    </w:p>
    <w:p>
      <w:pPr>
        <w:ind w:right="3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Percentage</w:t>
      </w:r>
      <w:r>
        <w:rPr>
          <w:rFonts w:ascii="Arial" w:cs="Arial" w:eastAsia="Arial" w:hAnsi="Arial"/>
          <w:sz w:val="18"/>
          <w:szCs w:val="18"/>
          <w:color w:val="auto"/>
        </w:rPr>
        <w:t>”: as to any Term B Loan Lender at any time, the percentage which such Lender’s Term B Loan Commitment then constitutes of the aggregate Term B Loan Commitments (or, at any time after the Term B Loan Commitments shall have expired or terminated, the percentage which the aggregate principal amount of such Lender’s Term B Loans then outstanding constitutes of the aggregate principal amount of all Term B Loans then outstanding).</w:t>
      </w:r>
    </w:p>
    <w:p>
      <w:pPr>
        <w:spacing w:after="0" w:line="49"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 Termination Date</w:t>
      </w:r>
      <w:r>
        <w:rPr>
          <w:rFonts w:ascii="Arial" w:cs="Arial" w:eastAsia="Arial" w:hAnsi="Arial"/>
          <w:sz w:val="18"/>
          <w:szCs w:val="18"/>
          <w:color w:val="auto"/>
        </w:rPr>
        <w:t>”: the earlier of (a) the Scheduled Term B Loan Termination Date and (b) the date on which the Loans become due and payable pursuant to Section 8.</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Loans</w:t>
      </w:r>
      <w:r>
        <w:rPr>
          <w:rFonts w:ascii="Arial" w:cs="Arial" w:eastAsia="Arial" w:hAnsi="Arial"/>
          <w:sz w:val="18"/>
          <w:szCs w:val="18"/>
          <w:color w:val="auto"/>
        </w:rPr>
        <w:t>”: as defined in Section 2.1.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Notes</w:t>
      </w:r>
      <w:r>
        <w:rPr>
          <w:rFonts w:ascii="Arial" w:cs="Arial" w:eastAsia="Arial" w:hAnsi="Arial"/>
          <w:sz w:val="18"/>
          <w:szCs w:val="18"/>
          <w:color w:val="auto"/>
        </w:rPr>
        <w:t>”: as defined in Section 2.8(e).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80" w:right="259" w:bottom="1440" w:gutter="0" w:footer="0" w:header="0"/>
        </w:sectPr>
      </w:pPr>
    </w:p>
    <w:bookmarkStart w:id="111" w:name="page112"/>
    <w:bookmarkEnd w:id="111"/>
    <w:p>
      <w:pPr>
        <w:ind w:right="1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the Term B Loan Commitment or the New Term Loan Commitment of a Lender, and “</w:t>
      </w:r>
      <w:r>
        <w:rPr>
          <w:rFonts w:ascii="Arial" w:cs="Arial" w:eastAsia="Arial" w:hAnsi="Arial"/>
          <w:sz w:val="18"/>
          <w:szCs w:val="18"/>
          <w:u w:val="single" w:color="auto"/>
          <w:color w:val="auto"/>
        </w:rPr>
        <w:t>Term Loan Commitments</w:t>
      </w:r>
      <w:r>
        <w:rPr>
          <w:rFonts w:ascii="Arial" w:cs="Arial" w:eastAsia="Arial" w:hAnsi="Arial"/>
          <w:sz w:val="18"/>
          <w:szCs w:val="18"/>
          <w:color w:val="auto"/>
        </w:rPr>
        <w:t>” shall mean such commitments of all Lenders.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Lenders</w:t>
      </w:r>
      <w:r>
        <w:rPr>
          <w:rFonts w:ascii="Arial" w:cs="Arial" w:eastAsia="Arial" w:hAnsi="Arial"/>
          <w:sz w:val="18"/>
          <w:szCs w:val="18"/>
          <w:color w:val="auto"/>
        </w:rPr>
        <w:t>”: a Term B Loan Lender or a New Term Loan Lender.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Termination Date</w:t>
      </w:r>
      <w:r>
        <w:rPr>
          <w:rFonts w:ascii="Arial" w:cs="Arial" w:eastAsia="Arial" w:hAnsi="Arial"/>
          <w:sz w:val="18"/>
          <w:szCs w:val="18"/>
          <w:color w:val="auto"/>
        </w:rPr>
        <w:t>”: the Term B Loan Termination Date or New Term Loan Termination Date.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a Term B Loan or a New Term Loan.</w:t>
      </w:r>
    </w:p>
    <w:p>
      <w:pPr>
        <w:spacing w:after="0" w:line="77"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Insurance Company</w:t>
      </w:r>
      <w:r>
        <w:rPr>
          <w:rFonts w:ascii="Arial" w:cs="Arial" w:eastAsia="Arial" w:hAnsi="Arial"/>
          <w:sz w:val="18"/>
          <w:szCs w:val="18"/>
          <w:color w:val="auto"/>
        </w:rPr>
        <w:t>”: collectively, Commonwealth Land Title Company and such other title insurance companies that have issued Title Policies to the Collateral Agent on behalf of the Lenders in connection with or related to any Mortgage.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Policies</w:t>
      </w:r>
      <w:r>
        <w:rPr>
          <w:rFonts w:ascii="Arial" w:cs="Arial" w:eastAsia="Arial" w:hAnsi="Arial"/>
          <w:sz w:val="18"/>
          <w:szCs w:val="18"/>
          <w:color w:val="auto"/>
        </w:rPr>
        <w:t>”: collectively, the policies of title insurance issued by the Title Insurance Company with respect to the Mortgages.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Extensions of Credit</w:t>
      </w:r>
      <w:r>
        <w:rPr>
          <w:rFonts w:ascii="Arial" w:cs="Arial" w:eastAsia="Arial" w:hAnsi="Arial"/>
          <w:sz w:val="16"/>
          <w:szCs w:val="16"/>
          <w:color w:val="auto"/>
        </w:rPr>
        <w:t>”: at any time, the sum of (a) the Total Revolving Extensions of Credit and (b) the Total Term Loan Extensions of Credit.</w:t>
      </w:r>
    </w:p>
    <w:p>
      <w:pPr>
        <w:spacing w:after="0" w:line="10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Revolving Credit Commitments</w:t>
      </w:r>
      <w:r>
        <w:rPr>
          <w:rFonts w:ascii="Arial" w:cs="Arial" w:eastAsia="Arial" w:hAnsi="Arial"/>
          <w:sz w:val="18"/>
          <w:szCs w:val="18"/>
          <w:color w:val="auto"/>
        </w:rPr>
        <w:t>”: at any time, the aggregate amount of the Revolving Credit Commitments then in effect and held by the Initial Lending Institutions or their Affiliates.</w:t>
      </w:r>
    </w:p>
    <w:p>
      <w:pPr>
        <w:spacing w:after="0" w:line="3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Revolving Extensions of Credit</w:t>
      </w:r>
      <w:r>
        <w:rPr>
          <w:rFonts w:ascii="Arial" w:cs="Arial" w:eastAsia="Arial" w:hAnsi="Arial"/>
          <w:sz w:val="18"/>
          <w:szCs w:val="18"/>
          <w:color w:val="auto"/>
        </w:rPr>
        <w:t>”: at any time, the aggregate amount of the Revolving Extensions of Credit of the Revolving Credit Lenders outstanding at such time and held by the Initial Lending Institutions or their Affiliates.</w:t>
      </w:r>
    </w:p>
    <w:p>
      <w:pPr>
        <w:spacing w:after="0" w:line="37"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Term B Loan Commitments</w:t>
      </w:r>
      <w:r>
        <w:rPr>
          <w:rFonts w:ascii="Arial" w:cs="Arial" w:eastAsia="Arial" w:hAnsi="Arial"/>
          <w:sz w:val="18"/>
          <w:szCs w:val="18"/>
          <w:color w:val="auto"/>
        </w:rPr>
        <w:t>”: at any time, the aggregate amount of the Term B Loan Commitments then in effect and held by the Initial Lending Institutions or their Affiliates.</w:t>
      </w:r>
    </w:p>
    <w:p>
      <w:pPr>
        <w:spacing w:after="0" w:line="37"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Initial Lending Institution Term B Loan Extensions of Credit</w:t>
      </w:r>
      <w:r>
        <w:rPr>
          <w:rFonts w:ascii="Arial" w:cs="Arial" w:eastAsia="Arial" w:hAnsi="Arial"/>
          <w:sz w:val="18"/>
          <w:szCs w:val="18"/>
          <w:color w:val="auto"/>
        </w:rPr>
        <w:t>”: at any time, the aggregate amount of the Term B Loan Extensions of Credit of the Term B Loan Lenders outstanding at such time and held by the Initial Lending Institutions or their Affiliates.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New Term Loan Commitments</w:t>
      </w:r>
      <w:r>
        <w:rPr>
          <w:rFonts w:ascii="Arial" w:cs="Arial" w:eastAsia="Arial" w:hAnsi="Arial"/>
          <w:sz w:val="18"/>
          <w:szCs w:val="18"/>
          <w:color w:val="auto"/>
        </w:rPr>
        <w:t>”: at any time, the aggregate amount of the New Term Loan Commitments then in effect.</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New Term Loan Extensions of Credit</w:t>
      </w:r>
      <w:r>
        <w:rPr>
          <w:rFonts w:ascii="Arial" w:cs="Arial" w:eastAsia="Arial" w:hAnsi="Arial"/>
          <w:sz w:val="18"/>
          <w:szCs w:val="18"/>
          <w:color w:val="auto"/>
        </w:rPr>
        <w:t>”: at any time, the aggregate amount of the New Term Loan Extensions of Credit of the New Term Loan Lenders outstanding at such time.</w:t>
      </w:r>
    </w:p>
    <w:p>
      <w:pPr>
        <w:spacing w:after="0" w:line="37"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Commitments</w:t>
      </w:r>
      <w:r>
        <w:rPr>
          <w:rFonts w:ascii="Arial" w:cs="Arial" w:eastAsia="Arial" w:hAnsi="Arial"/>
          <w:sz w:val="16"/>
          <w:szCs w:val="16"/>
          <w:color w:val="auto"/>
        </w:rPr>
        <w:t xml:space="preserve">”: at any time, the aggregate amount of the Revolving Credit Commitments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 of the Total Revolving Credit Commitments on the Amended and Restated Effective Date shall be $900,000,000.</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80"/>
          </w:cols>
          <w:pgMar w:left="700" w:top="280" w:right="319" w:bottom="1440" w:gutter="0" w:footer="0" w:header="0"/>
        </w:sectPr>
      </w:pPr>
    </w:p>
    <w:bookmarkStart w:id="112" w:name="page113"/>
    <w:bookmarkEnd w:id="112"/>
    <w:p>
      <w:pPr>
        <w:ind w:right="2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Total Revolving Extensions of Credit</w:t>
      </w:r>
      <w:r>
        <w:rPr>
          <w:rFonts w:ascii="Arial" w:cs="Arial" w:eastAsia="Arial" w:hAnsi="Arial"/>
          <w:sz w:val="18"/>
          <w:szCs w:val="18"/>
          <w:color w:val="auto"/>
        </w:rPr>
        <w:t>”: at any time, the aggregate amount of the Revolving Extensions of Credit of the Revolving Credit Lenders outstanding at such time.</w:t>
      </w:r>
    </w:p>
    <w:p>
      <w:pPr>
        <w:spacing w:after="0" w:line="37"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B Loan Commitments</w:t>
      </w:r>
      <w:r>
        <w:rPr>
          <w:rFonts w:ascii="Arial" w:cs="Arial" w:eastAsia="Arial" w:hAnsi="Arial"/>
          <w:sz w:val="18"/>
          <w:szCs w:val="18"/>
          <w:color w:val="auto"/>
        </w:rPr>
        <w:t xml:space="preserve">”: at any time, the aggregate amount of the Term B Loan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the Total B Term Loan Commitments on the Amended and Restated Effective Date shall be $225,000,000.</w:t>
      </w:r>
    </w:p>
    <w:p>
      <w:pPr>
        <w:spacing w:after="0" w:line="37"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B Loan Extensions of Credit</w:t>
      </w:r>
      <w:r>
        <w:rPr>
          <w:rFonts w:ascii="Arial" w:cs="Arial" w:eastAsia="Arial" w:hAnsi="Arial"/>
          <w:sz w:val="18"/>
          <w:szCs w:val="18"/>
          <w:color w:val="auto"/>
        </w:rPr>
        <w:t>”: at any time, the aggregate amount of the Term B Loan Extensions of Credit of the Term B Loan Lenders outstanding at such time.</w:t>
      </w:r>
    </w:p>
    <w:p>
      <w:pPr>
        <w:spacing w:after="0" w:line="37"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Extensions of Credit</w:t>
      </w:r>
      <w:r>
        <w:rPr>
          <w:rFonts w:ascii="Arial" w:cs="Arial" w:eastAsia="Arial" w:hAnsi="Arial"/>
          <w:sz w:val="18"/>
          <w:szCs w:val="18"/>
          <w:color w:val="auto"/>
        </w:rPr>
        <w:t>”: at any time, the aggregate amount of the Term B Loan Extensions of Credit and the New Term Loan Extensions of Credit of outstanding at such time.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as defined in Section 10.15.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Base Rate Loan or a Eurodollar Loan.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the Uniform Commercial Code (or any similar or equivalent legislation), as in effect from time to time in any applicable jurisdiction.</w:t>
      </w:r>
    </w:p>
    <w:p>
      <w:pPr>
        <w:spacing w:after="0" w:line="100"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with respect to any Person as of any date, the Capital Stock of such Person that is at the time entitled to vote in the election of the Board of Directors of such Person.</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when applied to any Indebtedness at any date, the number of years obtained by dividing:</w:t>
      </w:r>
    </w:p>
    <w:p>
      <w:pPr>
        <w:spacing w:after="0" w:line="77" w:lineRule="exact"/>
        <w:rPr>
          <w:sz w:val="20"/>
          <w:szCs w:val="20"/>
          <w:color w:val="auto"/>
        </w:rPr>
      </w:pPr>
    </w:p>
    <w:p>
      <w:pPr>
        <w:jc w:val="both"/>
        <w:ind w:left="460" w:right="200" w:firstLine="421"/>
        <w:spacing w:after="0" w:line="259" w:lineRule="auto"/>
        <w:tabs>
          <w:tab w:leader="none" w:pos="11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 twelfth) that will elapse between such date and the making of such payment; by</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Period</w:t>
      </w:r>
      <w:r>
        <w:rPr>
          <w:rFonts w:ascii="Arial" w:cs="Arial" w:eastAsia="Arial" w:hAnsi="Arial"/>
          <w:sz w:val="18"/>
          <w:szCs w:val="18"/>
          <w:color w:val="auto"/>
        </w:rPr>
        <w:t>”: as defined in Section 10.13(b).</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700" w:top="280" w:right="279" w:bottom="1440" w:gutter="0" w:footer="0" w:header="0"/>
        </w:sectPr>
      </w:pPr>
    </w:p>
    <w:bookmarkStart w:id="113" w:name="page114"/>
    <w:bookmarkEnd w:id="1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World Travel</w:t>
      </w:r>
      <w:r>
        <w:rPr>
          <w:rFonts w:ascii="Arial" w:cs="Arial" w:eastAsia="Arial" w:hAnsi="Arial"/>
          <w:sz w:val="18"/>
          <w:szCs w:val="18"/>
          <w:color w:val="auto"/>
        </w:rPr>
        <w:t>”: World Travel, LLC, a Nevada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Asia</w:t>
      </w:r>
      <w:r>
        <w:rPr>
          <w:rFonts w:ascii="Arial" w:cs="Arial" w:eastAsia="Arial" w:hAnsi="Arial"/>
          <w:sz w:val="18"/>
          <w:szCs w:val="18"/>
          <w:color w:val="auto"/>
        </w:rPr>
        <w:t>”: Wynn Group Asia, Inc., a Nevada corporation.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Design</w:t>
      </w:r>
      <w:r>
        <w:rPr>
          <w:rFonts w:ascii="Arial" w:cs="Arial" w:eastAsia="Arial" w:hAnsi="Arial"/>
          <w:sz w:val="18"/>
          <w:szCs w:val="18"/>
          <w:color w:val="auto"/>
        </w:rPr>
        <w:t>”: Wynn Design &amp; Development, LLC, a Nevada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Golf</w:t>
      </w:r>
      <w:r>
        <w:rPr>
          <w:rFonts w:ascii="Arial" w:cs="Arial" w:eastAsia="Arial" w:hAnsi="Arial"/>
          <w:sz w:val="18"/>
          <w:szCs w:val="18"/>
          <w:color w:val="auto"/>
        </w:rPr>
        <w:t>”: Wynn Golf, LLC, a Nevada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Wynn Golf Indemnity Agreement</w:t>
      </w:r>
      <w:r>
        <w:rPr>
          <w:rFonts w:ascii="Arial" w:cs="Arial" w:eastAsia="Arial" w:hAnsi="Arial"/>
          <w:sz w:val="16"/>
          <w:szCs w:val="16"/>
          <w:color w:val="auto"/>
        </w:rPr>
        <w:t>”: the Indemnity Agreement, dated as of the Closing Date, by Wynn Golf in favor of the Administrative Agent.</w:t>
      </w:r>
    </w:p>
    <w:p>
      <w:pPr>
        <w:spacing w:after="0" w:line="100" w:lineRule="exact"/>
        <w:rPr>
          <w:sz w:val="20"/>
          <w:szCs w:val="20"/>
          <w:color w:val="auto"/>
        </w:rPr>
      </w:pPr>
    </w:p>
    <w:p>
      <w:pPr>
        <w:ind w:right="1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Golf Mortgage</w:t>
      </w:r>
      <w:r>
        <w:rPr>
          <w:rFonts w:ascii="Arial" w:cs="Arial" w:eastAsia="Arial" w:hAnsi="Arial"/>
          <w:sz w:val="18"/>
          <w:szCs w:val="18"/>
          <w:color w:val="auto"/>
        </w:rPr>
        <w:t>”: the Deed of Trust, Assignment of Rents and Leases, Security Agreement and Fixture Filing, dated as of the Closing Date, made by Wynn Golf to Nevada Title Company, a Nevada corporation, as trustee, for the benefit of the Collateral Agent, as amended by the certain First Amendment to Multiple Deeds of Trust, Leasehold Deed of Trust, Assignments of Rents and Leases, Security Agreement and Fixture Filings, dates ad of the Amendment and Restated Effective Date.</w:t>
      </w:r>
    </w:p>
    <w:p>
      <w:pPr>
        <w:spacing w:after="0" w:line="49"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Home Site Land</w:t>
      </w:r>
      <w:r>
        <w:rPr>
          <w:rFonts w:ascii="Arial" w:cs="Arial" w:eastAsia="Arial" w:hAnsi="Arial"/>
          <w:sz w:val="18"/>
          <w:szCs w:val="18"/>
          <w:color w:val="auto"/>
        </w:rPr>
        <w:t>”: an approximately two-acre tract of land located on the Golf Course Land where Mr. Wynn’s personal residence may be built, after Disposition of the Wynn Home Site Land in accordance with Section 7.5(j).</w:t>
      </w:r>
    </w:p>
    <w:p>
      <w:pPr>
        <w:spacing w:after="0" w:line="37"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IP Agreement</w:t>
      </w:r>
      <w:r>
        <w:rPr>
          <w:rFonts w:ascii="Arial" w:cs="Arial" w:eastAsia="Arial" w:hAnsi="Arial"/>
          <w:sz w:val="18"/>
          <w:szCs w:val="18"/>
          <w:color w:val="auto"/>
        </w:rPr>
        <w:t>”: the Intellectual Property License Agreement, dated as of the Closing Date, among Wynn Resorts Holdings, Wynn Resorts and the Borrower.</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Macau</w:t>
      </w:r>
      <w:r>
        <w:rPr>
          <w:rFonts w:ascii="Arial" w:cs="Arial" w:eastAsia="Arial" w:hAnsi="Arial"/>
          <w:sz w:val="18"/>
          <w:szCs w:val="18"/>
          <w:color w:val="auto"/>
        </w:rPr>
        <w:t>”: Wynn Resorts (Macau), S.A., a company organized under the laws of Macau.</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w:t>
      </w:r>
      <w:r>
        <w:rPr>
          <w:rFonts w:ascii="Arial" w:cs="Arial" w:eastAsia="Arial" w:hAnsi="Arial"/>
          <w:sz w:val="18"/>
          <w:szCs w:val="18"/>
          <w:color w:val="auto"/>
        </w:rPr>
        <w:t>”: Wynn Resorts, Limited, a Nevada corporation.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 Holdings</w:t>
      </w:r>
      <w:r>
        <w:rPr>
          <w:rFonts w:ascii="Arial" w:cs="Arial" w:eastAsia="Arial" w:hAnsi="Arial"/>
          <w:sz w:val="18"/>
          <w:szCs w:val="18"/>
          <w:color w:val="auto"/>
        </w:rPr>
        <w:t>”: Wynn Resorts Holdings, LLC, a Nevada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w:t>
      </w:r>
      <w:r>
        <w:rPr>
          <w:rFonts w:ascii="Arial" w:cs="Arial" w:eastAsia="Arial" w:hAnsi="Arial"/>
          <w:sz w:val="18"/>
          <w:szCs w:val="18"/>
          <w:color w:val="auto"/>
        </w:rPr>
        <w:t>”: Wynn Sunrise, LLC, a Nevada limited liability company.</w:t>
      </w:r>
    </w:p>
    <w:p>
      <w:pPr>
        <w:spacing w:after="0" w:line="7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 Indemnity Agreement</w:t>
      </w:r>
      <w:r>
        <w:rPr>
          <w:rFonts w:ascii="Arial" w:cs="Arial" w:eastAsia="Arial" w:hAnsi="Arial"/>
          <w:sz w:val="18"/>
          <w:szCs w:val="18"/>
          <w:color w:val="auto"/>
        </w:rPr>
        <w:t>”: the Indemnity Agreement, dated as of the Closing Date, by Wynn Sunrise in favor of the Administrative Agent.</w:t>
      </w:r>
    </w:p>
    <w:p>
      <w:pPr>
        <w:spacing w:after="0" w:line="3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Sunrise Mortgage</w:t>
      </w:r>
      <w:r>
        <w:rPr>
          <w:rFonts w:ascii="Arial" w:cs="Arial" w:eastAsia="Arial" w:hAnsi="Arial"/>
          <w:sz w:val="18"/>
          <w:szCs w:val="18"/>
          <w:color w:val="auto"/>
        </w:rPr>
        <w:t>”: the Deed of Trust, Assignment of Rents and Leases, Security Agreement and Fixture Filing, dated as of the Closing Date, made by Wynn Sunrise to Nevada Title Company, a Nevada corporation, as trustee, for the benefit of the Collateral Agent, as amended by the certain First Amendment to Multiple Deeds of Trust, Leasehold Deed of Trust, Assignments of Rents and Leases, Security Agreement and Fixture Filings, dates ad of the Amendment and Restated Effective Date.</w:t>
      </w:r>
    </w:p>
    <w:p>
      <w:pPr>
        <w:spacing w:after="0" w:line="49" w:lineRule="exact"/>
        <w:rPr>
          <w:sz w:val="20"/>
          <w:szCs w:val="20"/>
          <w:color w:val="auto"/>
        </w:rPr>
      </w:pPr>
    </w:p>
    <w:p>
      <w:pPr>
        <w:jc w:val="center"/>
        <w:ind w:right="90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2010 Notes</w:t>
      </w:r>
      <w:r>
        <w:rPr>
          <w:rFonts w:ascii="Arial" w:cs="Arial" w:eastAsia="Arial" w:hAnsi="Arial"/>
          <w:sz w:val="18"/>
          <w:szCs w:val="18"/>
          <w:color w:val="auto"/>
        </w:rPr>
        <w:t>”: the 12% Mortgage Notes due 2010 issued by the Borrower and Capital Corp. pursuant to the 2010 Notes Indenture. 51</w:t>
      </w:r>
    </w:p>
    <w:p>
      <w:pPr>
        <w:sectPr>
          <w:pgSz w:w="11900" w:h="16838" w:orient="portrait"/>
          <w:cols w:equalWidth="0" w:num="1">
            <w:col w:w="10940"/>
          </w:cols>
          <w:pgMar w:left="700" w:top="280" w:right="259" w:bottom="1440" w:gutter="0" w:footer="0" w:header="0"/>
        </w:sectPr>
      </w:pPr>
    </w:p>
    <w:bookmarkStart w:id="114" w:name="page115"/>
    <w:bookmarkEnd w:id="114"/>
    <w:p>
      <w:pPr>
        <w:ind w:left="460" w:right="120" w:firstLine="438"/>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2010 Notes Indenture</w:t>
      </w:r>
      <w:r>
        <w:rPr>
          <w:rFonts w:ascii="Arial" w:cs="Arial" w:eastAsia="Arial" w:hAnsi="Arial"/>
          <w:sz w:val="16"/>
          <w:szCs w:val="16"/>
          <w:color w:val="auto"/>
        </w:rPr>
        <w:t>”: that certain Indenture, dated as of October 30, 2002, among the Borrower, Capital Corp., certain guarantors named therein and the 2010 Notes Indenture Trustee, as supplemented by that certain First Supplemental Indenture, dated as of the Closing Date.</w:t>
      </w:r>
    </w:p>
    <w:p>
      <w:pPr>
        <w:spacing w:after="0" w:line="1" w:lineRule="exact"/>
        <w:rPr>
          <w:sz w:val="20"/>
          <w:szCs w:val="20"/>
          <w:color w:val="auto"/>
        </w:rPr>
      </w:pPr>
    </w:p>
    <w:p>
      <w:pPr>
        <w:ind w:left="460" w:right="5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2010 Notes Indenture Trustee</w:t>
      </w:r>
      <w:r>
        <w:rPr>
          <w:rFonts w:ascii="Arial" w:cs="Arial" w:eastAsia="Arial" w:hAnsi="Arial"/>
          <w:sz w:val="18"/>
          <w:szCs w:val="18"/>
          <w:color w:val="auto"/>
        </w:rPr>
        <w:t>”: Wells Fargo Bank, National Association in its capacity as the trustee under the 2010 Notes Indenture and its successors in such capacity.</w:t>
      </w:r>
    </w:p>
    <w:p>
      <w:pPr>
        <w:spacing w:after="0" w:line="37" w:lineRule="exact"/>
        <w:rPr>
          <w:sz w:val="20"/>
          <w:szCs w:val="20"/>
          <w:color w:val="auto"/>
        </w:rPr>
      </w:pPr>
    </w:p>
    <w:p>
      <w:pPr>
        <w:ind w:left="460" w:right="58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2010 Notes Satisfaction Proceeds</w:t>
      </w:r>
      <w:r>
        <w:rPr>
          <w:rFonts w:ascii="Arial" w:cs="Arial" w:eastAsia="Arial" w:hAnsi="Arial"/>
          <w:sz w:val="16"/>
          <w:szCs w:val="16"/>
          <w:color w:val="auto"/>
        </w:rPr>
        <w:t>”: all cash and securities (and any account or trust arrangement in which such cash and securities are held) delivered to the 2010 Notes Indenture Trustee in accordance with Section 12.01 of the 2010 Notes Indenture on the Closing Date.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Noteholders</w:t>
      </w:r>
      <w:r>
        <w:rPr>
          <w:rFonts w:ascii="Arial" w:cs="Arial" w:eastAsia="Arial" w:hAnsi="Arial"/>
          <w:sz w:val="18"/>
          <w:szCs w:val="18"/>
          <w:color w:val="auto"/>
        </w:rPr>
        <w:t>”: the holders of the 2014 Notes from time to time.</w:t>
      </w:r>
    </w:p>
    <w:p>
      <w:pPr>
        <w:spacing w:after="0" w:line="77" w:lineRule="exact"/>
        <w:rPr>
          <w:sz w:val="20"/>
          <w:szCs w:val="20"/>
          <w:color w:val="auto"/>
        </w:rPr>
      </w:pPr>
    </w:p>
    <w:p>
      <w:pPr>
        <w:ind w:left="460"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w:t>
      </w:r>
      <w:r>
        <w:rPr>
          <w:rFonts w:ascii="Arial" w:cs="Arial" w:eastAsia="Arial" w:hAnsi="Arial"/>
          <w:sz w:val="18"/>
          <w:szCs w:val="18"/>
          <w:color w:val="auto"/>
        </w:rPr>
        <w:t>”: the 6 5/8% Mortgage Notes due 2014 issued by the Borrower and Capital Corp. pursuant to the 2014 Notes Indenture and any exchange notes related thereto as contemplated by the 2014 Notes Indenture.</w:t>
      </w:r>
    </w:p>
    <w:p>
      <w:pPr>
        <w:spacing w:after="0" w:line="37" w:lineRule="exact"/>
        <w:rPr>
          <w:sz w:val="20"/>
          <w:szCs w:val="20"/>
          <w:color w:val="auto"/>
        </w:rPr>
      </w:pPr>
    </w:p>
    <w:p>
      <w:pPr>
        <w:ind w:left="460" w:right="280" w:firstLine="438"/>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2014 Notes Debt Service</w:t>
      </w:r>
      <w:r>
        <w:rPr>
          <w:rFonts w:ascii="Arial" w:cs="Arial" w:eastAsia="Arial" w:hAnsi="Arial"/>
          <w:sz w:val="15"/>
          <w:szCs w:val="15"/>
          <w:color w:val="auto"/>
        </w:rPr>
        <w:t>”: for any period, (a) all fees payable during such period to the 2014 Notes Indenture Trustee and the 2014 Noteholders under the 2014 Notes Indenture and related agreements, documents and instruments and (b) interest on the 2014 Notes payable during such period.</w:t>
      </w:r>
    </w:p>
    <w:p>
      <w:pPr>
        <w:spacing w:after="0" w:line="1" w:lineRule="exact"/>
        <w:rPr>
          <w:sz w:val="20"/>
          <w:szCs w:val="20"/>
          <w:color w:val="auto"/>
        </w:rPr>
      </w:pPr>
    </w:p>
    <w:p>
      <w:pPr>
        <w:ind w:left="460" w:right="6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2014 Notes Indenture</w:t>
      </w:r>
      <w:r>
        <w:rPr>
          <w:rFonts w:ascii="Arial" w:cs="Arial" w:eastAsia="Arial" w:hAnsi="Arial"/>
          <w:sz w:val="16"/>
          <w:szCs w:val="16"/>
          <w:color w:val="auto"/>
        </w:rPr>
        <w:t>”: that certain Indenture, dated as of the Closing Date, between the Borrower, Capital Corp., certain guarantors named therein and the 2014 Notes Indenture Trustee, as supplemented by that certain First Supplemental Indenture, dated as of June 25, 2005.</w:t>
      </w:r>
    </w:p>
    <w:p>
      <w:pPr>
        <w:spacing w:after="0" w:line="1"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Indenture Trustee</w:t>
      </w:r>
      <w:r>
        <w:rPr>
          <w:rFonts w:ascii="Arial" w:cs="Arial" w:eastAsia="Arial" w:hAnsi="Arial"/>
          <w:sz w:val="18"/>
          <w:szCs w:val="18"/>
          <w:color w:val="auto"/>
        </w:rPr>
        <w:t>”: U.S. Bank National Association in its capacity as the trustee under the 2014 Notes Indenture and its successors in such capacity.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Proceeds Account</w:t>
      </w:r>
      <w:r>
        <w:rPr>
          <w:rFonts w:ascii="Arial" w:cs="Arial" w:eastAsia="Arial" w:hAnsi="Arial"/>
          <w:sz w:val="18"/>
          <w:szCs w:val="18"/>
          <w:color w:val="auto"/>
        </w:rPr>
        <w:t>”: as defined in the Disbursement Agreement.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18" w:lineRule="exact"/>
        <w:rPr>
          <w:sz w:val="20"/>
          <w:szCs w:val="20"/>
          <w:color w:val="auto"/>
        </w:rPr>
      </w:pPr>
    </w:p>
    <w:p>
      <w:pPr>
        <w:ind w:right="60" w:firstLine="464"/>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 the extent not defined, shall have the respective meanings given to them under GAAP.</w:t>
      </w:r>
    </w:p>
    <w:p>
      <w:pPr>
        <w:spacing w:after="0" w:line="126"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of this Agreement, and Section, Schedule and Exhibit references are to this Agreement unless otherwise specified.</w:t>
      </w:r>
    </w:p>
    <w:p>
      <w:pPr>
        <w:spacing w:after="0" w:line="158"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57"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118" w:lineRule="exact"/>
        <w:rPr>
          <w:rFonts w:ascii="Arial" w:cs="Arial" w:eastAsia="Arial" w:hAnsi="Arial"/>
          <w:sz w:val="18"/>
          <w:szCs w:val="18"/>
          <w:color w:val="auto"/>
        </w:rPr>
      </w:pPr>
    </w:p>
    <w:p>
      <w:pPr>
        <w:ind w:right="40" w:firstLine="464"/>
        <w:spacing w:after="0" w:line="268" w:lineRule="auto"/>
        <w:tabs>
          <w:tab w:leader="none" w:pos="6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words “including” and “includes” and words of similar import when used in this Agreement shall not be limiting and shall mean “including without limitation” or “includes without limitation”, as the case may be.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words “will” and “shall” and words of similar import when used in this Agreement shall mean a command.</w:t>
      </w:r>
    </w:p>
    <w:p>
      <w:pPr>
        <w:spacing w:after="0" w:line="157"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In the event that any defined terms used herein or in any other Loan Document having meanings given to such terms in the Disbursement Agreement are no longer defined in the Disbursement Agreement on and after the Amended and Restated Disbursement Agreement Effective Date, then such terms shall have the meanings given to such terms in the Disbursement Agreement as in effect immediately prior to the Amended and Restated Disbursement Agreement Effective Date.</w:t>
      </w:r>
    </w:p>
    <w:p>
      <w:pPr>
        <w:spacing w:after="0" w:line="48" w:lineRule="exact"/>
        <w:rPr>
          <w:rFonts w:ascii="Arial" w:cs="Arial" w:eastAsia="Arial" w:hAnsi="Arial"/>
          <w:sz w:val="18"/>
          <w:szCs w:val="18"/>
          <w:color w:val="auto"/>
        </w:rPr>
      </w:pPr>
    </w:p>
    <w:p>
      <w:pPr>
        <w:ind w:left="460" w:right="60" w:firstLine="443"/>
        <w:spacing w:after="0" w:line="255"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termination of the Disbursement Agreement, any defined terms used herein or in any other Loan Document having meanings given to such terms in the Disbursement Agreement shall continue to have the meanings given to such terms in the Disbursement Agreement immediately prior to such termination (whether by reference to the Disbursement Agreement as then in effect or, if clause (h)(i) above is applicable, as in effect immediately prior to the Amended and Restated Disbursement Agreement Effective Date), at which time such terms shall be incorporated herein by reference as if specifically set forth herein.</w:t>
      </w:r>
    </w:p>
    <w:p>
      <w:pPr>
        <w:spacing w:after="0" w:line="129" w:lineRule="exact"/>
        <w:rPr>
          <w:rFonts w:ascii="Arial" w:cs="Arial" w:eastAsia="Arial" w:hAnsi="Arial"/>
          <w:sz w:val="18"/>
          <w:szCs w:val="18"/>
          <w:color w:val="auto"/>
        </w:rPr>
      </w:pPr>
    </w:p>
    <w:p>
      <w:pPr>
        <w:ind w:right="240" w:firstLine="464"/>
        <w:spacing w:after="0" w:line="298" w:lineRule="auto"/>
        <w:tabs>
          <w:tab w:leader="none" w:pos="6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Unless expressly described to the contrary, references to any document, instrument or agreement (i) shall include all exhibits, schedules and other attachments thereto, (ii) shall include all documents, instruments or agreements issued or executed in replacement thereof and (iii) shall mean such document, instrument or agreement, or replacement or predecessor thereto, as amended, amended and restated, supplemented or otherwise modified (or reaffirmed by any reaffirmation agreement or other agreement) from time to time and in effect at the time of determination.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Certain Financial Calculations</w:t>
      </w:r>
      <w:r>
        <w:rPr>
          <w:rFonts w:ascii="Arial" w:cs="Arial" w:eastAsia="Arial" w:hAnsi="Arial"/>
          <w:sz w:val="16"/>
          <w:szCs w:val="16"/>
          <w:color w:val="auto"/>
        </w:rPr>
        <w:t>. (a) For purposes of Section 7.1(a) only, prior to the Initial Phase II Calculation Date, Consolidated Total Debt, as used in the calculation of the Consolidated Leverage Ratio pursuant thereto, shall equal the Consolidated Total Debt as of the applicable Quarterly Date less the aggregate amount of all Project Costs for the Phase II Project expended on or prior to such Quarterly Date other than any such Project Costs paid with the proceeds of any capital contributions from Wynn Resorts or its Affiliates. Any proceeds of the 2014 Notes applied on the Closing Date in order to consummate the Refinancing Transaction shall not be deemed to be Project Costs with respect to the Phase II Project.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16" w:name="page117"/>
    <w:bookmarkEnd w:id="116"/>
    <w:p>
      <w:pPr>
        <w:ind w:firstLine="464"/>
        <w:spacing w:after="0" w:line="290"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calculating the Consolidated Leverage Ratio and the Consolidated Interest Coverage Ratio for all purposes including ECF Percentage, financial covenant calculations pursuant to Sections 7.1(b) and 7.1(c), permitted Dispositions in accordance with Section 7.5(k), payment of Management Fees in accordance with Section 7.22 and the Pricing Grid for any four full fiscal quarter period ending on each of the Initial Phase II Calculation Date and each of the first two Quarterly Dates thereafter, the Consolidated EBITDA of the Borrower, as used in such calculations of the Consolidated Leverage Ratio and the Consolidated Interest Coverage Ratio, shall be calculated on an annualized basis, taking into consideration only Consolidated EBITDA attributable to periods beginning on the first day of the fiscal quarter ending on the Initial Phase II Calculation Date and not taking into consideration any Consolidated EBITDA attributable to periods prior to the fiscal quarter of the Borrower ending on the Initial Phase II Calculation Date.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2. AMOUNT AND TERMS OF COMMITMENTS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 B Loan Commitments</w:t>
      </w:r>
      <w:r>
        <w:rPr>
          <w:rFonts w:ascii="Arial" w:cs="Arial" w:eastAsia="Arial" w:hAnsi="Arial"/>
          <w:sz w:val="18"/>
          <w:szCs w:val="18"/>
          <w:color w:val="auto"/>
        </w:rPr>
        <w:t>. As of the Amended and Restated Effective Date, each Term B Loan Lender has made term loans (“</w:t>
      </w:r>
      <w:r>
        <w:rPr>
          <w:rFonts w:ascii="Arial" w:cs="Arial" w:eastAsia="Arial" w:hAnsi="Arial"/>
          <w:sz w:val="18"/>
          <w:szCs w:val="18"/>
          <w:u w:val="single" w:color="auto"/>
          <w:color w:val="auto"/>
        </w:rPr>
        <w:t>Term B Loans</w:t>
      </w:r>
      <w:r>
        <w:rPr>
          <w:rFonts w:ascii="Arial" w:cs="Arial" w:eastAsia="Arial" w:hAnsi="Arial"/>
          <w:sz w:val="18"/>
          <w:szCs w:val="18"/>
          <w:color w:val="auto"/>
        </w:rPr>
        <w:t>”) to the Borrower in an aggregate principal amount equal to the amount of the Term B Loan Commitment of such Lender. The Term B Loans may from time to time be Eurodollar Loans or Base Rate Loans, as determined by the Borrower and notified to the Administrative Agent in accordance with Sections 2.5 and 2.13. Term B Loans borrowed and subsequently repaid or prepaid may not be reborrowed. As of the Amended and Restated Effective Date, the Term B Loan Commitments shall be deemed terminated.</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Scheduled Amortization of Term B Loans</w:t>
      </w:r>
      <w:r>
        <w:rPr>
          <w:rFonts w:ascii="Arial" w:cs="Arial" w:eastAsia="Arial" w:hAnsi="Arial"/>
          <w:sz w:val="18"/>
          <w:szCs w:val="18"/>
          <w:color w:val="auto"/>
        </w:rPr>
        <w:t>. The Borrower shall make principal payments on the Term B Loans on amortization dates in the amounts set forth below opposite the applicable amortization date:</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1"/>
              </w:rPr>
              <w:t>Scheduled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Repayment</w:t>
            </w:r>
          </w:p>
        </w:tc>
        <w:tc>
          <w:tcPr>
            <w:tcW w:w="0" w:type="dxa"/>
            <w:vAlign w:val="bottom"/>
          </w:tcPr>
          <w:p>
            <w:pPr>
              <w:spacing w:after="0"/>
              <w:rPr>
                <w:sz w:val="1"/>
                <w:szCs w:val="1"/>
                <w:color w:val="auto"/>
              </w:rPr>
            </w:pPr>
          </w:p>
        </w:tc>
      </w:tr>
      <w:tr>
        <w:trPr>
          <w:trHeight w:val="174"/>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Amortization Date</w:t>
            </w:r>
          </w:p>
        </w:tc>
        <w:tc>
          <w:tcPr>
            <w:tcW w:w="3560" w:type="dxa"/>
            <w:vAlign w:val="bottom"/>
            <w:gridSpan w:val="2"/>
          </w:tcPr>
          <w:p>
            <w:pPr>
              <w:jc w:val="center"/>
              <w:ind w:left="2519"/>
              <w:spacing w:after="0"/>
              <w:rPr>
                <w:sz w:val="20"/>
                <w:szCs w:val="20"/>
                <w:color w:val="auto"/>
              </w:rPr>
            </w:pPr>
            <w:r>
              <w:rPr>
                <w:rFonts w:ascii="Arial" w:cs="Arial" w:eastAsia="Arial" w:hAnsi="Arial"/>
                <w:sz w:val="14"/>
                <w:szCs w:val="14"/>
                <w:b w:val="1"/>
                <w:bCs w:val="1"/>
                <w:color w:val="auto"/>
                <w:w w:val="86"/>
              </w:rPr>
              <w:t>of Term B 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3560" w:type="dxa"/>
            <w:vAlign w:val="bottom"/>
            <w:gridSpan w:val="2"/>
            <w:shd w:val="clear" w:color="auto" w:fill="CCEEFF"/>
          </w:tcPr>
          <w:p>
            <w:pPr>
              <w:jc w:val="center"/>
              <w:ind w:left="2499"/>
              <w:spacing w:after="0"/>
              <w:rPr>
                <w:sz w:val="20"/>
                <w:szCs w:val="20"/>
                <w:color w:val="auto"/>
              </w:rPr>
            </w:pPr>
            <w:r>
              <w:rPr>
                <w:rFonts w:ascii="Arial" w:cs="Arial" w:eastAsia="Arial" w:hAnsi="Arial"/>
                <w:sz w:val="18"/>
                <w:szCs w:val="18"/>
                <w:color w:val="auto"/>
                <w:w w:val="88"/>
              </w:rPr>
              <w:t>$112,500,000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Scheduled Term B Loan Termination Date</w:t>
            </w:r>
          </w:p>
        </w:tc>
        <w:tc>
          <w:tcPr>
            <w:tcW w:w="3560" w:type="dxa"/>
            <w:vAlign w:val="bottom"/>
            <w:gridSpan w:val="2"/>
          </w:tcPr>
          <w:p>
            <w:pPr>
              <w:jc w:val="center"/>
              <w:ind w:left="2499"/>
              <w:spacing w:after="0"/>
              <w:rPr>
                <w:sz w:val="20"/>
                <w:szCs w:val="20"/>
                <w:color w:val="auto"/>
              </w:rPr>
            </w:pPr>
            <w:r>
              <w:rPr>
                <w:rFonts w:ascii="Arial" w:cs="Arial" w:eastAsia="Arial" w:hAnsi="Arial"/>
                <w:sz w:val="18"/>
                <w:szCs w:val="18"/>
                <w:color w:val="auto"/>
                <w:w w:val="88"/>
              </w:rPr>
              <w:t>$112,500,000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scheduled installments of principal of the Term B Loans set forth above shall be reduced in connection with any voluntary or mandatory prepayments of the Term Loans in accordance with Sections 2.11, 2.12 and 2.18;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Term B Loans and all other amounts owed hereunder with respect to the Term B Loans shall be paid in full no later than the Term B Loan Termination Date, and the final installment payable by the Borrower in respect of the Term B Loans on such date shall be in an amount sufficient to repay all amounts owing by the Borrower under this Agreement with respect to the Term B Loans.</w:t>
      </w:r>
    </w:p>
    <w:p>
      <w:pPr>
        <w:spacing w:after="0" w:line="12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Revolving Credit Commitments</w:t>
      </w:r>
      <w:r>
        <w:rPr>
          <w:rFonts w:ascii="Arial" w:cs="Arial" w:eastAsia="Arial" w:hAnsi="Arial"/>
          <w:sz w:val="16"/>
          <w:szCs w:val="16"/>
          <w:color w:val="auto"/>
        </w:rPr>
        <w:t>. Subject to the terms and conditions hereof, and in reliance upon the representations and warranties of the Borrower herein set forth and, while in effect, the representations and warranties set forth in the Disbursement Agreement, each</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117" w:name="page118"/>
    <w:bookmarkEnd w:id="11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Revolving Credit Lender severally agrees to make revolving credit loans (“</w:t>
      </w:r>
      <w:r>
        <w:rPr>
          <w:rFonts w:ascii="Arial" w:cs="Arial" w:eastAsia="Arial" w:hAnsi="Arial"/>
          <w:sz w:val="16"/>
          <w:szCs w:val="16"/>
          <w:u w:val="single" w:color="auto"/>
          <w:color w:val="auto"/>
        </w:rPr>
        <w:t>Revolving Credit Loans</w:t>
      </w:r>
      <w:r>
        <w:rPr>
          <w:rFonts w:ascii="Arial" w:cs="Arial" w:eastAsia="Arial" w:hAnsi="Arial"/>
          <w:sz w:val="16"/>
          <w:szCs w:val="16"/>
          <w:color w:val="auto"/>
        </w:rPr>
        <w:t xml:space="preserve">”) to the Borrower from time to time during the Revolving Credit Commitment Period in an aggregate principal amount at any one time outstanding which, when added to such Lender’s Revolving Credit Percentage of the sum of (a) the L/C Obligations then outstanding and (b) the aggregate principal amount of the Swing Line Loans then outstanding, does not exceed the amount of such Lender’s Revolving Credit Commitment. During the Revolving Credit Commitment Period the Borrower may use the Revolving Credit Commitments by borrowing, prepaying the Revolving Credit Loans in whole or in part, and reborrowing, all in accordance with the terms and conditions hereof. The Revolving Credit Loans may from time to time be Eurodollar Loans or Base Rate Loans, as determined by the Borrower and notified to the Administrative Agent in accordance with Sections 2.5 and 2.13,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Revolving Credit Loan shall be made as a Eurodollar Loan after the day that is one month prior to the Scheduled Revolving Credit Termination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(a) Prior to (i) with respect to the Phase I Project, the Phase I Final Completion Date, and (ii) with respect to the Phase II Project, the earlier of the Phase II Final Completion Date and the Amended and Restated Disbursement Agreement Effective Date, the Borrower shall have the right to borrow Loans, the proceeds of which shall be used to pay Project Costs for the Phase I Project or the Phase II Project, as the case may be. If the Borrower desires that Lenders make such Loans, the Borrower shall comply with Section 2.3 of the Disbursement Agreement. Notwithstanding any provisions of the Disbursement Agreement to the contrary, each Notice of Advance Request must be received by the Administrative Agent prior to 12:00 Noon, New York City time, at least three Business Days prior to the requested Borrowing Date (in the case of Eurodollar Loans or Base Rate Loans) and must specify (w) whether the requested borrowing is of New Term Loans, if any, or Revolving Credit Loans, (x) the amount and Type of Loans to be borrowed, (y) the requested Borrowing Date and (z) in the case of Eurodollar Loans, the length of the initial Interest Period therefor. Upon receipt of any Notice of Advance Request, the Administrative Agent shall promptly notify each New Term Loan Lender and/or Revolving Credit Lender, as appropriate, thereof. Each such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at the Funding Office prior to 10:00 A.M., New York City time, on the Borrowing Date requested by the Borrower in immediately available Dollars. Such borrowing will then, upon satisfaction or waiver of the conditions precedent specified in Section 5.2, be deposited by the Administrative Agent, in immediately available Dollars, into the Company’s Concentration Account no later than 12:00 Noon, New York City time, on the applicable Borrowing Date.</w:t>
      </w:r>
    </w:p>
    <w:p>
      <w:pPr>
        <w:spacing w:after="0" w:line="107" w:lineRule="exact"/>
        <w:rPr>
          <w:sz w:val="20"/>
          <w:szCs w:val="20"/>
          <w:color w:val="auto"/>
        </w:rPr>
      </w:pPr>
    </w:p>
    <w:p>
      <w:pPr>
        <w:ind w:right="100" w:firstLine="464"/>
        <w:spacing w:after="0" w:line="294"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Borrower shall have the right to borrow Loans, the proceeds of which are to be used (i) if prior to the Amended and Restated Disbursement Agreement Effective Date, for purposes permitted hereby other than the payment of Project Costs and (ii) if on or after the Amended and Restated Disbursement Agreement Effective Date, for working capital needs and general corporate purposes (including the payment of Project Costs). If the Borrower desires that Lenders make Loans described in this Section 2.5(b), the Borrower shall give the Administrative Agent irrevocable notice in a Notice of Borrowing (which Notice of Borrowing must be received by the Administrative Agent prior to 12:00 Noon, New York City time, at least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18" w:name="page119"/>
    <w:bookmarkEnd w:id="118"/>
    <w:p>
      <w:pPr>
        <w:ind w:left="-8" w:firstLine="8"/>
        <w:spacing w:after="0" w:line="288" w:lineRule="auto"/>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three Business Days prior to the requested Borrowing Date, in the case of Eurodollar Loans, or (B) one Business Day prior to the requested Borrowing Date, in the case of Base Rate Loans), specifying (w) whether the requested borrowing is of New Term Loans, if any, or Revolving Credit Loans, (x) the amount and Type of Loans to be borrowed, (y) the requested Borrowing Date and (z) in the case of Eurodollar Loans, the length of the initial Interest Period therefor. Upon receipt of any such Notice of Borrowing from the Borrower, the Administrative Agent shall promptly notify each New Term Loan Lender and/or Revolving Credit Lender thereof. Each such Lender will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Borrower at the Funding Office prior to 12:00 Noon, New York City time, on the Borrowing Date requested by the Borrower in immediately available Dollars. Such borrowing will then, upon satisfaction or waiver of the conditions precedent specified in Section 5.3, be made available to the Borrower by the Administrative Agent depositing into (which may take the form of crediting) a Funding Account of the Borrower (as directed by the Borrower) with the aggregate of the amounts made available to the Administrative Agent by the Lenders in immediately available Dollars.</w:t>
      </w:r>
    </w:p>
    <w:p>
      <w:pPr>
        <w:spacing w:after="0" w:line="106" w:lineRule="exact"/>
        <w:rPr>
          <w:rFonts w:ascii="Arial" w:cs="Arial" w:eastAsia="Arial" w:hAnsi="Arial"/>
          <w:sz w:val="16"/>
          <w:szCs w:val="16"/>
          <w:color w:val="auto"/>
        </w:rPr>
      </w:pPr>
    </w:p>
    <w:p>
      <w:pPr>
        <w:ind w:left="-8" w:right="160" w:firstLine="464"/>
        <w:spacing w:after="0" w:line="256"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Notwithstanding the foregoing, to the extent any Loans are made hereunder in accordance with Section 5.4(a) on the Amended and Restated Effective Date (including for purposes of payment of fees and expenses in connection the amendment and restatement of the Original Credit Agreement), (i) such Loans shall be deemed requested pursuant to Section 2.5(b)(i), (ii) such Loans shall be deemed not be Advances and (iii) the proceeds of such Loans shall be deemed applied to non-Project Costs.</w:t>
      </w:r>
    </w:p>
    <w:p>
      <w:pPr>
        <w:spacing w:after="0" w:line="129" w:lineRule="exact"/>
        <w:rPr>
          <w:rFonts w:ascii="Arial" w:cs="Arial" w:eastAsia="Arial" w:hAnsi="Arial"/>
          <w:sz w:val="18"/>
          <w:szCs w:val="18"/>
          <w:color w:val="auto"/>
        </w:rPr>
      </w:pPr>
    </w:p>
    <w:p>
      <w:pPr>
        <w:ind w:left="-8" w:right="80" w:firstLine="464"/>
        <w:spacing w:after="0" w:line="289" w:lineRule="auto"/>
        <w:tabs>
          <w:tab w:leader="none" w:pos="6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Each borrowing under the Revolving Credit Commitments shall be in a principal amount of (A) in the case of Base Rate Loans, $5,000,000 or whole multiples of $5,000,000 in excess thereof, and (B) in the case of Eurodollar Loans, $10,000,000 or whole multiples of $1,000,000 in excess thereof; (or, in the case of the preceding clauses (A) and (B), if the then aggregate Available Revolving Credit Commitments are less than $5,000,000 or a whole multiple of $5,000,000 in excess thereof or $10,000,000 or a whole multiple of $1,000,000 thereof, respectively, such lesser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Swing Line Lender may request, on behalf of the Borrower, borrowings under the Revolving Credit Commitments which are Base Rate Loans in other amounts pursuant to Section 2.7. In the event the Borrower is unable to borrow an amount of Loans requested in any Notice of Advance Request pursuant to subsection (a) above due to the limitations of this subsection, such request for Loans shall be deemed to be in an amount equal to the next higher minimum amount of Loans (of the same Type as those originally requested) otherwise permitted to be drawn under this subsection.</w:t>
      </w:r>
    </w:p>
    <w:p>
      <w:pPr>
        <w:spacing w:after="0" w:line="104" w:lineRule="exact"/>
        <w:rPr>
          <w:rFonts w:ascii="Arial" w:cs="Arial" w:eastAsia="Arial" w:hAnsi="Arial"/>
          <w:sz w:val="16"/>
          <w:szCs w:val="16"/>
          <w:color w:val="auto"/>
        </w:rPr>
      </w:pPr>
    </w:p>
    <w:p>
      <w:pPr>
        <w:ind w:left="-8" w:right="60" w:firstLine="464"/>
        <w:spacing w:after="0" w:line="254"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 the event that the Administrative Agent receives a Stop Funding Notice from the Disbursement Agent prior to the Amended and Restated Disbursement Agreement Effective Date in accordance with and pursuant to the terms of the Disbursement Agreement, none of the Administrative Agent and the Lenders shall, or shall have any obligation to, advance the Loans associated with such Stop Funding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be obligated to make any payments due pursuant to Section 2.21 as a result thereof. The Administrative Agent shall notify each relevant Lender promptly upon receipt of any Stop Funding Notice, but shall bear no liability to any Lender if, despite the receipt of such Stop Funding Notice, any Lender makes available any money to the Administrative Agent in respect</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92"/>
          </w:cols>
          <w:pgMar w:left="248" w:top="280" w:right="259" w:bottom="1440" w:gutter="0" w:footer="0" w:header="0"/>
        </w:sectPr>
      </w:pPr>
    </w:p>
    <w:bookmarkStart w:id="119" w:name="page120"/>
    <w:bookmarkEnd w:id="11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requested Loans. In such event, the Administrative Agent shall refund the amount received by it as promptly as possible and in any event by the following Business Day.</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Swing Line Commitment</w:t>
      </w:r>
      <w:r>
        <w:rPr>
          <w:rFonts w:ascii="Arial" w:cs="Arial" w:eastAsia="Arial" w:hAnsi="Arial"/>
          <w:sz w:val="16"/>
          <w:szCs w:val="16"/>
          <w:color w:val="auto"/>
        </w:rPr>
        <w:t>. Subject to the terms and conditions hereof, the Swing Line Lender agrees to make available to the Borrower a portion of the credit otherwise available to the Borrower under the Revolving Credit Commitments from time to time during the Swing Line Credit Commitment Period by making swing line loans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(b) the Borrower shall not request, and the Swing Line Lender shall not make, any Swing Line Loan if, after giving effect to the making of such Swing Line Loan, the aggregate amount of the Available Revolving Credit Commitments would be less than zero. During the Swing Line Credit Commitment Period, the Borrower may use the Swing Line Commitment by borrowing, repaying and reborrowing, all in accordance with the terms and conditions hereof. Swing Line Loans shall be Base Rate Loans only. The Borrower may at any time and from time to time prepay all or any portion of the outstanding Swing Line Loans in accordance with Section 2.11.</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Procedure for Swing Line Borrowing; Refunding of Swing Line Loans</w:t>
      </w:r>
      <w:r>
        <w:rPr>
          <w:rFonts w:ascii="Arial" w:cs="Arial" w:eastAsia="Arial" w:hAnsi="Arial"/>
          <w:sz w:val="16"/>
          <w:szCs w:val="16"/>
          <w:color w:val="auto"/>
        </w:rPr>
        <w:t xml:space="preserve">. (a) Whenever the Borrower desires that the Swing Line Lender make Swing Line Loans (the proceeds of which shall be used for purposes permitted hereby other than the payment of Project Costs),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 principal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Swing Line Lender shall not be obligated to make any Swing Line Loans at a time when a Lender Default exists unless the Swing Line Lender has entered into arrangements satisfactory to it to eliminate the Swing Line Lender’s risk with respect to such Lenders’ participation in such Swing Line Loans. The Administrative Agent shall make the proceeds of such Swing Line Loan available in immediately available Dollars to the Borrower on such Borrowing Date by depositing such proceeds in the Company’s Concentration Account on such Borrowing Date.</w:t>
      </w:r>
    </w:p>
    <w:p>
      <w:pPr>
        <w:spacing w:after="0" w:line="114" w:lineRule="exact"/>
        <w:rPr>
          <w:sz w:val="20"/>
          <w:szCs w:val="20"/>
          <w:color w:val="auto"/>
        </w:rPr>
      </w:pPr>
    </w:p>
    <w:p>
      <w:pPr>
        <w:ind w:right="80" w:firstLine="464"/>
        <w:spacing w:after="0" w:line="294"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Swing Line Lender, at any time and from time to time in its sole and absolute discretion may, on behalf of the Borrower (which hereby irrevocably authorizes the Swing Line Lender to act on its behalf), on one Business Day’s notice given by the Swing Line Lender no later than 12:00 Noon, New York City time, request each Revolving Credit Lender to make, and each Revolving Credit Lender hereby agrees to make, a Revolving Credit Loan, in an amount equal to such Revolving Credit Lender’s Revolving Credit Percentage of the aggregate amount of the Swing Line Loans (the “</w:t>
      </w:r>
      <w:r>
        <w:rPr>
          <w:rFonts w:ascii="Arial" w:cs="Arial" w:eastAsia="Arial" w:hAnsi="Arial"/>
          <w:sz w:val="16"/>
          <w:szCs w:val="16"/>
          <w:u w:val="single" w:color="auto"/>
          <w:color w:val="auto"/>
        </w:rPr>
        <w:t>Refunded Swing Line Loans</w:t>
      </w:r>
      <w:r>
        <w:rPr>
          <w:rFonts w:ascii="Arial" w:cs="Arial" w:eastAsia="Arial" w:hAnsi="Arial"/>
          <w:sz w:val="16"/>
          <w:szCs w:val="16"/>
          <w:color w:val="auto"/>
        </w:rPr>
        <w:t>”) outstanding on the date of such notice, to repay the Swing Line Lender. The Swing Line Lender shall notify the Borrower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20" w:name="page121"/>
    <w:bookmarkEnd w:id="12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such request as soon as is reasonably practicable. Each Revolving Credit Lender shall make the amount of such Revolving Credit Loan available to the Administrative Agent at the Funding Office in immediately available funds, not later than 10:00 A.M., New York City time, one Business Day after the date of such notice. The proceeds of such Revolving Credit Loans shall be immediately made available by the Administrative Agent to the Swing Line Lender for application by the Swing Line Lender to the 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Lenders are not sufficient to repay in full such Refunded Swing Line Loans, and the Administrative Agent shall provide the Borrower notice of any such action.</w:t>
      </w:r>
    </w:p>
    <w:p>
      <w:pPr>
        <w:spacing w:after="0" w:line="105" w:lineRule="exact"/>
        <w:rPr>
          <w:sz w:val="20"/>
          <w:szCs w:val="20"/>
          <w:color w:val="auto"/>
        </w:rPr>
      </w:pPr>
    </w:p>
    <w:p>
      <w:pPr>
        <w:ind w:firstLine="464"/>
        <w:spacing w:after="0" w:line="253"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prior to the time a Revolving Credit Loan would have otherwise been made pursuant to Section 2.7(b), one of the events described in Section 8(f) shall have occurred and be continuing with respect to the Borrower or if for any other reason, as determined by the Swing Line Lender in its sole discretion, Revolving Credit Loans may not be made as contemplated by Section 2.7(b), each Revolving Credit Lender shall, on the date such Revolving Credit Loan was to have been made pursuant to the notice referred to in Section 2.7(b) (the “</w:t>
      </w:r>
      <w:r>
        <w:rPr>
          <w:rFonts w:ascii="Arial" w:cs="Arial" w:eastAsia="Arial" w:hAnsi="Arial"/>
          <w:sz w:val="18"/>
          <w:szCs w:val="18"/>
          <w:u w:val="single" w:color="auto"/>
          <w:color w:val="auto"/>
        </w:rPr>
        <w:t>Refunding Date</w:t>
      </w:r>
      <w:r>
        <w:rPr>
          <w:rFonts w:ascii="Arial" w:cs="Arial" w:eastAsia="Arial" w:hAnsi="Arial"/>
          <w:sz w:val="18"/>
          <w:szCs w:val="18"/>
          <w:color w:val="auto"/>
        </w:rPr>
        <w:t>”), purchase for cash an undivided participating interest in the then outstanding Swing Line Loans by paying to the Swing Line Lender an amount (the “</w:t>
      </w:r>
      <w:r>
        <w:rPr>
          <w:rFonts w:ascii="Arial" w:cs="Arial" w:eastAsia="Arial" w:hAnsi="Arial"/>
          <w:sz w:val="18"/>
          <w:szCs w:val="18"/>
          <w:u w:val="single" w:color="auto"/>
          <w:color w:val="auto"/>
        </w:rPr>
        <w:t>Swing Line Participation Amount</w:t>
      </w:r>
      <w:r>
        <w:rPr>
          <w:rFonts w:ascii="Arial" w:cs="Arial" w:eastAsia="Arial" w:hAnsi="Arial"/>
          <w:sz w:val="18"/>
          <w:szCs w:val="18"/>
          <w:color w:val="auto"/>
        </w:rPr>
        <w:t xml:space="preserve">”) equal to (i) such Revolving Credit Lender’s Revolving Credit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sum of the aggregate principal amount of Swing Line Loans then outstanding which were to have been repaid with such Revolving Credit Loans.</w:t>
      </w:r>
    </w:p>
    <w:p>
      <w:pPr>
        <w:spacing w:after="0" w:line="133" w:lineRule="exact"/>
        <w:rPr>
          <w:rFonts w:ascii="Arial" w:cs="Arial" w:eastAsia="Arial" w:hAnsi="Arial"/>
          <w:sz w:val="18"/>
          <w:szCs w:val="18"/>
          <w:color w:val="auto"/>
        </w:rPr>
      </w:pPr>
    </w:p>
    <w:p>
      <w:pPr>
        <w:ind w:right="120" w:firstLine="464"/>
        <w:spacing w:after="0" w:line="290"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Whenever, at any time after the Swing Line Lender has received from any Revolving Credit Lender such Lender’s Swing Line Participation Amount, the Swing Line Lender receives any payment on account of the Swing Line Loans, the Swing Line Lender will distribute to such Revolving Credit Lender its Swing Line Participation Amount (appropriately adjusted, in the case of interest payments, to reflect the period of time during which such Revolving Credit Lender’s participating interest was outstanding and funded and, in the case of principal and interest payments, to reflect such Revolving Credit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such payment if such payment is not sufficient to pay the principal of and interest on all Swing Line Loans then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such payment received by the Swing Line Lender is required to be returned, such Revolving Credit Lender will return to the Swing Line Lender any portion thereof previously distributed to it by the Swing Line Lender.</w:t>
      </w:r>
    </w:p>
    <w:p>
      <w:pPr>
        <w:spacing w:after="0" w:line="104" w:lineRule="exact"/>
        <w:rPr>
          <w:rFonts w:ascii="Arial" w:cs="Arial" w:eastAsia="Arial" w:hAnsi="Arial"/>
          <w:sz w:val="16"/>
          <w:szCs w:val="16"/>
          <w:color w:val="auto"/>
        </w:rPr>
      </w:pPr>
    </w:p>
    <w:p>
      <w:pPr>
        <w:ind w:left="700" w:hanging="236"/>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Revolving Credit Lender’s obligation to make the Loans referred to in Section 2.7(b) and to purchase participating interests pursuant to</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2.7(c) shall be absolute and unconditional and shall not be affected by any circumstance, including, without limitation, (i) any setoff, counterclaim, recoupment, defense or other right which such Revolving Credit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other Person; (iv) any breach of this Agreement or any other Loan Document by the Borrower or any other Person (including, without limitation, any other Revolving Credit Lender); (v) any reduction or termination of the Commitments; or (vi) any other circumstance, happening or event whatsoever,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similar to any of the foregoing, and each such payment shall be made without any offset, abatement, withholding or reduction whatsoever.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Repayment of Loans; Evidence of Indebtedness</w:t>
      </w:r>
      <w:r>
        <w:rPr>
          <w:rFonts w:ascii="Arial" w:cs="Arial" w:eastAsia="Arial" w:hAnsi="Arial"/>
          <w:sz w:val="16"/>
          <w:szCs w:val="16"/>
          <w:color w:val="auto"/>
        </w:rPr>
        <w:t>. (a) The Borrower hereby unconditionally promises to pay to the Administrative Agent for the account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Swing Line Lender, the appropriate Revolving Credit Lender, the appropriate Term B Loan Lender or the appropriate New Term Loan Lender, as the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 the then unpaid principal amount of each Revolving Credit Loan of such Revolving Credit Lender on the Revolving Credit Termination Date, (ii)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unpaid principal amount of each Swing Line Loan of the Swing Line Lender on the Revolving Credit Termination Date, (iii) the principal amount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B Loan of such Term B Loan Lender in installments according to the amortization schedule set forth in Section 2.2 and the then unpaid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Term B Loan of such Term B Loan Lender on the Term B Loan Termination Date and (iv) in the event any New Term Loans are made,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2.26(e), the principal amount of each New Term Loan of such New Term Loan Lender on the date set forth in the applicable Joinder Agreement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then unpaid principal amount of each New Term Loan on the New Term Loan Termination Date. The Borrower hereby further agrees to pay interest on the unpaid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Loans from time to time outstanding from the date hereof until payment in full thereof at the rates per annum, and on the dates,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Section 2.15.</w:t>
      </w:r>
    </w:p>
    <w:p>
      <w:pPr>
        <w:spacing w:after="0" w:line="151" w:lineRule="exact"/>
        <w:rPr>
          <w:sz w:val="20"/>
          <w:szCs w:val="20"/>
          <w:color w:val="auto"/>
        </w:rPr>
      </w:pPr>
    </w:p>
    <w:p>
      <w:pPr>
        <w:ind w:right="300" w:firstLine="464"/>
        <w:spacing w:after="0" w:line="259"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26" w:lineRule="exact"/>
        <w:rPr>
          <w:rFonts w:ascii="Arial" w:cs="Arial" w:eastAsia="Arial" w:hAnsi="Arial"/>
          <w:sz w:val="18"/>
          <w:szCs w:val="18"/>
          <w:color w:val="auto"/>
        </w:rPr>
      </w:pPr>
    </w:p>
    <w:p>
      <w:pPr>
        <w:jc w:val="both"/>
        <w:ind w:right="20" w:firstLine="464"/>
        <w:spacing w:after="0" w:line="298"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99" w:lineRule="exact"/>
        <w:rPr>
          <w:rFonts w:ascii="Arial" w:cs="Arial" w:eastAsia="Arial" w:hAnsi="Arial"/>
          <w:sz w:val="16"/>
          <w:szCs w:val="16"/>
          <w:color w:val="auto"/>
        </w:rPr>
      </w:pPr>
    </w:p>
    <w:p>
      <w:pPr>
        <w:ind w:firstLine="464"/>
        <w:spacing w:after="0" w:line="323" w:lineRule="auto"/>
        <w:tabs>
          <w:tab w:leader="none" w:pos="705"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The entries made in the Register and the accounts of each Lender maintained pursuant to Section 2.8(b) shall, to the extent permitted by applicable law,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of the existence and amounts of the obligations of the Borrower therein recorded in the absence of manifest error;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of any Lender or the Administrative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84" w:lineRule="exact"/>
        <w:rPr>
          <w:rFonts w:ascii="Arial" w:cs="Arial" w:eastAsia="Arial" w:hAnsi="Arial"/>
          <w:sz w:val="15"/>
          <w:szCs w:val="15"/>
          <w:color w:val="auto"/>
        </w:rPr>
      </w:pPr>
    </w:p>
    <w:p>
      <w:pPr>
        <w:ind w:right="140" w:firstLine="464"/>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Borrower agrees that, upon the request to the Administrative Agent by any Lender, the Borrower will execute and deliver to such Lender a promissory note of the Borrower evidencing any Term Loans, Revolving Credit Loans or Swing Line Loans, as the case may be, of such Lender, substantially in the forms of Exhibit G-1, G-2 or G-3 hereto, respectively, with appropriate insertions as to date and principal amount (such notes, respectively, “</w:t>
      </w:r>
      <w:r>
        <w:rPr>
          <w:rFonts w:ascii="Arial" w:cs="Arial" w:eastAsia="Arial" w:hAnsi="Arial"/>
          <w:sz w:val="18"/>
          <w:szCs w:val="18"/>
          <w:u w:val="single" w:color="auto"/>
          <w:color w:val="auto"/>
        </w:rPr>
        <w:t>Term B Notes</w:t>
      </w:r>
      <w:r>
        <w:rPr>
          <w:rFonts w:ascii="Arial" w:cs="Arial" w:eastAsia="Arial" w:hAnsi="Arial"/>
          <w:sz w:val="18"/>
          <w:szCs w:val="18"/>
          <w:color w:val="auto"/>
        </w:rPr>
        <w:t>”, “</w:t>
      </w:r>
      <w:r>
        <w:rPr>
          <w:rFonts w:ascii="Arial" w:cs="Arial" w:eastAsia="Arial" w:hAnsi="Arial"/>
          <w:sz w:val="18"/>
          <w:szCs w:val="18"/>
          <w:u w:val="single" w:color="auto"/>
          <w:color w:val="auto"/>
        </w:rPr>
        <w:t>Revolving Credit Notes</w:t>
      </w:r>
      <w:r>
        <w:rPr>
          <w:rFonts w:ascii="Arial" w:cs="Arial" w:eastAsia="Arial" w:hAnsi="Arial"/>
          <w:sz w:val="18"/>
          <w:szCs w:val="18"/>
          <w:color w:val="auto"/>
        </w:rPr>
        <w:t>” and “</w:t>
      </w:r>
      <w:r>
        <w:rPr>
          <w:rFonts w:ascii="Arial" w:cs="Arial" w:eastAsia="Arial" w:hAnsi="Arial"/>
          <w:sz w:val="18"/>
          <w:szCs w:val="18"/>
          <w:u w:val="single" w:color="auto"/>
          <w:color w:val="auto"/>
        </w:rPr>
        <w:t>Swing Line Notes</w:t>
      </w:r>
      <w:r>
        <w:rPr>
          <w:rFonts w:ascii="Arial" w:cs="Arial" w:eastAsia="Arial" w:hAnsi="Arial"/>
          <w:sz w:val="18"/>
          <w:szCs w:val="18"/>
          <w:color w:val="auto"/>
        </w:rPr>
        <w:t>”) or, in the case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22" w:name="page123"/>
    <w:bookmarkEnd w:id="12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New Term Loans, a promissory note of the Borrower substantially in the form of the Term B Notes with such changes as may be necessary or appropriate to reflect the terms and provisions of such New Term Loans (such notes, “</w:t>
      </w:r>
      <w:r>
        <w:rPr>
          <w:rFonts w:ascii="Arial" w:cs="Arial" w:eastAsia="Arial" w:hAnsi="Arial"/>
          <w:sz w:val="18"/>
          <w:szCs w:val="18"/>
          <w:u w:val="single" w:color="auto"/>
          <w:color w:val="auto"/>
        </w:rPr>
        <w:t>New Term Notes</w:t>
      </w:r>
      <w:r>
        <w:rPr>
          <w:rFonts w:ascii="Arial" w:cs="Arial" w:eastAsia="Arial" w:hAnsi="Arial"/>
          <w:sz w:val="18"/>
          <w:szCs w:val="18"/>
          <w:color w:val="auto"/>
        </w:rPr>
        <w:t>”).</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Commitment Fees, etc</w:t>
      </w:r>
      <w:r>
        <w:rPr>
          <w:rFonts w:ascii="Arial" w:cs="Arial" w:eastAsia="Arial" w:hAnsi="Arial"/>
          <w:sz w:val="16"/>
          <w:szCs w:val="16"/>
          <w:color w:val="auto"/>
        </w:rPr>
        <w:t>. (a) The Borrower agrees to pay to the Administrative Agent for the account of each Revolving Credit Lender a commitment fee (the “</w:t>
      </w:r>
      <w:r>
        <w:rPr>
          <w:rFonts w:ascii="Arial" w:cs="Arial" w:eastAsia="Arial" w:hAnsi="Arial"/>
          <w:sz w:val="16"/>
          <w:szCs w:val="16"/>
          <w:u w:val="single" w:color="auto"/>
          <w:color w:val="auto"/>
        </w:rPr>
        <w:t>Revolving Commitment Fee</w:t>
      </w:r>
      <w:r>
        <w:rPr>
          <w:rFonts w:ascii="Arial" w:cs="Arial" w:eastAsia="Arial" w:hAnsi="Arial"/>
          <w:sz w:val="16"/>
          <w:szCs w:val="16"/>
          <w:color w:val="auto"/>
        </w:rPr>
        <w:t xml:space="preserve">”) for the period from and including the Amended and Restated Effective Date to the last day of the Revolving Credit Commitment Period, computed at the Revolving Commitment Fee Rate on the average daily amount of the Available Revolving Credit Commitment of such Lender during the period for which payment is made, payable quarterly in arrears on the last day of each March, June, September and December and on the Revolving Credit Termination Date, commencing on the first of such dates to occur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Revolving Commitment Fee accrued with respect to any of the Revolving Credit Commitments of a Defaulting Lender during the period prior to the time such Lender became a Defaulting Lender and unpaid at such time shall not be payable by the Borrower so long as such Lender shall be a Defaulting Lender, except to the extent that such Revolving Commitment Fee shall otherwise have been due and payable by the Borrower prior to such time;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Revolving Commitment Fee shall accrue on any of the Revolving Credit Commitments of a Defaulting Lender so long as such Lender shall be a Defaulting Lender.</w:t>
      </w:r>
    </w:p>
    <w:p>
      <w:pPr>
        <w:spacing w:after="0" w:line="106"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right="160" w:firstLine="464"/>
        <w:spacing w:after="0" w:line="332"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71" w:lineRule="exact"/>
        <w:rPr>
          <w:rFonts w:ascii="Arial" w:cs="Arial" w:eastAsia="Arial" w:hAnsi="Arial"/>
          <w:sz w:val="16"/>
          <w:szCs w:val="16"/>
          <w:color w:val="auto"/>
        </w:rPr>
      </w:pPr>
    </w:p>
    <w:p>
      <w:pPr>
        <w:ind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Termination or Reduction of Revolving Credit Commitments</w:t>
      </w:r>
      <w:r>
        <w:rPr>
          <w:rFonts w:ascii="Arial" w:cs="Arial" w:eastAsia="Arial" w:hAnsi="Arial"/>
          <w:sz w:val="16"/>
          <w:szCs w:val="16"/>
          <w:color w:val="auto"/>
        </w:rPr>
        <w:t xml:space="preserve">. The Borrower shall have the right, upon not less than three Business Days’ notice to the Administrative Agent, to terminate the Revolving Credit Commitments or, from time to time, to reduce the amount of the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termination or reduction of Revolving Credit Commitments shall be permitted if after giving effect thereto and to any prepayments of the Revolving Credit Loans and Swing Line Loans made on the effective date thereof (a) the Total Revolving Extensions of Credit would exceed the Total Revolving Credit Commitments or (b) if prior to the Phase II Final Completion Date, the Project shall not be In Balance. Any such reduction shall be in an amount equal to $5,000,000, or a whole multiple thereof (or, if less, shall reduce the Revolving Credit Commitments to zero), and shall reduce permanently the Revolving Credit Commitments then in effect. The Borrower shall not reduce the amount of the Term Loan Commitments.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23" w:name="page124"/>
    <w:bookmarkEnd w:id="123"/>
    <w:p>
      <w:pPr>
        <w:jc w:val="both"/>
        <w:ind w:right="80"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2.11 </w:t>
      </w:r>
      <w:r>
        <w:rPr>
          <w:rFonts w:ascii="Arial" w:cs="Arial" w:eastAsia="Arial" w:hAnsi="Arial"/>
          <w:sz w:val="15"/>
          <w:szCs w:val="15"/>
          <w:u w:val="single" w:color="auto"/>
          <w:color w:val="auto"/>
        </w:rPr>
        <w:t>Optional Prepayments</w:t>
      </w:r>
      <w:r>
        <w:rPr>
          <w:rFonts w:ascii="Arial" w:cs="Arial" w:eastAsia="Arial" w:hAnsi="Arial"/>
          <w:sz w:val="15"/>
          <w:szCs w:val="15"/>
          <w:color w:val="auto"/>
        </w:rPr>
        <w:t>. The Borrower may at any time and from time to time prepay the Loans, in whole or in part, without premium or penalty, 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Loans and/or Term Loans and</w:t>
      </w:r>
    </w:p>
    <w:p>
      <w:pPr>
        <w:spacing w:after="0" w:line="1" w:lineRule="exact"/>
        <w:rPr>
          <w:sz w:val="20"/>
          <w:szCs w:val="20"/>
          <w:color w:val="auto"/>
        </w:rPr>
      </w:pPr>
    </w:p>
    <w:p>
      <w:pPr>
        <w:ind w:firstLine="8"/>
        <w:spacing w:after="0" w:line="288"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specify the date and amount of prepayment and whether the prepayment is of Eurodollar Loans or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Loans (unless all Revolving Credit Loans are being repaid and the Revolving Credit Commitments terminated) that are Base Rate Loans and Swing Line Loans) accrued interest to such date on the amount prepaid. Partial prepayments of Term Loans and Revolving Credit Loans shall be in an aggregate principal amount of $5,000,000 or a whole multiple in excess thereof. Partial prepayments of Swing Line Loans shall be in an aggregate principal amount of $100,000 or a whole multiple in excess thereof.</w:t>
      </w:r>
    </w:p>
    <w:p>
      <w:pPr>
        <w:spacing w:after="0" w:line="10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Mandatory Prepayments and Commitment Reductions</w:t>
      </w:r>
      <w:r>
        <w:rPr>
          <w:rFonts w:ascii="Arial" w:cs="Arial" w:eastAsia="Arial" w:hAnsi="Arial"/>
          <w:sz w:val="18"/>
          <w:szCs w:val="18"/>
          <w:color w:val="auto"/>
        </w:rPr>
        <w:t>. (a) If any Indebtedness shall be incurred by the Borrower or any of the other Loan Parties (excluding any Indebtedness permitted by Section 7.2 (other than with respect to subsection (i) thereof)), an amount equal to 100% of the Net Cash Proceeds thereof shall be applied within one Business Day of receipt by such Person of such Net Cash Proceeds toward the prepayment of the Obligations in accordance with Section 2.12(g).</w:t>
      </w:r>
    </w:p>
    <w:p>
      <w:pPr>
        <w:spacing w:after="0" w:line="49" w:lineRule="exact"/>
        <w:rPr>
          <w:sz w:val="20"/>
          <w:szCs w:val="20"/>
          <w:color w:val="auto"/>
        </w:rPr>
      </w:pPr>
    </w:p>
    <w:p>
      <w:pPr>
        <w:ind w:left="460" w:firstLine="443"/>
        <w:spacing w:after="0" w:line="289"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 With respect to the Net Cash Proceeds from any Asset Sale as to which the Borrower or any other Loan Party making such Asset Sale has not delivered a Reinvestment Notice within the period required therefor in the definition thereof, the Facility Proportionate Share of such Net Cash Proceeds (or portion thereof not subject to such a Reinvestment Notice) shall be applied, within two Business Days of the expiration of the aforesaid required period for delivery of a Reinvestment Notice with respect to such Asset Sale, toward the prepayment of the Obligations in accordance with Section 2.12(g);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(A) the aggregate Net Cash Proceeds of Asset Sales that may be excluded from the foregoing prepayment requirement pursuant to a Reinvestment Notice shall not exceed $25,000,000 in any Fiscal Year and (B) on each Reinvestment Prepayment Date, an amount equal to the Facility Proportionate Share of the Reinvestment Prepayment Amount with respect to the relevant Reinvestment Event shall be applied toward the prepayment of the Obligations in accordance with Section 2.12(g).</w:t>
      </w:r>
    </w:p>
    <w:p>
      <w:pPr>
        <w:spacing w:after="0" w:line="24" w:lineRule="exact"/>
        <w:rPr>
          <w:sz w:val="20"/>
          <w:szCs w:val="20"/>
          <w:color w:val="auto"/>
        </w:rPr>
      </w:pPr>
    </w:p>
    <w:p>
      <w:pPr>
        <w:ind w:left="460" w:right="20" w:firstLine="443"/>
        <w:spacing w:after="0" w:line="298" w:lineRule="auto"/>
        <w:tabs>
          <w:tab w:leader="none" w:pos="1157"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the Net Cash Proceeds from any Disposition of Property (other than any Asset Sale with respect to which a prepayment is required to be made pursuant to Section 2.12(b)(i)) that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24" w:name="page125"/>
    <w:bookmarkEnd w:id="124"/>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Facility Proportionate Share of such Net Cash Proceeds shall be applied, within one Business Day of the date any of such Net Cash Proceeds are required to be so applied (or offered to be so applied) to any First Lien Secured Obligations, toward the prepayment of the Obligations in accordance with Section 2.12(g).</w:t>
      </w:r>
    </w:p>
    <w:p>
      <w:pPr>
        <w:spacing w:after="0" w:line="46" w:lineRule="exact"/>
        <w:rPr>
          <w:sz w:val="20"/>
          <w:szCs w:val="20"/>
          <w:color w:val="auto"/>
        </w:rPr>
      </w:pPr>
    </w:p>
    <w:p>
      <w:pPr>
        <w:ind w:left="460" w:firstLine="443"/>
        <w:spacing w:after="0" w:line="291" w:lineRule="auto"/>
        <w:tabs>
          <w:tab w:leader="none" w:pos="12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event any Net Cash Proceeds from any Asset Sale are not applied toward the prepayment of the Obligations pursuant to Section 2.12(b)(i) as a result of not being deemed part of the “Facility Proportionate Share” of such Net Cash Proceeds and such amounts are not applied to the prepayment and permanent reduction of First Lien Secured Obligations for any reason whatsoever (including the failure of any holder of such First Lien Secured Obligations to accept an offer of prepayment) within 60 days of the application of the Facility Proportionate Share of such Net Cash Proceeds toward the prepayment of the Obligations pursuant to Section 2.12(b)(i), then such amounts shall, on the last day of such 60-day period, be applied toward the prepayment of the Obligations in accordance with Section 2.12(g).</w:t>
      </w:r>
    </w:p>
    <w:p>
      <w:pPr>
        <w:spacing w:after="0" w:line="106" w:lineRule="exact"/>
        <w:rPr>
          <w:rFonts w:ascii="Arial" w:cs="Arial" w:eastAsia="Arial" w:hAnsi="Arial"/>
          <w:sz w:val="16"/>
          <w:szCs w:val="16"/>
          <w:color w:val="auto"/>
        </w:rPr>
      </w:pPr>
    </w:p>
    <w:p>
      <w:pPr>
        <w:ind w:firstLine="464"/>
        <w:spacing w:after="0" w:line="301" w:lineRule="auto"/>
        <w:tabs>
          <w:tab w:leader="none" w:pos="695"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 later than (i) two Business Days following the date on which Loss Proceeds are required to be applied to the prepayment of Obligations under Section 5.14 of the Disbursement Agreement, (ii) two Business Days following the date on which Insurance Proceeds and/or Eminent Domain Proceeds are required to be applied to the prepayment of the Obligations pursuant to Section 2.24 or (iii) unless the Borrower otherwise notifies the Administrative Agent in writing within such two Business Day period that such Liquidated Damages have been allocated for future application toward Project Costs, two Business Days following the date on which any Loan Party receives Liquidated Damages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(iii) shall be net of reasonable amounts that such Loan Party anticipates to incur in connection with such remedy (such amounts, the “</w:t>
      </w:r>
      <w:r>
        <w:rPr>
          <w:rFonts w:ascii="Arial" w:cs="Arial" w:eastAsia="Arial" w:hAnsi="Arial"/>
          <w:sz w:val="15"/>
          <w:szCs w:val="15"/>
          <w:u w:val="single" w:color="auto"/>
          <w:color w:val="auto"/>
        </w:rPr>
        <w:t>Reinvested Amounts</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the event such Loan Party has not expended any Reinvested Amounts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 Liquidated Damages, such non-expended amounts shall be applied on the second Business Day following such sixth-month or twelve-month, as the case may be, anniversary date toward the prepayment of the Obligations in accordance with Section 2.12(g)), the Borrower shall apply such funds toward the prepayment of the Obligations in accordance with</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2.12(g).</w:t>
      </w:r>
    </w:p>
    <w:p>
      <w:pPr>
        <w:spacing w:after="0" w:line="151" w:lineRule="exact"/>
        <w:rPr>
          <w:rFonts w:ascii="Arial" w:cs="Arial" w:eastAsia="Arial" w:hAnsi="Arial"/>
          <w:sz w:val="15"/>
          <w:szCs w:val="15"/>
          <w:color w:val="auto"/>
        </w:rPr>
      </w:pPr>
    </w:p>
    <w:p>
      <w:pPr>
        <w:jc w:val="both"/>
        <w:ind w:right="220" w:firstLine="464"/>
        <w:spacing w:after="0" w:line="255"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in which the Phase II Opening Date occurs, there shall be Excess Cash Flow, the Borrower shall, and shall cause the applicable Loan Parties to, on the relevant Excess Cash Flow Application Date, apply the ECF Percentage of such Excess Cash Flow toward the prepayment of the Obligations in accordance with Section 2.12(g). Each such prepayment and commitment reduction shall be made on a date (an “</w:t>
      </w:r>
      <w:r>
        <w:rPr>
          <w:rFonts w:ascii="Arial" w:cs="Arial" w:eastAsia="Arial" w:hAnsi="Arial"/>
          <w:sz w:val="18"/>
          <w:szCs w:val="18"/>
          <w:u w:val="single" w:color="auto"/>
          <w:color w:val="auto"/>
        </w:rPr>
        <w:t>Excess Cash Flow Application Date</w:t>
      </w:r>
      <w:r>
        <w:rPr>
          <w:rFonts w:ascii="Arial" w:cs="Arial" w:eastAsia="Arial" w:hAnsi="Arial"/>
          <w:sz w:val="18"/>
          <w:szCs w:val="18"/>
          <w:color w:val="auto"/>
        </w:rPr>
        <w:t>”) no later than five Business Days after the earlier of (i) the date on which the financial statements of the Loan Parties referred to in Section 6.1(a), for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80" w:right="299" w:bottom="1440" w:gutter="0" w:footer="0" w:header="0"/>
        </w:sectPr>
      </w:pPr>
    </w:p>
    <w:bookmarkStart w:id="125" w:name="page126"/>
    <w:bookmarkEnd w:id="12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Fiscal Year with respect to which such prepayment is made, are required to be delivered to the Lenders and (ii) the date such financial statements are actually delivered.</w:t>
      </w:r>
    </w:p>
    <w:p>
      <w:pPr>
        <w:spacing w:after="0" w:line="118"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firstLine="464"/>
        <w:spacing w:after="0" w:line="304" w:lineRule="auto"/>
        <w:tabs>
          <w:tab w:leader="none" w:pos="7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Subject to Section 2.18, amounts to be applied to the prepayment of the Obligations pursuant to this Section 2.12 shall be applied,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prepayment of the Term Loans,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reduce permanently the Revolving Credit Commitments and,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the Borrower or such other Person as shall be lawfully entitled thereto. Any reduction of the Revolving Credit Commitments in accordance with the foregoing shall be accompanied by prepayment of the Revolving Credit Loans and/or Swing Line Loans to the extent, if any, that the Total Revolving Extensions of Credit exceed the amount of the Total Revolving Credit Commitments as so reduced,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aggregate principal amount of Revolving Credit Loans and Swing Line Loans then outstanding is less than the amount of the Total Revolving Credit Commitments as so reduced (because L/C Obligations constitute a portion thereof), the Borrower shall, to the extent of the balance of such excess, replace outstanding Letters of Credit and/or deposit an amount in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 continuing first priority security interest (subject to no other Liens)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amount of such excess over (b) the total amount of funds, if any, then held in such cash collateral account that the Administrative Agent determines to be free and clear of any such right and claim. The application of any prepayment pursuant to Section 2.11 and this Section 2.12 shall be made,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Base Rate Loans and, </w:t>
      </w:r>
      <w:r>
        <w:rPr>
          <w:rFonts w:ascii="Arial" w:cs="Arial" w:eastAsia="Arial" w:hAnsi="Arial"/>
          <w:sz w:val="15"/>
          <w:szCs w:val="15"/>
          <w:u w:val="single" w:color="auto"/>
          <w:color w:val="auto"/>
        </w:rPr>
        <w:t>second</w:t>
      </w:r>
      <w:r>
        <w:rPr>
          <w:rFonts w:ascii="Arial" w:cs="Arial" w:eastAsia="Arial" w:hAnsi="Arial"/>
          <w:sz w:val="15"/>
          <w:szCs w:val="15"/>
          <w:color w:val="auto"/>
        </w:rPr>
        <w:t>, to Eurodollar Loans. Each prepayment of the Loans under Section 2.11 and this Section 2.12 (except in the case of Revolving Credit Loans (unless the Revolving Credit Loans are being repaid in full and the Revolving Credit Commitments terminated) that are Base Rate Loans and Swing Line Loans) shall be accompanied by accrued interest to the date of such prepayment to the applicable Lender on the amount prepaid.</w:t>
      </w:r>
    </w:p>
    <w:p>
      <w:pPr>
        <w:spacing w:after="0" w:line="3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Borrower may elect from time to time to convert Eurodollar Loans to Base Rate Loans by giving the Administrative Agent at least two Business Days’ prior irrevocable notice of such election (which notice may be given by telephone confirmed promptly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Administrative Agent at least three Business Days’ prior irrevocable notice of such election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126" w:name="page127"/>
    <w:bookmarkEnd w:id="12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(which notice shall specify the length of the initial Interest Period therefore and may be given by telephone confirmed promptly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Base Rate Loan under a particular Facility may be converted into a Eurodollar Loan (i) when any Event of Default has occurred and is continuing and the Administrative Agent or the Required Facility Lenders in respect of such Facility have determined in its or their sole discretion not to permit such conversions or</w:t>
      </w:r>
    </w:p>
    <w:p>
      <w:pPr>
        <w:spacing w:after="0" w:line="1" w:lineRule="exact"/>
        <w:rPr>
          <w:sz w:val="20"/>
          <w:szCs w:val="20"/>
          <w:color w:val="auto"/>
        </w:rPr>
      </w:pPr>
    </w:p>
    <w:p>
      <w:pPr>
        <w:ind w:right="200" w:firstLine="8"/>
        <w:spacing w:after="0" w:line="261" w:lineRule="auto"/>
        <w:tabs>
          <w:tab w:leader="none" w:pos="2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after the date that is one month prior to the final scheduled termination or maturity date of such Facility. Upon receipt of any such notice the Administrative Agent shall promptly notify each relevant Lender thereof.</w:t>
      </w:r>
    </w:p>
    <w:p>
      <w:pPr>
        <w:spacing w:after="0" w:line="124" w:lineRule="exact"/>
        <w:rPr>
          <w:rFonts w:ascii="Arial" w:cs="Arial" w:eastAsia="Arial" w:hAnsi="Arial"/>
          <w:sz w:val="18"/>
          <w:szCs w:val="18"/>
          <w:color w:val="auto"/>
        </w:rPr>
      </w:pPr>
    </w:p>
    <w:p>
      <w:pPr>
        <w:ind w:right="40" w:firstLine="464"/>
        <w:spacing w:after="0" w:line="288"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Eurodollar Loan may be continued as such upon the expiration of the then current Interest Period with respect thereto by the Borrower giving irrevocable notice to the Administrative Agent (which notice may be given by telephone confirmed promptly in writing),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under a particular Facility may be continued as such (i) when any Event of Default has occurred and is continuing and the Administrative Agent has or the Required Facility Lenders in respect of such Facility have determined in its or their sole discretion not to permit such continuations or (ii) after the date that is one month prior to the final scheduled termination or maturity date of such Facility,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Upon receipt of any such notice the Administrative Agent shall promptly notify each relevant Lender thereof.</w:t>
      </w:r>
    </w:p>
    <w:p>
      <w:pPr>
        <w:spacing w:after="0" w:line="10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Minimum Amounts and Maximum Number of Eurodollar Tranches</w:t>
      </w:r>
      <w:r>
        <w:rPr>
          <w:rFonts w:ascii="Arial" w:cs="Arial" w:eastAsia="Arial" w:hAnsi="Arial"/>
          <w:sz w:val="18"/>
          <w:szCs w:val="18"/>
          <w:color w:val="auto"/>
        </w:rPr>
        <w:t>. Notwithstanding anything to the contrary in this Agreement, all borrowings, conversions, continuations and optional prepayments of Eurodollar Loans hereunder and all selections of Interest Periods hereunder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18" w:lineRule="exact"/>
        <w:rPr>
          <w:sz w:val="20"/>
          <w:szCs w:val="20"/>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Base Rate Loan shall bear interest at a rate per annum equal to the Base Rate plus the Applicable Margin.</w:t>
      </w:r>
    </w:p>
    <w:p>
      <w:pPr>
        <w:spacing w:after="0" w:line="76" w:lineRule="exact"/>
        <w:rPr>
          <w:rFonts w:ascii="Arial" w:cs="Arial" w:eastAsia="Arial" w:hAnsi="Arial"/>
          <w:sz w:val="18"/>
          <w:szCs w:val="18"/>
          <w:color w:val="auto"/>
        </w:rPr>
      </w:pPr>
    </w:p>
    <w:p>
      <w:pPr>
        <w:ind w:firstLine="464"/>
        <w:spacing w:after="0" w:line="255"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 If all or a portion of the principal amount of any Loan or Reimbursement Obligation shall not be paid when due (whether at the stated maturity, by 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 or (y) in the case of Reimbursement Obligations, the rate applicable to Base Rate Loans under the Revolving Credit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27" w:name="page128"/>
    <w:bookmarkEnd w:id="12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(or, in the case of any such other amounts that do not relate to a particular Facility, the rate then applicable to Base Rate Loans under the Revolving Credit 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in each case, with respect to subsections (i) and (ii) above, from the date of such nonpayment until such amount is paid in full (after as well as before judgment) or so long as such Event of Default is continuing.</w:t>
      </w:r>
    </w:p>
    <w:p>
      <w:pPr>
        <w:spacing w:after="0" w:line="107" w:lineRule="exact"/>
        <w:rPr>
          <w:sz w:val="20"/>
          <w:szCs w:val="20"/>
          <w:color w:val="auto"/>
        </w:rPr>
      </w:pPr>
    </w:p>
    <w:p>
      <w:pPr>
        <w:ind w:right="36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(c) of this Section shall be payable from time to time on demand.</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Interest, fees and commissions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34" w:lineRule="exact"/>
        <w:rPr>
          <w:sz w:val="20"/>
          <w:szCs w:val="20"/>
          <w:color w:val="auto"/>
        </w:rPr>
      </w:pPr>
    </w:p>
    <w:p>
      <w:pPr>
        <w:ind w:right="80" w:firstLine="464"/>
        <w:spacing w:after="0" w:line="306"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w:t>
      </w:r>
    </w:p>
    <w:p>
      <w:pPr>
        <w:spacing w:after="0" w:line="158" w:lineRule="exact"/>
        <w:rPr>
          <w:sz w:val="20"/>
          <w:szCs w:val="20"/>
          <w:color w:val="auto"/>
        </w:rPr>
      </w:pPr>
    </w:p>
    <w:p>
      <w:pPr>
        <w:ind w:right="660" w:firstLine="464"/>
        <w:spacing w:after="0" w:line="370" w:lineRule="auto"/>
        <w:tabs>
          <w:tab w:leader="none" w:pos="695"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48" w:lineRule="exact"/>
        <w:rPr>
          <w:rFonts w:ascii="Arial" w:cs="Arial" w:eastAsia="Arial" w:hAnsi="Arial"/>
          <w:sz w:val="15"/>
          <w:szCs w:val="15"/>
          <w:color w:val="auto"/>
        </w:rPr>
      </w:pPr>
    </w:p>
    <w:p>
      <w:pPr>
        <w:ind w:right="60" w:firstLine="464"/>
        <w:spacing w:after="0" w:line="259"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128" w:name="page129"/>
    <w:bookmarkEnd w:id="128"/>
    <w:p>
      <w:pPr>
        <w:ind w:right="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w:t>
      </w:r>
    </w:p>
    <w:p>
      <w:pPr>
        <w:ind w:firstLine="8"/>
        <w:spacing w:after="0" w:line="290"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 If the Borrower receives such notice from the Administrative Agent prior to the first day of an Interest Period with respect to new Loans to be made on such day, the Borrower shall have the right to withdraw such related Notice of Borrowing and have no liability under Section 2.21.</w:t>
      </w:r>
    </w:p>
    <w:p>
      <w:pPr>
        <w:spacing w:after="0" w:line="10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xml:space="preserve">. (a) Each borrowing by the Borrower from the Lenders hereunder, each payment by the Borrower on account of any commitment fee and any reduction of the Commitments of the Lenders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Term B Loan Percentages, New Term Loan Percentages with respect to a Series of New Term Loans or Revolving Credit Percentages, as the case may be, of the relevant Lenders. Subject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Section 2.18(c), each payment (other than prepayments) in respect of principal or interest in respect of the Loans, and each payment in respect of fees or expenses payable hereunder shall be applied to the amounts of such obligations owing to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amounts then due and owing to the Lenders. The application of any mandatory prepayment pursuant to this Section 2.18 shall be made,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Base Rate Loans and, </w:t>
      </w:r>
      <w:r>
        <w:rPr>
          <w:rFonts w:ascii="Arial" w:cs="Arial" w:eastAsia="Arial" w:hAnsi="Arial"/>
          <w:sz w:val="18"/>
          <w:szCs w:val="18"/>
          <w:u w:val="single" w:color="auto"/>
          <w:color w:val="auto"/>
        </w:rPr>
        <w:t>second</w:t>
      </w:r>
      <w:r>
        <w:rPr>
          <w:rFonts w:ascii="Arial" w:cs="Arial" w:eastAsia="Arial" w:hAnsi="Arial"/>
          <w:sz w:val="18"/>
          <w:szCs w:val="18"/>
          <w:color w:val="auto"/>
        </w:rPr>
        <w:t>, to Eurodollar Loans.</w:t>
      </w:r>
    </w:p>
    <w:p>
      <w:pPr>
        <w:spacing w:after="0" w:line="130" w:lineRule="exact"/>
        <w:rPr>
          <w:sz w:val="20"/>
          <w:szCs w:val="20"/>
          <w:color w:val="auto"/>
        </w:rPr>
      </w:pPr>
    </w:p>
    <w:p>
      <w:pPr>
        <w:ind w:firstLine="464"/>
        <w:spacing w:after="0" w:line="298"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of Term Loans shall be allocated among the Term Loan Lenders holding such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principal amount of such Term Loans held by such Term Loan Lenders, and shall be applied to the installments of such Term Loans (provided that the final payment of Term Loans on the Term Loan Termination Date shall be treated as an “installment” for purposes of this subsection (b))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 remaining outstanding principal amount of such installments. Amounts prepaid on account of the Term Loans may not be reborrowed.</w:t>
      </w:r>
    </w:p>
    <w:p>
      <w:pPr>
        <w:spacing w:after="0" w:line="99" w:lineRule="exact"/>
        <w:rPr>
          <w:rFonts w:ascii="Arial" w:cs="Arial" w:eastAsia="Arial" w:hAnsi="Arial"/>
          <w:sz w:val="16"/>
          <w:szCs w:val="16"/>
          <w:color w:val="auto"/>
        </w:rPr>
      </w:pPr>
    </w:p>
    <w:p>
      <w:pPr>
        <w:ind w:firstLine="464"/>
        <w:spacing w:after="0" w:line="306"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Borrower on account of principal of and interest on the Revolving Credit Loans shall be made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according to the respective outstanding principal amounts of the Revolving Credit Loans then held by the Revolving Credit Lenders. Each payment in respect of Reimbursement Obligations in connection with any Letter of Credit shall be made to the Issuing Lender.</w:t>
      </w:r>
    </w:p>
    <w:p>
      <w:pPr>
        <w:spacing w:after="0" w:line="93" w:lineRule="exact"/>
        <w:rPr>
          <w:rFonts w:ascii="Arial" w:cs="Arial" w:eastAsia="Arial" w:hAnsi="Arial"/>
          <w:sz w:val="16"/>
          <w:szCs w:val="16"/>
          <w:color w:val="auto"/>
        </w:rPr>
      </w:pPr>
    </w:p>
    <w:p>
      <w:pPr>
        <w:ind w:firstLine="464"/>
        <w:spacing w:after="0" w:line="255"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 2.20, 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29" w:name="page130"/>
    <w:bookmarkEnd w:id="12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29" w:lineRule="exact"/>
        <w:rPr>
          <w:sz w:val="20"/>
          <w:szCs w:val="20"/>
          <w:color w:val="auto"/>
        </w:rPr>
      </w:pPr>
    </w:p>
    <w:p>
      <w:pPr>
        <w:ind w:firstLine="464"/>
        <w:spacing w:after="0" w:line="28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Base Rate Loans under the relevant Facility, on demand, from the Borrower.</w:t>
      </w:r>
    </w:p>
    <w:p>
      <w:pPr>
        <w:spacing w:after="0" w:line="106" w:lineRule="exact"/>
        <w:rPr>
          <w:rFonts w:ascii="Arial" w:cs="Arial" w:eastAsia="Arial" w:hAnsi="Arial"/>
          <w:sz w:val="16"/>
          <w:szCs w:val="16"/>
          <w:color w:val="auto"/>
        </w:rPr>
      </w:pPr>
    </w:p>
    <w:p>
      <w:pPr>
        <w:ind w:right="240" w:firstLine="464"/>
        <w:spacing w:after="0" w:line="290" w:lineRule="auto"/>
        <w:tabs>
          <w:tab w:leader="none" w:pos="6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Requirements of Law</w:t>
      </w:r>
      <w:r>
        <w:rPr>
          <w:rFonts w:ascii="Arial" w:cs="Arial" w:eastAsia="Arial" w:hAnsi="Arial"/>
          <w:sz w:val="16"/>
          <w:szCs w:val="16"/>
          <w:color w:val="auto"/>
        </w:rPr>
        <w:t>. (a) Subject to the provisions of Section 2.20 (which shall be controlling with respect to the matters covered thereby),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2" w:lineRule="exact"/>
        <w:rPr>
          <w:sz w:val="20"/>
          <w:szCs w:val="20"/>
          <w:color w:val="auto"/>
        </w:rPr>
      </w:pPr>
    </w:p>
    <w:p>
      <w:pPr>
        <w:ind w:left="460" w:right="200" w:firstLine="443"/>
        <w:spacing w:after="0" w:line="268"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80" w:right="299" w:bottom="1440" w:gutter="0" w:footer="0" w:header="0"/>
        </w:sectPr>
      </w:pPr>
    </w:p>
    <w:bookmarkStart w:id="130" w:name="page131"/>
    <w:bookmarkEnd w:id="130"/>
    <w:p>
      <w:pPr>
        <w:ind w:left="900" w:right="900" w:hanging="437"/>
        <w:spacing w:after="0" w:line="3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acquisition of funds by, any office of such Lender that is not otherwise included in the determination of the Eurodollar Rate hereunder; or (ii) shall impose on such Lender any other condition;</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upon receipt by the Borrower of the notice described in the last sentence of this paragraph, the Borrower shall promptly pay such Lender any additional amounts necessary to compensate such Lender on an after-tax basis for such increased cost or reduced amount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subsection (a) for any increased costs or reduced amounts receivable from more than six months prior to the date on which such Lender notified the Borrower of such Lender’s intention to claim compensation therefor;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circumstances giving rise to such claim have a retroactive effect, then such six-month period shall be extended to include the period of such retroactive effect.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09" w:lineRule="exact"/>
        <w:rPr>
          <w:sz w:val="20"/>
          <w:szCs w:val="20"/>
          <w:color w:val="auto"/>
        </w:rPr>
      </w:pPr>
    </w:p>
    <w:p>
      <w:pPr>
        <w:ind w:firstLine="464"/>
        <w:spacing w:after="0" w:line="28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subsection (b) for any amounts incurred more than six months prior to the date on which such Lender notified the Borrower of such Lender’s intention to claim compensation therefor;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circumstances giving rise to such claim have a retroactive effect, then such six-month period shall be extended to include the period of such retroactive effect.</w:t>
      </w:r>
    </w:p>
    <w:p>
      <w:pPr>
        <w:spacing w:after="0" w:line="113" w:lineRule="exact"/>
        <w:rPr>
          <w:rFonts w:ascii="Arial" w:cs="Arial" w:eastAsia="Arial" w:hAnsi="Arial"/>
          <w:sz w:val="16"/>
          <w:szCs w:val="16"/>
          <w:color w:val="auto"/>
        </w:rPr>
      </w:pPr>
    </w:p>
    <w:p>
      <w:pPr>
        <w:ind w:firstLine="464"/>
        <w:spacing w:after="0" w:line="306"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131" w:name="page132"/>
    <w:bookmarkEnd w:id="13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2.20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the Borrower or any Guarantor under this Agreement or any other Loan Document shall be made free and clear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and without deduction or withholding for or on account of, any present or future income, stamp or other taxes, levies, imposts, duties, charges, fees, deductions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withholdings, now or hereafter imposed, levied, collected, withheld or assessed by any Governmental Authority, other than Excluded Taxes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Non-Excluded Taxes</w:t>
      </w:r>
      <w:r>
        <w:rPr>
          <w:rFonts w:ascii="Arial" w:cs="Arial" w:eastAsia="Arial" w:hAnsi="Arial"/>
          <w:sz w:val="16"/>
          <w:szCs w:val="16"/>
          <w:color w:val="auto"/>
        </w:rPr>
        <w:t>”). If any such Non-Excluded Taxes are required to be withheld from any amounts payable to any Arranger, any Agent, any Manager or 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Lender hereunder, the amounts so payable to such Arranger, such Agent, such Manager or such Lender shall be increased to the extent necessary to yield to such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Arranger, such Agent, such Manager or such Lender (after payment of all Non-Excluded Taxes) interest or any such other amounts that would have been received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hereunder or under any other Loan Document had such withholding not been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 Guarantor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increase any such amounts payable to any Arranger, any Agent, any Manager or any Lender with respect to any Non-Excluded Taxes (i) that are</w:t>
      </w:r>
    </w:p>
    <w:p>
      <w:pPr>
        <w:spacing w:after="0" w:line="3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attributable to such Arranger’s, such Agent’s, such Manager’s or such Lender’s failure to comply with the requirements of subsection (f) or (g) of this Section 2.20, or (ii) that are withholding taxes imposed on amounts payable to such Arranger, such Agent, such Manager or such Lender at the time such Arranger, such Agent, such Manager or such Lender becomes a party to this Agreement. The Borrower or the applicable Guarantor shall make any such required withholding and pay the full amount withheld to the relevant tax authority or other Governmental Authority in accordance with applicable Requirements of Law.</w:t>
      </w:r>
    </w:p>
    <w:p>
      <w:pPr>
        <w:spacing w:after="0" w:line="102" w:lineRule="exact"/>
        <w:rPr>
          <w:sz w:val="20"/>
          <w:szCs w:val="20"/>
          <w:color w:val="auto"/>
        </w:rPr>
      </w:pPr>
    </w:p>
    <w:p>
      <w:pPr>
        <w:ind w:firstLine="464"/>
        <w:spacing w:after="0" w:line="287"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any Arranger, Agent, Manager or Lender, as applicable, receives a refund, credit or other tax benefit for which a payment has been made by the Borrower or any Guarantor pursuant to this Section 2.20, which refund, credit or other tax benefit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credit or other tax benefit as will leave it, after such reimbursement, in the same position it would have been in if the payment of such tax and any payment by the Borrower or such Guarantor under this Section 2.20 had not been made. In addition, upon the Borrower’s reasonable request each Arranger, Agent, Manager and Lender, as applicable, shall use its reasonable efforts to pursue any available refund, credit or other tax benefit that, in the reasonable and good faith determination of such Arranger, Agent, Manager or Lender, as applicable, is attributable to any tax with respect to which the Borrower or any Guarantor has made a payment pursuant to this Agreement, and shall remit immediately available funds to the Borrower in an amount equal to any such refund, credit or other tax benefit (including any interest received thereon).</w:t>
      </w:r>
    </w:p>
    <w:p>
      <w:pPr>
        <w:spacing w:after="0" w:line="109" w:lineRule="exact"/>
        <w:rPr>
          <w:rFonts w:ascii="Arial" w:cs="Arial" w:eastAsia="Arial" w:hAnsi="Arial"/>
          <w:sz w:val="16"/>
          <w:szCs w:val="16"/>
          <w:color w:val="auto"/>
        </w:rPr>
      </w:pPr>
    </w:p>
    <w:p>
      <w:pPr>
        <w:jc w:val="both"/>
        <w:ind w:right="220" w:firstLine="464"/>
        <w:spacing w:after="0" w:line="259"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subsection (f) below, the Borrower shall indemnify each Arranger, each Agent, each Manager and each Lender for the full amount of Non-Excluded Taxes to the extent payable but not paid by the Borrower or any Guarantor pursuant to Section 2.20(a) and paid by such Arranger, Agent, Manager or Lender or any of their respective Affiliates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32" w:name="page133"/>
    <w:bookmarkEnd w:id="132"/>
    <w:p>
      <w:pPr>
        <w:ind w:right="1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limitation, any Non-Excluded Taxes imposed by any Governmental Authority on amounts payable under Section 2.20(a) or this Section 2.20(c) and any penalties, additions to tax interest and related expenses attributable to such Non-Excluded Taxes). Payment under this indemnification shall be made within ten</w:t>
      </w:r>
    </w:p>
    <w:p>
      <w:pPr>
        <w:ind w:firstLine="8"/>
        <w:spacing w:after="0" w:line="292" w:lineRule="auto"/>
        <w:tabs>
          <w:tab w:leader="none" w:pos="336" w:val="left"/>
        </w:tabs>
        <w:numPr>
          <w:ilvl w:val="0"/>
          <w:numId w:val="62"/>
        </w:numPr>
        <w:rPr>
          <w:rFonts w:ascii="Arial" w:cs="Arial" w:eastAsia="Arial" w:hAnsi="Arial"/>
          <w:sz w:val="16"/>
          <w:szCs w:val="16"/>
          <w:color w:val="auto"/>
        </w:rPr>
      </w:pPr>
      <w:r>
        <w:rPr>
          <w:rFonts w:ascii="Arial" w:cs="Arial" w:eastAsia="Arial" w:hAnsi="Arial"/>
          <w:sz w:val="16"/>
          <w:szCs w:val="16"/>
          <w:color w:val="auto"/>
        </w:rPr>
        <w:t>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2.20(a) shall use reasonable efforts (consistent with legal and regulatory restrictions) to file any certificate or document reasonably requested in writing by the Borrower or a Guarantor if the making of such a filing would avoid the need for or reduce the amount of any such indemnity payment or additional amounts that may thereafter accrue.</w:t>
      </w:r>
    </w:p>
    <w:p>
      <w:pPr>
        <w:spacing w:after="0" w:line="103" w:lineRule="exact"/>
        <w:rPr>
          <w:rFonts w:ascii="Arial" w:cs="Arial" w:eastAsia="Arial" w:hAnsi="Arial"/>
          <w:sz w:val="16"/>
          <w:szCs w:val="16"/>
          <w:color w:val="auto"/>
        </w:rPr>
      </w:pPr>
    </w:p>
    <w:p>
      <w:pPr>
        <w:ind w:right="140" w:firstLine="464"/>
        <w:spacing w:after="0" w:line="259"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Whenever any Non-Excluded Taxes are payable by the Borrower or a Guarantor, as promptly as practicable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126" w:lineRule="exact"/>
        <w:rPr>
          <w:rFonts w:ascii="Arial" w:cs="Arial" w:eastAsia="Arial" w:hAnsi="Arial"/>
          <w:sz w:val="18"/>
          <w:szCs w:val="18"/>
          <w:color w:val="auto"/>
        </w:rPr>
      </w:pPr>
    </w:p>
    <w:p>
      <w:pPr>
        <w:ind w:right="560" w:firstLine="464"/>
        <w:spacing w:after="0" w:line="268"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agreements in this Section 2.20 shall survive the termination of this Agreement and the payment of the Loans and all other amounts payable hereunder.</w:t>
      </w:r>
    </w:p>
    <w:p>
      <w:pPr>
        <w:spacing w:after="0" w:line="118" w:lineRule="exact"/>
        <w:rPr>
          <w:rFonts w:ascii="Arial" w:cs="Arial" w:eastAsia="Arial" w:hAnsi="Arial"/>
          <w:sz w:val="18"/>
          <w:szCs w:val="18"/>
          <w:color w:val="auto"/>
        </w:rPr>
      </w:pPr>
    </w:p>
    <w:p>
      <w:pPr>
        <w:ind w:right="20" w:firstLine="464"/>
        <w:spacing w:after="0" w:line="285" w:lineRule="auto"/>
        <w:tabs>
          <w:tab w:leader="none" w:pos="676"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Lender (or Transferee) that is not a U.S.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Borrower and the Administrative Agent (and, in the case of a Participant, to the Lender from which the related participation shall have been purchased) two duly completed copies of either U.S. Internal Revenue Service Form W-8BEN or Form W-8ECI (or any subsequent revisions thereof or successors thereto), or, in the case of a Non-U.S. Lender claiming exemption from U.S. federal withholding tax under Section 871(h) or 881(c) of the Code with respect to payments of “portfolio interest,” a Form W-8BEN (or any subsequent revisions thereof or successors thereto) and a statement substantially in the form of Exhibit I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Non-U.S. Lenders that are non-U.S. partnerships or other similar Pass-Through Entities shall also deliver to the Borrower and the Administrative Agent (and, in the case of a Participant, to the Lender from which the related participation shall have been purchased) two duly completed copies of U.S. Internal Revenue Service Form W-8IMY, together with all required attachments.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33" w:name="page134"/>
    <w:bookmarkEnd w:id="13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w:t>
      </w:r>
    </w:p>
    <w:p>
      <w:pPr>
        <w:ind w:right="160" w:firstLine="8"/>
        <w:spacing w:after="0" w:line="255"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Non-U.S. Lender’s inability to deliver such form resulted from a change in law after the date on which such Lender became a Lender hereunder or as a result of a change in the circumstances of the Borrower or any Guarantor or the use of proceeds of such Non-U.S. Lender’s loans or (ii) such Non-U.S. Lender’s assignor (if any) was entitled, at the time of assignment, to the indemnity afforded hereunder.</w:t>
      </w:r>
    </w:p>
    <w:p>
      <w:pPr>
        <w:spacing w:after="0" w:line="130" w:lineRule="exact"/>
        <w:rPr>
          <w:rFonts w:ascii="Arial" w:cs="Arial" w:eastAsia="Arial" w:hAnsi="Arial"/>
          <w:sz w:val="18"/>
          <w:szCs w:val="18"/>
          <w:color w:val="auto"/>
        </w:rPr>
      </w:pPr>
    </w:p>
    <w:p>
      <w:pPr>
        <w:ind w:right="80" w:firstLine="464"/>
        <w:spacing w:after="0" w:line="290" w:lineRule="auto"/>
        <w:tabs>
          <w:tab w:leader="none" w:pos="7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Each Arranger, Agent, Manager and Lender that is entitled to an exemption from non-U.S. withholding taxes under the law of the jurisdiction in which the Borrower or a Guarantor is located, or any treaty to which such jurisdiction is a party, with respect to payments 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Arranger, Agent, Manager or Lender is legally entitled to complete, execute and deliver such documentation and in such Person’s judgment such completion, execution or submission would not materially prejudice the legal position of such Person.</w:t>
      </w:r>
    </w:p>
    <w:p>
      <w:pPr>
        <w:spacing w:after="0" w:line="104" w:lineRule="exact"/>
        <w:rPr>
          <w:rFonts w:ascii="Arial" w:cs="Arial" w:eastAsia="Arial" w:hAnsi="Arial"/>
          <w:sz w:val="16"/>
          <w:szCs w:val="16"/>
          <w:color w:val="auto"/>
        </w:rPr>
      </w:pPr>
    </w:p>
    <w:p>
      <w:pPr>
        <w:ind w:right="920" w:firstLine="464"/>
        <w:spacing w:after="0" w:line="268" w:lineRule="auto"/>
        <w:tabs>
          <w:tab w:leader="none" w:pos="70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Borrower and each Guarantor shall pay all Non-Excluded Taxes to the relevant Governmental Authority in accordance with applicable Requirements of Law.</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The Borrower agrees to indemnify each Lender and to hold each Lender harmless from any loss (other than loss of anticipated profits)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(whether as a result of a Stop Funding Notice or otherwise) other than by reason of Section 2.17 if the Administrative Agent gives notice to the Borrower thereunder and the Borrower withdraws a Notice of Borrowing in accordance with the last sentence of Section 2.17,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134" w:name="page135"/>
    <w:bookmarkEnd w:id="134"/>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2.22 </w:t>
      </w:r>
      <w:r>
        <w:rPr>
          <w:rFonts w:ascii="Arial" w:cs="Arial" w:eastAsia="Arial" w:hAnsi="Arial"/>
          <w:sz w:val="16"/>
          <w:szCs w:val="16"/>
          <w:u w:val="single" w:color="auto"/>
          <w:color w:val="auto"/>
        </w:rPr>
        <w:t>Illegality</w:t>
      </w:r>
      <w:r>
        <w:rPr>
          <w:rFonts w:ascii="Arial" w:cs="Arial" w:eastAsia="Arial" w:hAnsi="Arial"/>
          <w:sz w:val="16"/>
          <w:szCs w:val="16"/>
          <w:color w:val="auto"/>
        </w:rPr>
        <w:t>.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as such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Section 2.19, 2.20 or 2.22 with respect to such Lender, it will, if requested by the Borrower or a Guarantor, use reasonable efforts (subject to overall policy considerations of such Lender) to designate another lending office for any Loans affected by such event with the object of reducing or avoiding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sole judgment of such Lender, cause such Lender and its lending office(s) to suffer no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shall affect or postpone any of the obligations or rights of any Borrower or Lender pursuant to Section 2.19, 2.20 or 2.22.</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Insurance Proceeds and Eminent Domain Proceeds</w:t>
      </w:r>
      <w:r>
        <w:rPr>
          <w:rFonts w:ascii="Arial" w:cs="Arial" w:eastAsia="Arial" w:hAnsi="Arial"/>
          <w:sz w:val="16"/>
          <w:szCs w:val="16"/>
          <w:color w:val="auto"/>
        </w:rPr>
        <w:t>. (a) This Section 2.24 shall apply to all Loss Proceeds, all Insurance Proceeds and all Eminent Domain Proceeds received by any Loan Party (i) in the case of Loss Proceeds, Insurance Proceeds and Eminent Domain Proceeds related to the Phase II Project, at all times from and after the Amended and Restated Disbursement Agreement Effective Date, (ii) in the case of Insurance Proceeds and Eminent Domain Proceeds related to the Phase I Project, at all times, and (iii) in the case of Insurance Proceeds and Eminent Domain Proceeds that do not relate to the Phase I Project or the Phase II Project, at all times. The Facility Proportionate Share of any such Loss Proceeds, Insurance Proceeds or Eminent Domain Proceeds (other than those described in subsection (b) below) shall be applied to the prepayment of the Obligations in accordance with Section 2.12(c)(i) or 2.12(c)(ii), as applicable, unless each of the following conditions are satisfied or waived by the Majority Initial Lending Institutions (and, if required by Section 2.24(d), the Required Lenders) as required pursuant to Section 2.24(c) or 2.24(d), as the case may be, within 60 Business Days (or, in the case of Loss Proceeds, Insurance Proceeds or Eminent Domain Proceeds described in Section 2.24(d), 90 Business Days) after any Loan Party’s receipt of such Loss Proceeds, Insurance Proceeds or Eminent Domain Proceeds, in which event such amounts shall be applied to the repair or restoration of the applicable Project in accordance with the terms of such Sections:</w:t>
      </w:r>
    </w:p>
    <w:p>
      <w:pPr>
        <w:spacing w:after="0" w:line="33" w:lineRule="exact"/>
        <w:rPr>
          <w:sz w:val="20"/>
          <w:szCs w:val="20"/>
          <w:color w:val="auto"/>
        </w:rPr>
      </w:pPr>
    </w:p>
    <w:p>
      <w:pPr>
        <w:ind w:left="460" w:right="120" w:firstLine="443"/>
        <w:spacing w:after="0" w:line="332" w:lineRule="auto"/>
        <w:tabs>
          <w:tab w:leader="none" w:pos="11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damage, destruction, Event of Loss or Event of Eminent Domain giving rise to the receipt of such Loss Proceeds, Insurance Proceeds and/or Eminent Domain Proceeds, in the aggregate does not constitute the destruction of all or substantially all of the man-made portion of the Project;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80" w:right="299" w:bottom="1440" w:gutter="0" w:footer="0" w:header="0"/>
        </w:sectPr>
      </w:pPr>
    </w:p>
    <w:bookmarkStart w:id="135" w:name="page136"/>
    <w:bookmarkEnd w:id="135"/>
    <w:p>
      <w:pPr>
        <w:ind w:right="140" w:firstLine="443"/>
        <w:spacing w:after="0" w:line="255" w:lineRule="auto"/>
        <w:tabs>
          <w:tab w:leader="none" w:pos="697"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a Default nor an Event of Default has occurred and is continuing (other than a Default or an Event of Default resulting solely from such damage, destruction, Event of Loss or Event of Eminent Domain) and after giving effect to any proposed repair and restoration (assuming any Defaults or Events of Default that occurred prior thereto solely as a result from such damage, destruction, Event of Loss or Event of Eminent Domain have been waived or otherwise cured), no Default or Event of Default could reasonably be expected to result from such damage, destruction, Event of Loss or proposed repair and restoration or Event of Eminent Domain;</w:t>
      </w:r>
    </w:p>
    <w:p>
      <w:pPr>
        <w:spacing w:after="0" w:line="48" w:lineRule="exact"/>
        <w:rPr>
          <w:rFonts w:ascii="Arial" w:cs="Arial" w:eastAsia="Arial" w:hAnsi="Arial"/>
          <w:sz w:val="18"/>
          <w:szCs w:val="18"/>
          <w:color w:val="auto"/>
        </w:rPr>
      </w:pPr>
    </w:p>
    <w:p>
      <w:pPr>
        <w:ind w:firstLine="443"/>
        <w:spacing w:after="0" w:line="287" w:lineRule="auto"/>
        <w:tabs>
          <w:tab w:leader="none" w:pos="7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Borrower certifies, and the Majority Initial Lending Institutions (with, if required by Section 2.24(d), the consent of the Required Lenders) determine in their reasonable judgment in consultation with the Construction Consultant, that (i) in the case of Loss Proceeds, Insurance Proceeds and Eminent Domain Proceeds related to the Phase II Project received by any Loan Party from and after the Amended and Restated Disbursement Agreement Effective Date but prior to the Phase II Completion Date, it is technically and economically feasible for Phase II Completion (as defined in the Disbursement Agreement and inclusive of any repair or restoration required as a result of any damage, destruction, Event of Loss or Event of Eminent Domain) to occur prior to the Phase II Scheduled Completion Date (as defined in the Disbursement Agreement) and the Phase II Project shall be In Balance and (ii) otherwise, that repair or restoration of the Project to a condition substantially similar to the condition of the Project immediately prior to the event or events to which the relevant Loss Proceeds, Insurance Proceeds or Eminent Domain Proceeds, as the case may be relate, is technically and economically feasible within an eighteen-month period after receipt of any such Insurance Proceeds or Eminent Domain Proceeds, and that a sufficient amount of funds is or will be available to the relevant Loan Party to make such repairs and restorations (subject at all times to Section 7.7);</w:t>
      </w:r>
    </w:p>
    <w:p>
      <w:pPr>
        <w:spacing w:after="0" w:line="28" w:lineRule="exact"/>
        <w:rPr>
          <w:rFonts w:ascii="Arial" w:cs="Arial" w:eastAsia="Arial" w:hAnsi="Arial"/>
          <w:sz w:val="16"/>
          <w:szCs w:val="16"/>
          <w:color w:val="auto"/>
        </w:rPr>
      </w:pPr>
    </w:p>
    <w:p>
      <w:pPr>
        <w:ind w:right="40" w:firstLine="443"/>
        <w:spacing w:after="0" w:line="259" w:lineRule="auto"/>
        <w:tabs>
          <w:tab w:leader="none" w:pos="7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18"/>
          <w:szCs w:val="18"/>
          <w:u w:val="single" w:color="auto"/>
          <w:color w:val="auto"/>
        </w:rPr>
        <w:t>Repair Plan</w:t>
      </w:r>
      <w:r>
        <w:rPr>
          <w:rFonts w:ascii="Arial" w:cs="Arial" w:eastAsia="Arial" w:hAnsi="Arial"/>
          <w:sz w:val="18"/>
          <w:szCs w:val="18"/>
          <w:color w:val="auto"/>
        </w:rPr>
        <w:t>”), in form and substance reasonably satisfactory to the Majority Initial Lending Institutions (with, if required by Section 2.24(d), the consent of the Required Lenders);</w:t>
      </w:r>
    </w:p>
    <w:p>
      <w:pPr>
        <w:spacing w:after="0" w:line="45" w:lineRule="exact"/>
        <w:rPr>
          <w:rFonts w:ascii="Arial" w:cs="Arial" w:eastAsia="Arial" w:hAnsi="Arial"/>
          <w:sz w:val="18"/>
          <w:szCs w:val="18"/>
          <w:color w:val="auto"/>
        </w:rPr>
      </w:pPr>
    </w:p>
    <w:p>
      <w:pPr>
        <w:ind w:right="120" w:firstLine="443"/>
        <w:spacing w:after="0" w:line="256"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certifies, and the Majority Initial Lending Institutions (with, if required by Section 2.24(d),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48" w:lineRule="exact"/>
        <w:rPr>
          <w:rFonts w:ascii="Arial" w:cs="Arial" w:eastAsia="Arial" w:hAnsi="Arial"/>
          <w:sz w:val="18"/>
          <w:szCs w:val="18"/>
          <w:color w:val="auto"/>
        </w:rPr>
      </w:pPr>
    </w:p>
    <w:p>
      <w:pPr>
        <w:ind w:right="160" w:firstLine="443"/>
        <w:spacing w:after="0" w:line="268" w:lineRule="auto"/>
        <w:tabs>
          <w:tab w:leader="none" w:pos="7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Permit is necessary to proceed with the repair and restoration of the Project and no other instrument is necessary for the purpose of effecting the repairs or restoration of the Project or subjecting the repairs or restoration to the Liens of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136" w:name="page137"/>
    <w:bookmarkEnd w:id="136"/>
    <w:p>
      <w:pPr>
        <w:ind w:left="40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Security Documents and maintaining the priority of such Liens or, if any of the above is necessary, the Borrower and/or the appropriate Loan Party will be able to obtain the same as and when required;</w:t>
      </w:r>
    </w:p>
    <w:p>
      <w:pPr>
        <w:spacing w:after="0" w:line="37" w:lineRule="exact"/>
        <w:rPr>
          <w:sz w:val="20"/>
          <w:szCs w:val="20"/>
          <w:color w:val="auto"/>
        </w:rPr>
      </w:pPr>
    </w:p>
    <w:p>
      <w:pPr>
        <w:ind w:left="400" w:right="360" w:firstLine="443"/>
        <w:spacing w:after="0" w:line="259" w:lineRule="auto"/>
        <w:tabs>
          <w:tab w:leader="none" w:pos="11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Majority Initial Lending Institutions shall receive such additional title insurance, title insurance endorsements, mechanic’s lien waivers, certificates, opinions or other matters as they may reasonably request as necessary to preserve or protect the Lenders’ interests hereunder and in the applicable Collateral; and</w:t>
      </w:r>
    </w:p>
    <w:p>
      <w:pPr>
        <w:spacing w:after="0" w:line="45" w:lineRule="exact"/>
        <w:rPr>
          <w:rFonts w:ascii="Arial" w:cs="Arial" w:eastAsia="Arial" w:hAnsi="Arial"/>
          <w:sz w:val="18"/>
          <w:szCs w:val="18"/>
          <w:color w:val="auto"/>
        </w:rPr>
      </w:pPr>
    </w:p>
    <w:p>
      <w:pPr>
        <w:ind w:left="1240" w:hanging="397"/>
        <w:spacing w:after="0"/>
        <w:tabs>
          <w:tab w:leader="none" w:pos="12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proposed repair or restoration is not prohibited by each of the other Financing Agreements.</w:t>
      </w:r>
    </w:p>
    <w:p>
      <w:pPr>
        <w:spacing w:after="0" w:line="157" w:lineRule="exact"/>
        <w:rPr>
          <w:rFonts w:ascii="Arial" w:cs="Arial" w:eastAsia="Arial" w:hAnsi="Arial"/>
          <w:sz w:val="18"/>
          <w:szCs w:val="18"/>
          <w:color w:val="auto"/>
        </w:rPr>
      </w:pPr>
    </w:p>
    <w:p>
      <w:pPr>
        <w:ind w:left="-60" w:right="100" w:firstLine="464"/>
        <w:spacing w:after="0" w:line="294" w:lineRule="auto"/>
        <w:tabs>
          <w:tab w:leader="none" w:pos="6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The Loan Parties shall have the right to use up to an amount of $5,000,000 of Loss Proceeds, Insurance Proceeds and/or Eminent Domain Proceeds received by the Loan Parties for each single loss or series of related losses, but in any event no more than an aggregate amount of $10,000,000 of such Loss Proceeds, Insurance Proceeds and/or Eminent Domain Proceeds during the term of the Facility, for working capital and/or to repair, restore and/or replace the Property with respect to which such Loss Proceeds, Insurance Proceeds and/or Eminent Domain Proceeds relate and Sections 2.12 and 2.24 (other than this Section 2.24(b)(i)) shall not apply to such proceeds.</w:t>
      </w:r>
    </w:p>
    <w:p>
      <w:pPr>
        <w:spacing w:after="0" w:line="21" w:lineRule="exact"/>
        <w:rPr>
          <w:rFonts w:ascii="Arial" w:cs="Arial" w:eastAsia="Arial" w:hAnsi="Arial"/>
          <w:sz w:val="16"/>
          <w:szCs w:val="16"/>
          <w:color w:val="auto"/>
        </w:rPr>
      </w:pPr>
    </w:p>
    <w:p>
      <w:pPr>
        <w:ind w:left="400" w:firstLine="443"/>
        <w:spacing w:after="0" w:line="291" w:lineRule="auto"/>
        <w:tabs>
          <w:tab w:leader="none" w:pos="1097"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subject to Section 2.24(b)(i),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not in excess of $30,000,000 are payable, such Loss Proceeds,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upon presentation of documentation reasonably satisfactory to the Administrative Agent supporting such requested payments.</w:t>
      </w:r>
    </w:p>
    <w:p>
      <w:pPr>
        <w:spacing w:after="0" w:line="106" w:lineRule="exact"/>
        <w:rPr>
          <w:rFonts w:ascii="Arial" w:cs="Arial" w:eastAsia="Arial" w:hAnsi="Arial"/>
          <w:sz w:val="16"/>
          <w:szCs w:val="16"/>
          <w:color w:val="auto"/>
        </w:rPr>
      </w:pPr>
    </w:p>
    <w:p>
      <w:pPr>
        <w:ind w:left="-60" w:firstLine="464"/>
        <w:spacing w:after="0" w:line="291"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Provided that the conditions set forth in subsection (a) above have been waived by the Majority Initial Lending Institutions,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$30,000,000, but not in excess of $100,000,000, are payable, such Loss Proceeds,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300" w:top="280" w:right="279" w:bottom="1440" w:gutter="0" w:footer="0" w:header="0"/>
        </w:sectPr>
      </w:pPr>
    </w:p>
    <w:bookmarkStart w:id="137" w:name="page138"/>
    <w:bookmarkEnd w:id="137"/>
    <w:p>
      <w:pPr>
        <w:ind w:left="-20" w:right="160" w:firstLine="464"/>
        <w:spacing w:after="0" w:line="291" w:lineRule="auto"/>
        <w:tabs>
          <w:tab w:leader="none" w:pos="685"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the conditions set forth in subsection (a) above have been waived by the Majority Initial Lending Institutions and the Required Lenders, or have been acknowledged by such Persons as having been satisfied, which acknowledgement shall not be unreasonably withheld, delayed or conditioned, if there shall occur any damage, destruction, Event of Loss or Event of Eminent Domain of or with respect to the Project with respect to which Loss Proceeds, Insurance Proceeds and/or Eminent Domain Proceeds received by the relevant Loan Party(ies) for any single loss or series of related losses in excess of $100,000,000 are payable, such Loss Proceeds, Insurance Proceeds and/or Eminent Domain Proceeds shall be held by the Administrative Agent in a Funding Account and released by the Administrative Agent to the relevant Loan Party(ies) in accordance with subsection (e) below.</w:t>
      </w:r>
    </w:p>
    <w:p>
      <w:pPr>
        <w:spacing w:after="0" w:line="106" w:lineRule="exact"/>
        <w:rPr>
          <w:rFonts w:ascii="Arial" w:cs="Arial" w:eastAsia="Arial" w:hAnsi="Arial"/>
          <w:sz w:val="16"/>
          <w:szCs w:val="16"/>
          <w:color w:val="auto"/>
        </w:rPr>
      </w:pPr>
    </w:p>
    <w:p>
      <w:pPr>
        <w:ind w:left="-20" w:right="20" w:firstLine="464"/>
        <w:spacing w:after="0" w:line="284" w:lineRule="auto"/>
        <w:tabs>
          <w:tab w:leader="none" w:pos="6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 2.24(e). From time to time the Administrative Agent’s authorization of release of Loss Proceeds, Insurance Proceeds and/or Eminent Domain Proceeds for application toward such repairs or restoration shall be conditioned upon the relevant Loan Party’s delivery to the Administrative Agent of (i) a certificate from the Borrower (I) describing in reasonable detail the nature of the repairs or restoration to be effected with such release and certifying that such repairs or restoration are materially consistent with, and shall be undertaken in accordance with, the Repair Plan, (II) stating the cost of such repairs or restoration, which shall be no less than the amount of Loss Proceeds, Insurance Proceeds and/or Eminent Domain Proceeds requested in such release, and that such requested release amount will be applied to the cost thereof, (III) stating that the aggregate amount requested in respect of such repairs or restoration (when added to any other Loss Proceeds, Insurance Proceeds and/or Eminent Domain Proceeds received by the relevant Loan Party(ies) or funds otherwise made available to the Loan Parties in respect of such damage, destruction, Event of Loss or Event of Eminent Domain) does not exceed the cost of such repairs or restoration and that a sufficient amount of funds is or will be available to the relevant Loan Party(ies) to complete such repair or restoration and (IV) stating that neither a Default nor an Event of Default has occurred and is continuing other than a Default or an Event of Default resulting solely from such damage, destruction, Event of Loss or Event of Eminent Domain (</w:t>
      </w:r>
      <w:r>
        <w:rPr>
          <w:rFonts w:ascii="Arial" w:cs="Arial" w:eastAsia="Arial" w:hAnsi="Arial"/>
          <w:sz w:val="16"/>
          <w:szCs w:val="16"/>
          <w:u w:val="single" w:color="auto"/>
          <w:color w:val="auto"/>
        </w:rPr>
        <w:t>provided</w:t>
      </w:r>
      <w:r>
        <w:rPr>
          <w:rFonts w:ascii="Arial" w:cs="Arial" w:eastAsia="Arial" w:hAnsi="Arial"/>
          <w:sz w:val="16"/>
          <w:szCs w:val="16"/>
          <w:color w:val="auto"/>
        </w:rPr>
        <w:t>, that in any event no Default or Event of Default under Sections 7.1 or 8(a) shall have occurred and be continuing), (ii) such documents, certificates and information of the type described in Section 2.24(a)(vii) as the Majority Initial Lending Institutions may reasonably request and (iii) in the event such repairs or restorations relate to damage, destruction, Event of Loss or Event of Eminent Domain of the type described in Section 2.24(d), all other documents, certificates and information with respect to such Loss Proceeds, Insurance Proceeds, Eminent Domain Proceeds, repair and/or restoration as the Majority Initial Lending Institutions may reasonably request as necessary or appropriate in connection with such repairs or restoration of the Project or to preserve or protect the Lenders’ interests hereunder and in the applicable Collateral.</w:t>
      </w:r>
    </w:p>
    <w:p>
      <w:pPr>
        <w:spacing w:after="0" w:line="119" w:lineRule="exact"/>
        <w:rPr>
          <w:rFonts w:ascii="Arial" w:cs="Arial" w:eastAsia="Arial" w:hAnsi="Arial"/>
          <w:sz w:val="16"/>
          <w:szCs w:val="16"/>
          <w:color w:val="auto"/>
        </w:rPr>
      </w:pPr>
    </w:p>
    <w:p>
      <w:pPr>
        <w:ind w:left="-20" w:firstLine="464"/>
        <w:spacing w:after="0" w:line="306" w:lineRule="auto"/>
        <w:tabs>
          <w:tab w:leader="none" w:pos="6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(i) any Loss Proceeds, Insurance Proceeds and/or Eminent Domain Proceeds have not been applied to the repair or restoration of the Project by (A) in the case of Loss Proceeds, Insurance Proceeds and Eminent Domain Proceeds related to the Phase II Project received by any Loan Party from and after the Amended and Restated Disbursement Agreement Effective Date but prior to the Phase II Completion Date, the Phase II Scheduled Completion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60" w:top="280" w:right="259" w:bottom="1440" w:gutter="0" w:footer="0" w:header="0"/>
        </w:sectPr>
      </w:pPr>
    </w:p>
    <w:bookmarkStart w:id="138" w:name="page139"/>
    <w:bookmarkEnd w:id="13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(as defined in the Disbursement Agreement), (B) in the case of amounts subject to Section 2.24(b)(ii) (other than those subject to clause (A) above), eighteen months after receipt of such amounts, and (C) in the case of amounts subject to Sections 2.24(c) and 2.24(d) (other than those subject to clause (A) above), the completion date set forth in the associated Repair Plan or (ii) after Loss Proceeds, Insurance Proceeds and/or Eminent Domain Proceeds have been applied to the repair or restoration of the Project as provided in this Section 2.24 (other than Section 2.24(b)(i)), any excess Loss Proceeds, Insurance Proceeds and/or Eminent Domain Proceeds remain, then, in each case, the Facility Proportionate Share of such Loss Proceeds, Insurance Proceeds and/or Eminent Domain Proceeds shall be applied to the prepayment of the Obligations in accordance with Section 2.12(c)(i) or 2.12(c)(ii), as applicable.</w:t>
      </w:r>
    </w:p>
    <w:p>
      <w:pPr>
        <w:spacing w:after="0" w:line="107" w:lineRule="exact"/>
        <w:rPr>
          <w:sz w:val="20"/>
          <w:szCs w:val="20"/>
          <w:color w:val="auto"/>
        </w:rPr>
      </w:pPr>
    </w:p>
    <w:p>
      <w:pPr>
        <w:ind w:firstLine="464"/>
        <w:spacing w:after="0" w:line="291"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On the date any Loss Proceeds, Insurance Proceeds and/or any Eminent Domain Proceeds (other than any Loss Proceeds, Insurance Proceeds and/or Eminent Domain Proceeds with respect to which a prepayment is required to be made pursuant to this Section 2.24) are required pursuant to the terms of any First Lien Secured Obligations to be applied to (or offered to be applied to) the repayment of any First Lien Secured Obligations (in the event any such repaid First Lien Secured Obligations constitute a revolving credit facility, accompanied by a permanent reduction of commitments under such revolving credit facility in the amount of such repayment), the Facility Proportionate Share of such Loss Proceeds, Insurance Proceeds and/or Eminent Domain Proceeds shall be applied toward the prepayment of the Obligations in accordance with Section 2.12(c)(i) or 2.12(c)(ii), as applicable.</w:t>
      </w:r>
    </w:p>
    <w:p>
      <w:pPr>
        <w:spacing w:after="0" w:line="25" w:lineRule="exact"/>
        <w:rPr>
          <w:rFonts w:ascii="Arial" w:cs="Arial" w:eastAsia="Arial" w:hAnsi="Arial"/>
          <w:sz w:val="16"/>
          <w:szCs w:val="16"/>
          <w:color w:val="auto"/>
        </w:rPr>
      </w:pPr>
    </w:p>
    <w:p>
      <w:pPr>
        <w:ind w:left="460" w:right="40" w:firstLine="443"/>
        <w:spacing w:after="0" w:line="314" w:lineRule="auto"/>
        <w:tabs>
          <w:tab w:leader="none" w:pos="1157" w:val="left"/>
        </w:tabs>
        <w:numPr>
          <w:ilvl w:val="1"/>
          <w:numId w:val="69"/>
        </w:numPr>
        <w:rPr>
          <w:rFonts w:ascii="Arial" w:cs="Arial" w:eastAsia="Arial" w:hAnsi="Arial"/>
          <w:sz w:val="15"/>
          <w:szCs w:val="15"/>
          <w:color w:val="auto"/>
        </w:rPr>
      </w:pPr>
      <w:r>
        <w:rPr>
          <w:rFonts w:ascii="Arial" w:cs="Arial" w:eastAsia="Arial" w:hAnsi="Arial"/>
          <w:sz w:val="15"/>
          <w:szCs w:val="15"/>
          <w:color w:val="auto"/>
        </w:rPr>
        <w:t>In the event any Loss Proceeds, Insurance Proceeds and/or Eminent Domain Proceeds are not applied toward the prepayment of the Obligations pursuant to Section 2.12 and this Section 2.24 as a result of not being deemed part of the “Facility Proportionate Share” of such Loss Proceeds, Insurance Proceeds and/or Eminent Domain Proceeds and such amounts are not applied to the prepayment and permanent reduction of other First Lien Secured Obligations for any reason whatsoever (including the failure of any holder of such First Lien Secured Obligations to accept an offer of prepayment) within 60 days of the application of the Facility Proportionate Share of such proceeds to the Obligations in accordance with Section 2.12, then such amounts shall, on the last day of such 60-day period, be applied to the prepayment of the Obligations in accordance with Section 2.12(c)(i) or 2.12(c)(ii), as applicable.</w:t>
      </w:r>
    </w:p>
    <w:p>
      <w:pPr>
        <w:spacing w:after="0" w:line="9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Replacement of Lenders under Certain Circumstances</w:t>
      </w:r>
      <w:r>
        <w:rPr>
          <w:rFonts w:ascii="Arial" w:cs="Arial" w:eastAsia="Arial" w:hAnsi="Arial"/>
          <w:sz w:val="16"/>
          <w:szCs w:val="16"/>
          <w:color w:val="auto"/>
        </w:rPr>
        <w:t>. The Borrower shall be permitted to replace any Lender (and cause such Lender to assign its outstanding Loans and Commitments, if any, in full to one or more replacement financial institutions or other Persons) that (a) requests reimbursement for amounts owing pursuant to Section 2.19 or 2.20 or gives a notice of illegality pursuant to Section 2.22, (b) is a Defaulting Lender or (c) does not consent to any proposed amendment, modification, termination, waiver or consent as contemplated by Sections 10.1(a)(i), 10.1(a)(ii), 10.1(a)(viii), 10.1(a)(ix) or 10.1(a)(x) where the consent of the Required Lenders shall have been obtained; provided that (i) such replacement does not conflict with any Requirement of Law, (ii) no Event of Default shall have occurred and be continuing at the time of such replacement, (iii) solely in the event of the circumstances described in the immediately preceding clause (a), prior to any such replacement, such Lender shall have taken no action under Section 2.23 so as to eliminate the continued need for payment of amounts owing pursuant to Section 2.19 or 2.20 or to eliminate the illegality referred to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139" w:name="page140"/>
    <w:bookmarkEnd w:id="13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notice of illegality given pursuant to Section 2.22, (iv) on the date of such replacement, the replacement financial institution(s) or other Persons shall pay to such replaced Lender an amount equal to the sum of (without duplication) (A) an amount equal to the principal of, and all accrued interest on, all outstanding Loans of such Lender, (B) an amount equal to all unreimbursed drawings under Letters of Credit that have been funded by such Lender, together with all then unpaid interest with respect thereto at such time and (C) an amount equal to all accrued, but theretofore unpaid fees owing to such Lender pursuant to Section 2.9 through the date of replacement, (v) on the date of such replacement the Borrower shall pay to such replaced Lender any amounts due and payable to such Lender pursuant to Section 2.19, 2.20 or 2.21, (vi) the replacement financial institution(s) or other Persons shall be Eligible Assignees, (vii) the replaced Lender shall be obligated to make such replacement in accordance with the provisions of Section 10.6(c) (provided that the Borrower shall be obligated to pay the registration and processing fee referred to therein), (viii) if such replaced Lender was replaced pursuant to clause (c) above, such replacement financial institution(s) or other Persons shall consent, at the time of such replacement, to each matter in respect of which such replaced Lender had not consented and (ix) any such replacement shall not be deemed to be a waiver of any rights that any Loan Party, the Administrative Agent or any other Lender shall have against the replaced Lender. The Borrower may not elect to replace any Lender pursuant to this Section 2.25 that is also an Issuing Lender unless, prior to the effectiveness of such election, the Borrower shall have caused each outstanding Letter of Credit issued thereby to be cancelled. Upon the payment of all amounts owing to any replaced Lender in accordance with this Section 2.25, such replaced Lender shall no longer constitute a “Lender” for purposes hereof; provided, any rights of such Lender to indemnification hereunder shall survive as to such Lender.</w:t>
      </w:r>
    </w:p>
    <w:p>
      <w:pPr>
        <w:spacing w:after="0" w:line="11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 On or after the date on which the first Compliance Certificate is delivered after the Initial Phase II Calculation Date (and, with respect to any New Revolving Credit Commitments, prior to the Revolving Credit Termination Date), the Borrower may by written notice to the Administrative Agent request (i) an increase to the existing Revolving Credit Commitments (any such increase, the “New Revolving Credit Commitments”) and/or (ii) the establishment of one or more new term loan commitments (the “New Term Loan Commitments”), in an amount not in excess of $300,000,000 in the aggregate and not less than $50,000,000 individually (or such lesser amount which shall be approved by the Administrative Agent) or an integral multiple of $5,000,000 in excess thereof. Each such notice shall set forth (A) the date (each, an “Increased Amount Date”) on which the Borrower proposes that the New Revolving Credit Commitments or New Term Loan Commitments, as applicable, shall be effective, which shall be a date not less than 15 Business Days after the date on which such notice is delivered to the Administrative Agent; (B) the identity of each Lender or other Person that is an Eligible Assignee (each, a “New Revolving Credit Lender” or “New Term Loan Lender”, as applicable) to whom the Borrower proposes any portion of such New Revolving Credit Commitments or New Term Loan Commitments, as applicable, be allocated and the amounts of such allocations (provided that any Lender approached to provide all or a portion of the New Revolving Credit Commitments or New Term Loan Commitments may elect or decline, in its sole discretion, to provide a New Revolving Credit Commitment or a New Term Loan Commitment) and (C) to the extent the 2014 Notes remain outstanding, a certification by the Borrower that the establishment of the New Revolving Credit Commitments and/or the New Term Loan Commitments, as applicable, does not violate any provisions of the 2014 Notes Indenture, or has otherwise been consented to by any party whose consent is required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thereof. The establishment of the New Revolving Credit Commitments and New Term Loan Commitments shall be subject to the following conditions:</w:t>
      </w:r>
    </w:p>
    <w:p>
      <w:pPr>
        <w:spacing w:after="0" w:line="38" w:lineRule="exact"/>
        <w:rPr>
          <w:sz w:val="20"/>
          <w:szCs w:val="20"/>
          <w:color w:val="auto"/>
        </w:rPr>
      </w:pPr>
    </w:p>
    <w:p>
      <w:pPr>
        <w:ind w:firstLine="8"/>
        <w:spacing w:after="0" w:line="285" w:lineRule="auto"/>
        <w:tabs>
          <w:tab w:leader="none" w:pos="2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Default or Event of Default shall exist on such Increased Amount Date before or after giving effect to such New Revolving Credit Commitments or New Term Loan Commitments, as applicable; (2) both before and after giving effect to the making of any Series of New Term Loans, each of the conditions set forth in Section 5.2 or 5.3, as applicable, shall be satisfied; (3) the Borrower and its Subsidiaries shall be in pro forma compliance with each of the covenants set forth in Section 7.1 as of the most recent Quarterly Date of the Borrower after giving pro forma effect to such New Revolving Credit Commitments or New Term Loan Commitments, fully drawn, as applicable, on such date; (4) the New Revolving Credit Commitments or New Term Loan Commitments, as applicable, shall be effected pursuant to one or more Joinder Agreements executed and delivered by the Borrower, the Administrative Agent and each applicable New Revolving Credit Lender or New Term Loan Lender, as applicable, each of which shall be recorded in the Register and shall be subject to the requirements set forth in Sections 2.20(f) and 2.20(g); (5) the Borrower shall make any payments required pursuant to Section 2.21 in connection with the New Revolving Credit Commitments or New Term Loan Commitments, as applicable; and (6) the Borrower shall deliver or cause to be delivered any legal opinions or other documents reasonably requested by the Administrative Agent in connection with any such transaction. Any New Term Loans made on an Increased Amount Date shall be designated a separate series (a “Series”) of New Term Loans for all purposes of this Agreement. Such New Revolving Credit Commitments or New Term Loan Commitments shall become effective as of such Increased Amount Date.</w:t>
      </w:r>
    </w:p>
    <w:p>
      <w:pPr>
        <w:spacing w:after="0" w:line="113" w:lineRule="exact"/>
        <w:rPr>
          <w:rFonts w:ascii="Arial" w:cs="Arial" w:eastAsia="Arial" w:hAnsi="Arial"/>
          <w:sz w:val="16"/>
          <w:szCs w:val="16"/>
          <w:color w:val="auto"/>
        </w:rPr>
      </w:pPr>
    </w:p>
    <w:p>
      <w:pPr>
        <w:ind w:right="40" w:firstLine="464"/>
        <w:spacing w:after="0" w:line="288" w:lineRule="auto"/>
        <w:tabs>
          <w:tab w:leader="none" w:pos="705" w:val="left"/>
        </w:tabs>
        <w:numPr>
          <w:ilvl w:val="1"/>
          <w:numId w:val="70"/>
        </w:numPr>
        <w:rPr>
          <w:rFonts w:ascii="Arial" w:cs="Arial" w:eastAsia="Arial" w:hAnsi="Arial"/>
          <w:sz w:val="16"/>
          <w:szCs w:val="16"/>
          <w:color w:val="auto"/>
        </w:rPr>
      </w:pPr>
      <w:r>
        <w:rPr>
          <w:rFonts w:ascii="Arial" w:cs="Arial" w:eastAsia="Arial" w:hAnsi="Arial"/>
          <w:sz w:val="16"/>
          <w:szCs w:val="16"/>
          <w:color w:val="auto"/>
        </w:rPr>
        <w:t>On any Increased Amount Date on which New Revolving Credit Commitments are effected, subject to the satisfaction of the foregoing terms and conditions, (i) each of the Revolving Credit Lenders shall assign to each of the New Revolving Credit Lenders, and each of the New Revolving Credit Lenders shall purchase from each of the Revolving Credit Lenders, at the principal amount thereof (together with accrued interest), such interests in the Revolving Credit Loans outstanding on such Increased Amount Date as shall be necessary in order that, after giving effect to all such assignments and purchases, such Revolving Credit Loans will be held by existing Revolving Credit Lenders and New Revolving Credit Lenders ratably in accordance with their Revolving Credit Commitments after giving effect to the addition of such New Revolving Credit Commitments to the Revolving Credit Commitments, (ii) each New Revolving Credit Commitment shall be deemed for all purposes a Revolving Credit Commitment and each Loan made thereunder (a “</w:t>
      </w:r>
      <w:r>
        <w:rPr>
          <w:rFonts w:ascii="Arial" w:cs="Arial" w:eastAsia="Arial" w:hAnsi="Arial"/>
          <w:sz w:val="16"/>
          <w:szCs w:val="16"/>
          <w:u w:val="single" w:color="auto"/>
          <w:color w:val="auto"/>
        </w:rPr>
        <w:t>New Revolving Credit Loan</w:t>
      </w:r>
      <w:r>
        <w:rPr>
          <w:rFonts w:ascii="Arial" w:cs="Arial" w:eastAsia="Arial" w:hAnsi="Arial"/>
          <w:sz w:val="16"/>
          <w:szCs w:val="16"/>
          <w:color w:val="auto"/>
        </w:rPr>
        <w:t>”) shall be deemed, for all purposes, a Revolving Credit Loan and (iii) each New Revolving Credit Lender shall become a Lender with respect to the New Revolving Credit Commitment and all matters relating thereto.</w:t>
      </w:r>
    </w:p>
    <w:p>
      <w:pPr>
        <w:spacing w:after="0" w:line="106" w:lineRule="exact"/>
        <w:rPr>
          <w:rFonts w:ascii="Arial" w:cs="Arial" w:eastAsia="Arial" w:hAnsi="Arial"/>
          <w:sz w:val="16"/>
          <w:szCs w:val="16"/>
          <w:color w:val="auto"/>
        </w:rPr>
      </w:pPr>
    </w:p>
    <w:p>
      <w:pPr>
        <w:ind w:firstLine="464"/>
        <w:spacing w:after="0" w:line="256" w:lineRule="auto"/>
        <w:tabs>
          <w:tab w:leader="none" w:pos="6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 any Increased Amount Date on which any New Term Loan Commitments of any Series are effective, subject to the satisfaction of the foregoing terms and conditions, (i) each New Term Loan Lender of any Series shall make a Loan to the Borrower (a “</w:t>
      </w:r>
      <w:r>
        <w:rPr>
          <w:rFonts w:ascii="Arial" w:cs="Arial" w:eastAsia="Arial" w:hAnsi="Arial"/>
          <w:sz w:val="18"/>
          <w:szCs w:val="18"/>
          <w:u w:val="single" w:color="auto"/>
          <w:color w:val="auto"/>
        </w:rPr>
        <w:t>New Term Loan</w:t>
      </w:r>
      <w:r>
        <w:rPr>
          <w:rFonts w:ascii="Arial" w:cs="Arial" w:eastAsia="Arial" w:hAnsi="Arial"/>
          <w:sz w:val="18"/>
          <w:szCs w:val="18"/>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41" w:name="page142"/>
    <w:bookmarkEnd w:id="141"/>
    <w:p>
      <w:pPr>
        <w:ind w:right="100" w:firstLine="464"/>
        <w:spacing w:after="0" w:line="256"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Administrative Agent shall notify the Lenders promptly upon receipt of each notice delivered by the Borrower pursuant to the first sentence of Section 2.26(a) and in respect thereof (i) the New Revolving Credit Commitments or the Series of New Term Loan Commitments, as applicable, and (ii) in the case of each notice to any Revolving Credit Lender, the respective interests of such Revolving Credit Lender in the Revolving Credit Loans, in each case subject to the assignments contemplated by this </w:t>
      </w:r>
      <w:r>
        <w:rPr>
          <w:rFonts w:ascii="Arial" w:cs="Arial" w:eastAsia="Arial" w:hAnsi="Arial"/>
          <w:sz w:val="18"/>
          <w:szCs w:val="18"/>
          <w:u w:val="single" w:color="auto"/>
          <w:color w:val="auto"/>
        </w:rPr>
        <w:t>Section 2.26</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firstLine="464"/>
        <w:spacing w:after="0" w:line="286"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terms and provisions of the New Term Loans and New Term Loan Commitments of any Series shall be, except as otherwise set forth herein or in the Joinder Agreement, identical to the terms and provisions of the Term B Loans. The terms and provisions (including applicable rates of interest) of the New Revolving Credit Loans shall be identical to the Revolving Credit Loans. In any event (i) the weighted average life to maturity of all New Term Loans of any Series shall be no shorter than the weighted average life to maturity of the Term B Loans, (ii) the applicable Scheduled New Term Loan Termination Date of each Series shall be no earlier than the Scheduled Term B Loan Termination Date, and (iii) the rate of interest applicable to the New Term Loans of each Series shall be determined by the Borrower and the applicable New Term Loan Lenders and shall be set forth in each applicable Joinder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the weighted average interest rate payable in respect of the New Term Loans (whether in the form of interest, fees, original issue discount or a combination of any thereof) is higher by more than 0.25% than the weighted average interest rate payable in respect of the Term B Loans immediately prior to the incurrence of any such New Term Loans, the interest rates applicable to the existing Term B Loans shall increase to provide the existing Term B Loan Lenders the same weighted average interest rate provided to the New Term Loan Lenders. Each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6"/>
          <w:szCs w:val="16"/>
          <w:u w:val="single" w:color="auto"/>
          <w:color w:val="auto"/>
        </w:rPr>
        <w:t>Section 2.26</w:t>
      </w:r>
      <w:r>
        <w:rPr>
          <w:rFonts w:ascii="Arial" w:cs="Arial" w:eastAsia="Arial" w:hAnsi="Arial"/>
          <w:sz w:val="16"/>
          <w:szCs w:val="16"/>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LETTERS OF CREDIT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the Issuing Lender, in reliance on the agreements of the other Revolving Credit Lenders set forth in Section 3.4(a), agrees to issue standby and, if agreed to by the applicable Issuing Lender, commercial letters of credit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for the account of the Borrower on any Business Day during the Letter of Credit Commitment Period in such form as may be approved from time to time by the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Issuing Lender shall have no obligation to issue any Letter of Credit if, after giving effect to such issuance, (i) the L/C Obligations would exceed the L/C Commitment or (ii) the aggregate amount of the Available Revolving Credit Commitments would be less than zero. Each Letter of Credit shall (i) be denominated in Dollars and (ii) expire no later than the earlier of (x) the date which is one year after the date of issuance and (y) the date which is five Business Days prior to the Scheduled Revolving Credit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provide for the extension of the expiry date thereof for additional one-year periods (which shall in no event extend beyond the date referred to in subsection (y)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142" w:name="page143"/>
    <w:bookmarkEnd w:id="142"/>
    <w:p>
      <w:pPr>
        <w:ind w:right="1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Prior to (i) with respect to the Phase I Project, the Phase I Final Completion Date, and (ii) with respect to the Phase II Project, the earlier of the Phase II Final Completion Date and the Amended and Restated Disbursement Agreement Effective Date, the Borrower shall have the right pursuant to this Section 3.2(a) to request that the Issuing Lender issue a Letter of Credit to be utilized in furtherance of the payment or support of Project Costs for the Phase I Project or the Phase II Project, as the case may be. If the Borrower desires that the Issuing Lender issue such a Letter of Credit, the Borrower may request that the Issuing Lender issue a Letter of Credit by delivering to the Issuing Lender and the Disbursement Agent, in each case in accordance with and pursuant to the terms of Section 2.3 of the Disbursement Agreement, a Notice of Advance Request in the form, at the times and as required under the Disbursement Agreement. Notwithstanding any provision of the Disbursement Agreement to the contrary, such Notice of Advance Request must be received by the Issuing Lender at least 3 Business Days (or such shorter period agreed to by the Issuing Lender) prior to the proposed date 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09" w:lineRule="exact"/>
        <w:rPr>
          <w:sz w:val="20"/>
          <w:szCs w:val="20"/>
          <w:color w:val="auto"/>
        </w:rPr>
      </w:pPr>
    </w:p>
    <w:p>
      <w:pPr>
        <w:ind w:right="20" w:firstLine="464"/>
        <w:spacing w:after="0" w:line="289"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Borrower shall have the right pursuant to this Section 3.2(b) to request that the Issuing Lender issue a Letter of Credit (i) if prior to the Amended and Restated Disbursement Agreement Effective Date, to be utilized for purposes permitted hereby other than in furtherance of the payment or support for Project Costs and (ii) if on or after the Amended and Restated Disbursement Agreement Effective Date, to be utilized for general corporate purposes (including in furtherance of the payment or support for Project Costs). If the Borrower desires that the Issuing Lender issue such a Letter of Credit,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reasonably request. Letter of Credit Requests may be delivered by facsimile transmission.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Promptly after the issuance or amendment of a Letter of Credit (in any event upon satisfaction or waiver of the conditions precedent set forth in Section 5.2 or</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5.3, as applicable),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Lenders in writing of such issuance or amendment and if so requested by any such Lender the Administrative Agent shall furnish such Lender with a copy of such issuance or amendment. Notwithstanding the foregoing, the Issuing Lender shall not be obligated to make any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143" w:name="page144"/>
    <w:bookmarkEnd w:id="143"/>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xml:space="preserve">. (a) The Borrower shall pay a fee on the aggregate drawable amount of each outstanding Letter of Credit at a per annum rate equal to the Applicable Margin then in effect with respect to Eurodollar Loans under the Revolving Credit Facility, shared ratably among the Revolving Credit Lenders and payable quarterly in arrears on each L/C Fee Payment Date after the issuance date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fee accrued with respect to any Defaulting Lender during the period prior to the time such Lender became a Defaulting Lender and unpaid at such time shall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 Defaulting Lender. In addition, the Borrower shall pay to the Issuing Lender for its own account a fronting fee equal to 0.125%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106" w:lineRule="exact"/>
        <w:rPr>
          <w:sz w:val="20"/>
          <w:szCs w:val="20"/>
          <w:color w:val="auto"/>
        </w:rPr>
      </w:pPr>
    </w:p>
    <w:p>
      <w:pPr>
        <w:ind w:right="20" w:firstLine="464"/>
        <w:spacing w:after="0" w:line="332"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addition to the foregoing fees, the Borrower shall pay or reimburse the Issuing Lender for such normal and customary costs and expenses as are incurred or customarily charged by the Issuing Lender in issuing, negotiating, effecting payment under, amending or otherwise administering any Letter of Credit.</w:t>
      </w:r>
    </w:p>
    <w:p>
      <w:pPr>
        <w:spacing w:after="0" w:line="7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(a) 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Credit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Participant’s Revolving Credit Percentage of the amount of such draft, or any part thereof, that is not so reimbursed. Each L/C Participant acknowledges and agrees that its obligation to acquire participations and make payments pursuant to this paragraph in respect of Letters of 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 Loan Document by the Borrower or any other Person (including, without limitation, any other Revolving Credit Lender), and each such payment shall be made without any offset, abatement, withholding or reduction whatsoever.</w:t>
      </w:r>
    </w:p>
    <w:p>
      <w:pPr>
        <w:spacing w:after="0" w:line="115" w:lineRule="exact"/>
        <w:rPr>
          <w:sz w:val="20"/>
          <w:szCs w:val="20"/>
          <w:color w:val="auto"/>
        </w:rPr>
      </w:pPr>
    </w:p>
    <w:p>
      <w:pPr>
        <w:ind w:right="8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the Issuing Lender pursuant to Section 3.4(a) in respect of any unreimbursed portion of any payment made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144" w:name="page145"/>
    <w:bookmarkEnd w:id="14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under the Revolving Credit Facility. A certificate of the Issuing Lender submitted to any L/C Participant with respect to any amounts owing under this Section shall be conclusive in the absence of manifest error.</w:t>
      </w:r>
    </w:p>
    <w:p>
      <w:pPr>
        <w:spacing w:after="0" w:line="105" w:lineRule="exact"/>
        <w:rPr>
          <w:sz w:val="20"/>
          <w:szCs w:val="20"/>
          <w:color w:val="auto"/>
        </w:rPr>
      </w:pPr>
    </w:p>
    <w:p>
      <w:pPr>
        <w:ind w:right="80" w:firstLine="464"/>
        <w:spacing w:after="0" w:line="254"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Whenever, at any time after the Issuing Lender has made payment under any Letter of Credit and has received from any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3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Borrower</w:t>
      </w:r>
      <w:r>
        <w:rPr>
          <w:rFonts w:ascii="Arial" w:cs="Arial" w:eastAsia="Arial" w:hAnsi="Arial"/>
          <w:sz w:val="16"/>
          <w:szCs w:val="16"/>
          <w:color w:val="auto"/>
        </w:rPr>
        <w:t>. If any draft or other form of demand shall be presented for payment under any Letter of Credit, the Issuing Lender shall promptly notify the Borrower of the date and amount thereof. The Borrower agrees to reimburse the Issuing Lender within one Business Day of the date on which the Issuing Lender notifies the Borrower and the Administrative Agent of the date and amount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 (a) and (b) in respect of any drawing, collectively, the “</w:t>
      </w:r>
      <w:r>
        <w:rPr>
          <w:rFonts w:ascii="Arial" w:cs="Arial" w:eastAsia="Arial" w:hAnsi="Arial"/>
          <w:sz w:val="16"/>
          <w:szCs w:val="16"/>
          <w:u w:val="single" w:color="auto"/>
          <w:color w:val="auto"/>
        </w:rPr>
        <w:t>Payment Amount</w:t>
      </w:r>
      <w:r>
        <w:rPr>
          <w:rFonts w:ascii="Arial" w:cs="Arial" w:eastAsia="Arial" w:hAnsi="Arial"/>
          <w:sz w:val="16"/>
          <w:szCs w:val="16"/>
          <w:color w:val="auto"/>
        </w:rPr>
        <w: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 as received. Interest shall be payable on each Payment Amount from the date of the applicable drawing until payment in full at the rate set forth in</w:t>
      </w:r>
    </w:p>
    <w:p>
      <w:pPr>
        <w:spacing w:after="0" w:line="6"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until the first Business Day following the date notice of the applicable drawing is received by the Borrower from the Issuing Lender, Section 2.15(b) and</w:t>
      </w:r>
    </w:p>
    <w:p>
      <w:pPr>
        <w:spacing w:after="0" w:line="32" w:lineRule="exact"/>
        <w:rPr>
          <w:rFonts w:ascii="Arial" w:cs="Arial" w:eastAsia="Arial" w:hAnsi="Arial"/>
          <w:sz w:val="16"/>
          <w:szCs w:val="16"/>
          <w:color w:val="auto"/>
        </w:rPr>
      </w:pPr>
    </w:p>
    <w:p>
      <w:pPr>
        <w:ind w:right="120" w:firstLine="8"/>
        <w:spacing w:after="0" w:line="253" w:lineRule="auto"/>
        <w:tabs>
          <w:tab w:leader="none" w:pos="2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of Revolving Credit Loans that are Base Rate Loans (or, at the option of the Administrative Agent and the Swing Line Lender in their sole discretion, a borrowing pursuant to Section 2.7 of Swing Line Loans) in the amount of such drawing.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80" w:right="279" w:bottom="1440" w:gutter="0" w:footer="0" w:header="0"/>
        </w:sectPr>
      </w:pPr>
    </w:p>
    <w:bookmarkStart w:id="145" w:name="page146"/>
    <w:bookmarkEnd w:id="145"/>
    <w:p>
      <w:pPr>
        <w:jc w:val="both"/>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Borrowing Date with respect to such borrowing shall be the first date on which the conditions set forth in Section 5.3 (other than Section 5.3(a)) are satisfied (or, if Swing Line Loans are then available, the first date on which the conditions set forth in Section 2.7 are satisfied) after such drawing under such Letter of Credit.</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Responsibility of Issuing Lender With Respect to Requests for Drawings and Payments; Obligations Absolute</w:t>
      </w:r>
      <w:r>
        <w:rPr>
          <w:rFonts w:ascii="Arial" w:cs="Arial" w:eastAsia="Arial" w:hAnsi="Arial"/>
          <w:sz w:val="16"/>
          <w:szCs w:val="16"/>
          <w:color w:val="auto"/>
        </w:rPr>
        <w:t>. (a) In determining whether to honor any drawing under any Letter of Credit by the beneficiary thereof, the Issuing Lender shall be responsible only to examine the documents delivered under such Letter of Credit with reasonable care so as to ascertain whether they appear on their face to be in accordance with the terms and conditions of such Letter of Credit. As between the Borrower and the Issuing Lender, the Borrower assumes all risks of the acts and omissions of, or misuse of the Letters of Credit issued by the Issuing Lender, by the respective beneficiaries of such Letters of Credit. In furtherance and not in limitation of the foregoing, the Issuing Lender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including any act or omission of any present or future Governmental Authority; none of the above shall affect or impair, or prevent the vesting of, any the Issuing Lender’s rights or powers hereunder. Without limiting the foregoing and in furtherance thereof, any action taken or omitted by the Issuing Lender under or in connection with the Letters of Credit or any documents and certificates delivered thereunder, if taken or omitted (subject to the next sentence) in good faith, shall not give rise to any liability on the part of the Issuing Lender to the Borrower. Notwithstanding anything to the contrary contained in this Section 3.6(a), the Borrower shall retain any and all rights it may have against the Issuing Lender for any liability arising solely out of the gross negligence or willful misconduct of the Issuing Lender.</w:t>
      </w:r>
    </w:p>
    <w:p>
      <w:pPr>
        <w:spacing w:after="0" w:line="118" w:lineRule="exact"/>
        <w:rPr>
          <w:sz w:val="20"/>
          <w:szCs w:val="20"/>
          <w:color w:val="auto"/>
        </w:rPr>
      </w:pPr>
    </w:p>
    <w:p>
      <w:pPr>
        <w:ind w:right="140" w:firstLine="464"/>
        <w:spacing w:after="0" w:line="291"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obligation of the Borrower to reimburse the Issuing Lender for drawings honored under the Letters of Credit issued by it and to repay any Revolving Credit Loans made by Lenders pursuant to this Section 3 and the obligations of Lenders under Section 3.4 shall be unconditional and irrevocable and shall be performed strictly in accordance with the terms hereof under all circumstances including any of the following circumstances: (i) any lack of validity or enforceability of any Letter of Credit; (ii) the existence of any claim, set-off, defense or other right which the Borrower or any Lender may have at any time against a beneficiary or any transferee of any Letter of Credit (or any Persons for whom any such transferee may be acting), the Issuing Lender, Lender or any other Person or, in the case of a Lender, against the Borrower,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146" w:name="page147"/>
    <w:bookmarkEnd w:id="146"/>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in connection herewith, the transactions contemplated herein or any unrelated transaction (including any underlying transaction between the Borrower or one of its Subsidiaries and the beneficiary for which any Letter of Credit was procured); (iii) any draft or other document presented under any Letter of Credit proving to be forged, fraudulent, invalid or insufficient in any respect or any statement therein being untrue or inaccurate in any respect; (iv) payment by the Issuing Lender under any Letter of Credit against presentation of a draft or other document which does not substantially comply with the terms of such Letter of Credit; (v) any adverse change in the business, operations, properties, assets, condition (financial or otherwise) or prospects of any Loan Party; (vi) any breach hereof or any other Loan Document by any party thereto; (vii) any other circumstance or happening whatsoever, whether or not similar to any of the foregoing; or</w:t>
      </w:r>
    </w:p>
    <w:p>
      <w:pPr>
        <w:spacing w:after="0" w:line="1" w:lineRule="exact"/>
        <w:rPr>
          <w:sz w:val="20"/>
          <w:szCs w:val="20"/>
          <w:color w:val="auto"/>
        </w:rPr>
      </w:pPr>
    </w:p>
    <w:p>
      <w:pPr>
        <w:ind w:right="40" w:firstLine="8"/>
        <w:spacing w:after="0" w:line="323" w:lineRule="auto"/>
        <w:tabs>
          <w:tab w:leader="none" w:pos="3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fact that an Event of Default or a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any action taken by the Issuing Lender with respect to the applicable Letter of Credit shall not have constituted gross negligence or willful misconduct of the Issuing Lender.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the following statements are true and correct (provided that (a) with respect to Sections 4.25(h) and 4.26, such representations and warranties shall not be made, as they relate to the Phase II Project, at any time prior to the Phase II Opening Date and (b) representations and warranties made with respect to the Completion Guarantor shall only be made until the Phase II Final Completion Date):</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balance sheets of the Borrower and its consolidated Subsidiaries as at December 31, 2005, and the related consolidated statements of income and of cash flows for the Fiscal Year ended on such date, reported on by and accompanied by an unqualified report from Deloitte &amp; Touche LLP, present fairly in all material respects the consolidated financial condition of the Borrower and its consolidated Subsidiaries as at such date, and the consolidated results of its operations and its consolidated cash flows for such Fiscal Year. The unaudited consolidated balance sheets of the Borrower and its consolidated Subsidiaries as at March 31, 2006, or if available on or prior to the Amended and Restated Effective Date, June 30, 2006, and the related unaudited consolidated statements of income and cash flows for the 3-month period (or, in the event the June 30, 2006 unaudited consolidated balance sheets are available, the 6-month period) ended on such date, present fairly in all material respects the consolidated financial condition of the Borrower and its consolidated Subsidiaries as at such date, and the consolidated results of its operations and its consolidated cash flows for the 3-month period (or, in the event the June 30, 2006 unaudited consolidated balance sheets are available, the 6-month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except with respect to interim financials, normal year-end audit adjustments). As of the Amended and Restated Effective Date, the Borrower and its Subsidiaries do not have any material Guarantee Obligations, contingent liabilities and liabilities for taxes, or any long-term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147" w:name="page148"/>
    <w:bookmarkEnd w:id="14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Since December 31, 2005, there have been no developments or events that, individually or collectively, have had or could reasonably be expected to have a Material Adverse Effect.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Corporate/LLC Existence; Compliance with Law</w:t>
      </w:r>
      <w:r>
        <w:rPr>
          <w:rFonts w:ascii="Arial" w:cs="Arial" w:eastAsia="Arial" w:hAnsi="Arial"/>
          <w:sz w:val="16"/>
          <w:szCs w:val="16"/>
          <w:color w:val="auto"/>
        </w:rPr>
        <w:t>. Each of the Loan Parties, Wynn Resorts Holdings and the Completion Guarantor (a) is duly organized, validly existing and in good standing under the laws of the jurisdiction of its organization, (b) has the corporate or 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105"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Power; Authorization; Enforceable Obligations</w:t>
      </w:r>
      <w:r>
        <w:rPr>
          <w:rFonts w:ascii="Arial" w:cs="Arial" w:eastAsia="Arial" w:hAnsi="Arial"/>
          <w:sz w:val="15"/>
          <w:szCs w:val="15"/>
          <w:color w:val="auto"/>
        </w:rPr>
        <w:t>. Each Loan Party, Wynn Resorts Holdings and the Completion Guarantor has the corporate or limited liability company power, as the case may be, and authority, and the legal right, to execute, deliver and perform the Loan Documents, the Financing Agreements and the Material Contracts to which it is a party and to carry out the transactions contemplated thereby and, in the case of the Borrower, to borrow hereunder.</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Each Loan Party, Wynn Resorts Holdings and the Completion Guarantor has taken all necessary corporate or limited liability company action, as the case may be, to authorize the execution, delivery and performance of the Loan Documents, the Financing Agreements and the Material Contracts to which it is a party and, in the case of the Borrower, to authorize the borrowings and issuances of Indebtedness on the terms and conditions of this Agreement. No consent or authorization of, filing with, notice to or other act by or in respect of, any Governmental Authority or any Person (other than a Loan Party) is required to be obtained, made or taken by a Loan Party in connection with the borrowings hereunder or with the execution, delivery, performance, validity or enforceability of this Agreement or any of the Loan Documents, except (i) consents, authorizations, filings and notices described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which consents, authorizations, filings and notices have, unless otherwise indicated on </w:t>
      </w:r>
      <w:r>
        <w:rPr>
          <w:rFonts w:ascii="Arial" w:cs="Arial" w:eastAsia="Arial" w:hAnsi="Arial"/>
          <w:sz w:val="16"/>
          <w:szCs w:val="16"/>
          <w:u w:val="single" w:color="auto"/>
          <w:color w:val="auto"/>
        </w:rPr>
        <w:t>Schedule 4.4</w:t>
      </w:r>
      <w:r>
        <w:rPr>
          <w:rFonts w:ascii="Arial" w:cs="Arial" w:eastAsia="Arial" w:hAnsi="Arial"/>
          <w:sz w:val="16"/>
          <w:szCs w:val="16"/>
          <w:color w:val="auto"/>
        </w:rPr>
        <w:t>, been obtained or made (or waived) and are in full force and effect and (ii) the filings and actions referred to in Section 4.19. Each Loan Document, Financing Agreement and Material Contract has been duly executed and delivered on behalf of the Completion Guarantor, Wynn Resorts Holdings and each Loan Party party thereto. This Agreement constitutes, and each other Loan Document, Financing Agreement and Material Contract upon execution will constitute, a legal, valid and binding obligation of the Completion Guarantor, Wynn Resorts Holdings and each Loan Party party thereto, enforceable against the Completion Guarantor, Wynn Resorts Holdings and each Loan Party party thereto in accordance with its terms, except as enforceability may be limited by applicable bankruptcy, insolvency, reorganization, moratorium or similar 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affecting the enforcement of creditors’ rights generally and by general equitable principles (whether enforcement is sought by proceedings in equity or at law).</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w:t>
      </w:r>
      <w:r>
        <w:rPr>
          <w:rFonts w:ascii="Arial" w:cs="Arial" w:eastAsia="Arial" w:hAnsi="Arial"/>
          <w:sz w:val="16"/>
          <w:szCs w:val="16"/>
          <w:color w:val="auto"/>
        </w:rPr>
        <w:t>ar. The execution, delivery and performance of this Agreement, the other Loan Documents, the Financing Agreements and the Material Contracts, the issuance of Letters of Credit, the borrowings hereunder and the use of the proceeds thereof will not violate any Requirement of Law or any Contractual Obligation of the Completion Guarantor, Wynn Resorts Holdings or any Loan Party (except, in the case of the Material Contracts, to the extent that any such violations (individually or in the aggregate) could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the other First Lien Security Documents and the Second Lien Security Documents). No Requirement of Law or Contractual Obligation applicable to the Completion Guarantor, Wynn Resorts Holdings or any Loan Party could, individually or collectively, reasonably be expected to have a Material Adverse Effect. Other than amounts that have been paid in full, no fees or taxes, including without limitation stamp, transaction, registration or similar taxes, are required to be paid by the Loan Parties for the legality, validity, or enforceability of any Financing Agreements and, except to the extent that the failure to so pay any such fees or taxes could not (individually or in the aggregate) reasonably be expected to have a Material Adverse Effect, any Material Contracts.</w:t>
      </w:r>
    </w:p>
    <w:p>
      <w:pPr>
        <w:spacing w:after="0" w:line="11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Material Litigation</w:t>
      </w:r>
      <w:r>
        <w:rPr>
          <w:rFonts w:ascii="Arial" w:cs="Arial" w:eastAsia="Arial" w:hAnsi="Arial"/>
          <w:sz w:val="18"/>
          <w:szCs w:val="18"/>
          <w:color w:val="auto"/>
        </w:rPr>
        <w:t>. No litigation, investigation or proceeding of or before any arbitrator or Governmental Authority is pending or, to the knowledge of the Borrower, threatened by or against the Completion Guarantor, Wynn Resorts Holdings or any Loan Party or against any of their respective properties or revenues and, to the knowledge of the Borrower, no litigation, investigation or proceeding of or before any arbitrator or Governmental Authority is pending or threatened by or against any Major Project Participant or against any of its properties or revenues, in any such case (a) with respect to any of the Financing Agreements or any of the transactions contemplated hereby or thereby or (b) that, individually or collectively, could reasonably be expected to have a Material Adverse Effect.</w:t>
      </w:r>
    </w:p>
    <w:p>
      <w:pPr>
        <w:spacing w:after="0" w:line="13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Neither the Completion Guarantor, Wynn Resorts Holdings nor any Loan Party is in default under or with respect to any of its Contractual Obligations in any respect that, individually or collectively, could reasonably be expected to have a Material Adverse Effect. No Default or Event of Default has occurred and is continuing.</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Loan Parties is the sole owner of, legally and beneficially, and has good, marketable and insurable title to, or has a valid leasehold interest in, all its Real Estate, and good title to, a valid leasehold interest in or a valid right to use, all its other material Property, and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Loan Parties’ intended use of such Property) or to any Lien except for Permitted Liens. None of the Pledged Stock is subject to any Lien except for Permitted Liens.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80" w:right="279" w:bottom="1440" w:gutter="0" w:footer="0" w:header="0"/>
        </w:sectPr>
      </w:pPr>
    </w:p>
    <w:bookmarkStart w:id="149" w:name="page150"/>
    <w:bookmarkEnd w:id="14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4.9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(a) Each Loan Party owns, or is licensed or otherwise has the right to use, all Intellectual Property that is material to the conduct of its business as currently conducted. No claim has been asserted or is pending by any Person challenging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“Wynn” name, such claims that, if determined adversely to a Loan Party, could not reasonably be expected to have a material adverse effect on such Loan Party’s ability to use the “Wynn” name in its Permitted Business as currently used or contemplated to be used and (ii) with respect to all other Intellectual Property, as could not, individually or collectively, reasonably be expected to have a Material Adverse Effect. The use by each Loan Party of the Intellectual Property related to or otherwise associated with such Loan Party’s use of the “Wynn” name does not infringe on the rights of any Person, which infringement could reasonably be expected to have a material adverse effect on such Loan Party’s ability to use the “Wynn” name in its Permitted Business as currently used or contemplated to be used. The use by each Loan Party of Intellectual Property other than Intellectual Property related to or otherwise associated with such Loan Party’s use of the “Wynn” name, does not infringe on the rights of any Person, which infringement, individually or collectively, could reasonably be expected to have a Material Adverse Effect.</w:t>
      </w:r>
    </w:p>
    <w:p>
      <w:pPr>
        <w:spacing w:after="0" w:line="114" w:lineRule="exact"/>
        <w:rPr>
          <w:sz w:val="20"/>
          <w:szCs w:val="20"/>
          <w:color w:val="auto"/>
        </w:rPr>
      </w:pPr>
    </w:p>
    <w:p>
      <w:pPr>
        <w:ind w:right="140" w:firstLine="464"/>
        <w:spacing w:after="0" w:line="255"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4.9(b)</w:t>
      </w:r>
      <w:r>
        <w:rPr>
          <w:rFonts w:ascii="Arial" w:cs="Arial" w:eastAsia="Arial" w:hAnsi="Arial"/>
          <w:sz w:val="18"/>
          <w:szCs w:val="18"/>
          <w:color w:val="auto"/>
        </w:rPr>
        <w:t xml:space="preserve"> (i) identifies each of the trademarks, service marks and trade name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29" w:lineRule="exact"/>
        <w:rPr>
          <w:rFonts w:ascii="Arial" w:cs="Arial" w:eastAsia="Arial" w:hAnsi="Arial"/>
          <w:sz w:val="18"/>
          <w:szCs w:val="18"/>
          <w:color w:val="auto"/>
        </w:rPr>
      </w:pPr>
    </w:p>
    <w:p>
      <w:pPr>
        <w:ind w:right="20" w:firstLine="464"/>
        <w:spacing w:after="0" w:line="298"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As of the Amended and Restated Effective Date, </w:t>
      </w:r>
      <w:r>
        <w:rPr>
          <w:rFonts w:ascii="Arial" w:cs="Arial" w:eastAsia="Arial" w:hAnsi="Arial"/>
          <w:sz w:val="16"/>
          <w:szCs w:val="16"/>
          <w:u w:val="single" w:color="auto"/>
          <w:color w:val="auto"/>
        </w:rPr>
        <w:t>Schedule 4.9(c)</w:t>
      </w:r>
      <w:r>
        <w:rPr>
          <w:rFonts w:ascii="Arial" w:cs="Arial" w:eastAsia="Arial" w:hAnsi="Arial"/>
          <w:sz w:val="16"/>
          <w:szCs w:val="16"/>
          <w:color w:val="auto"/>
        </w:rPr>
        <w:t xml:space="preserve"> (i) identifies each of the material patents and patent applications currently applied for or owned by, directly or indirectly, each of the Loan Parties and identifies which such Person applied for or owns such Intellectual Property and (ii) 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99" w:lineRule="exact"/>
        <w:rPr>
          <w:rFonts w:ascii="Arial" w:cs="Arial" w:eastAsia="Arial" w:hAnsi="Arial"/>
          <w:sz w:val="16"/>
          <w:szCs w:val="16"/>
          <w:color w:val="auto"/>
        </w:rPr>
      </w:pPr>
    </w:p>
    <w:p>
      <w:pPr>
        <w:ind w:right="140" w:firstLine="464"/>
        <w:spacing w:after="0" w:line="255"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4.9(d)</w:t>
      </w:r>
      <w:r>
        <w:rPr>
          <w:rFonts w:ascii="Arial" w:cs="Arial" w:eastAsia="Arial" w:hAnsi="Arial"/>
          <w:sz w:val="18"/>
          <w:szCs w:val="18"/>
          <w:color w:val="auto"/>
        </w:rPr>
        <w:t xml:space="preserve"> (i) identifies each of the material copyrights and copyright applications and registrations currently applied for or registered by, directly or indirectly, each of the Loan Parties and identifies which such Person applied for or registered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29" w:lineRule="exact"/>
        <w:rPr>
          <w:rFonts w:ascii="Arial" w:cs="Arial" w:eastAsia="Arial" w:hAnsi="Arial"/>
          <w:sz w:val="18"/>
          <w:szCs w:val="18"/>
          <w:color w:val="auto"/>
        </w:rPr>
      </w:pPr>
    </w:p>
    <w:p>
      <w:pPr>
        <w:ind w:right="580" w:firstLine="464"/>
        <w:spacing w:after="0" w:line="268"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As of the Amended and Restated Effective Date, </w:t>
      </w:r>
      <w:r>
        <w:rPr>
          <w:rFonts w:ascii="Arial" w:cs="Arial" w:eastAsia="Arial" w:hAnsi="Arial"/>
          <w:sz w:val="18"/>
          <w:szCs w:val="18"/>
          <w:u w:val="single" w:color="auto"/>
          <w:color w:val="auto"/>
        </w:rPr>
        <w:t>Schedule 4.9(e)</w:t>
      </w:r>
      <w:r>
        <w:rPr>
          <w:rFonts w:ascii="Arial" w:cs="Arial" w:eastAsia="Arial" w:hAnsi="Arial"/>
          <w:sz w:val="18"/>
          <w:szCs w:val="18"/>
          <w:color w:val="auto"/>
        </w:rPr>
        <w:t xml:space="preserve"> identifies all licenses, sublicenses and other agreements relating to Intellectual Property to which any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50" w:name="page151"/>
    <w:bookmarkEnd w:id="150"/>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Parties is a party that are material to the conduct of such Loan Party’s Permitted Business and pursuant to which (i) any of the Loan Parties is a licensor, sub-licensor, licensee or sub-licensee or the equivalent or (ii) any other Person is authorized to use any Intellectual Property as a licensee, sub-licensee or the equivalent.</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Taxes</w:t>
      </w:r>
      <w:r>
        <w:rPr>
          <w:rFonts w:ascii="Arial" w:cs="Arial" w:eastAsia="Arial" w:hAnsi="Arial"/>
          <w:sz w:val="16"/>
          <w:szCs w:val="16"/>
          <w:color w:val="auto"/>
        </w:rPr>
        <w:t>. (a) Each of the Completion Guarantor, Wynn Resorts Holdings and the Loan Parties has filed, or caused to be filed, all federal and state income tax and informational returns that are required to have been filed by it in any jurisdiction, and all such tax and informational returns are correct and complete in all material respects. Each of the Completion Guarantor, Wynn Resorts Holdings and the Loan Parties has paid all taxes shown to be due and payable on such returns and all other material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107" w:lineRule="exact"/>
        <w:rPr>
          <w:sz w:val="20"/>
          <w:szCs w:val="20"/>
          <w:color w:val="auto"/>
        </w:rPr>
      </w:pPr>
    </w:p>
    <w:p>
      <w:pPr>
        <w:ind w:right="30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are no Liens for Taxes on any of the Properties of the Completion Guarantor or any of the Loan Parties other than Liens permitted pursuant to Section 7.3(a).</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Neither Wynn Resorts Holdings, the Borrower nor any of its Subsidiaries is engaged principally, or as one of its important activities, in the business of extending credit for the purpose of “purchasing” or “carrying” any “margin stock” (in each case within the meaning of Regulation U). No part of the proceeds of the Loans made or Letters of Credit issued hereunder will be used to purchase or carry any such margin stock or to extend credit to others for the purpose of purchasing or carrying any such margin stock or for any purpose that violates the provisions of Regulation T, Regulation U or Regulation X.</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Labor Matters and Acts of God</w:t>
      </w:r>
      <w:r>
        <w:rPr>
          <w:rFonts w:ascii="Arial" w:cs="Arial" w:eastAsia="Arial" w:hAnsi="Arial"/>
          <w:sz w:val="16"/>
          <w:szCs w:val="16"/>
          <w:color w:val="auto"/>
        </w:rPr>
        <w:t>. (a) There are no strikes, stoppages, slowdowns or other labor disputes pending against any of the Loan Parties or, to the knowledge of the Borrower, pending against any Major Project Participant or threatened against any Loan Party or, to the knowledge of the Borrower, any Major Project Participant that (individually or in the aggregate) could reasonably be expected to have a Material Adverse Effect. Hours worked by and payment made to employees of the Loan Parties are not in violation of the Fair Labor Standards Act or any other applicable Requirement of Law dealing with such matters that (individually or in the aggregate) could reasonably be expected to have a Material Adverse Effect.</w:t>
      </w:r>
    </w:p>
    <w:p>
      <w:pPr>
        <w:spacing w:after="0" w:line="102" w:lineRule="exact"/>
        <w:rPr>
          <w:sz w:val="20"/>
          <w:szCs w:val="20"/>
          <w:color w:val="auto"/>
        </w:rPr>
      </w:pPr>
    </w:p>
    <w:p>
      <w:pPr>
        <w:ind w:right="160"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Neither the business nor the Properties of any Loan Party, nor, to the knowledge of the Borrower, any Major Project Participant is affected by any fire, explosion, accident, drought, storm, hail, earthquake, embargo, act of God or of the public enemy, or other casualty or event of force majeure, that could reasonably be expected to have a Material Adverse Effect.</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ERISA</w:t>
      </w:r>
      <w:r>
        <w:rPr>
          <w:rFonts w:ascii="Arial" w:cs="Arial" w:eastAsia="Arial" w:hAnsi="Arial"/>
          <w:sz w:val="18"/>
          <w:szCs w:val="18"/>
          <w:color w:val="auto"/>
        </w:rPr>
        <w:t>. Except in each case as could not reasonably be expected to result in a material liability to the Loan Parties, (a) neither a Reportable Event nor an “accumulated funding deficiency” (within the meaning of Section 412 of the Code or Section 302 of ERISA) has occurred during the five-year period prior to the date on which this representation is made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151" w:name="page152"/>
    <w:bookmarkEnd w:id="151"/>
    <w:p>
      <w:pPr>
        <w:ind w:right="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made with respect to any Plan, and each Plan has complied in all material respects with all applicable provisions of ERISA and the Code, (b) no termination of a Single Employer Plan has occurred, and no Lien in favor of the PBGC or a Plan has arisen, during such five-year period, (c)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(d) neither the Borrower, any other Loan Party nor any Commonly Controlled Entity has had a complete or partial withdrawal from any Multiemployer Plan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and (e) as of the Amended and Restated Effective Date, no such Multiemployer Plan is in Reorganization or Insolvent.</w:t>
      </w:r>
    </w:p>
    <w:p>
      <w:pPr>
        <w:spacing w:after="0" w:line="9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Investment Company Act; Other Regulations</w:t>
      </w:r>
      <w:r>
        <w:rPr>
          <w:rFonts w:ascii="Arial" w:cs="Arial" w:eastAsia="Arial" w:hAnsi="Arial"/>
          <w:sz w:val="16"/>
          <w:szCs w:val="16"/>
          <w:color w:val="auto"/>
        </w:rPr>
        <w:t>. Neither the Completion Guarantor, Wynn Resorts Holdings nor any Loan Party is subject to regulation under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Wynn Resorts Holdings and the Loan Parties under the Loan Documents complies with all applicable provisions of the Nevada Gaming Laws, subject to any information filings or reports required by Nevada Gaming Commission Regulation 8.1.30 that are not yet required to have been made.</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 The Persons listed on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constitute all the Subsidiaries of the Borrower as of the Amended and Restated Effective Date.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sets forth as of the Amended and Restated Effective Date, the name and jurisdiction of formation of each Subsidiary of the Borrower and, as to each such Subsidiary, the percentage and number of each class of Capital Stock owned by the Borrower. Each such Subsidiary is a Wholly Owned Subsidiary of the Borrower.</w:t>
      </w:r>
    </w:p>
    <w:p>
      <w:pPr>
        <w:spacing w:after="0" w:line="130" w:lineRule="exact"/>
        <w:rPr>
          <w:sz w:val="20"/>
          <w:szCs w:val="20"/>
          <w:color w:val="auto"/>
        </w:rPr>
      </w:pPr>
    </w:p>
    <w:p>
      <w:pPr>
        <w:ind w:right="200" w:firstLine="464"/>
        <w:spacing w:after="0" w:line="306"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There are no outstanding subscriptions, options, warrants, calls, rights or other agreements or commitments (other than stock options granted to employees, officers or directors and directors’ qualifying shares) of any nature relating to any Capital Stock of the Borrower or any Subsidiary of the Borrower. Neither the Borrower nor any of its Subsidiaries have issued, or authorized the issuance of, any Disqualified Stock.</w:t>
      </w:r>
    </w:p>
    <w:p>
      <w:pPr>
        <w:spacing w:after="0" w:line="93" w:lineRule="exact"/>
        <w:rPr>
          <w:rFonts w:ascii="Arial" w:cs="Arial" w:eastAsia="Arial" w:hAnsi="Arial"/>
          <w:sz w:val="16"/>
          <w:szCs w:val="16"/>
          <w:color w:val="auto"/>
        </w:rPr>
      </w:pPr>
    </w:p>
    <w:p>
      <w:pPr>
        <w:ind w:left="700" w:hanging="23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the Borrower nor any of its Subsidiaries are engaged in any businesses other than the Permitted Businesses.</w:t>
      </w:r>
    </w:p>
    <w:p>
      <w:pPr>
        <w:spacing w:after="0" w:line="15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 Letters of Credit</w:t>
      </w:r>
      <w:r>
        <w:rPr>
          <w:rFonts w:ascii="Arial" w:cs="Arial" w:eastAsia="Arial" w:hAnsi="Arial"/>
          <w:sz w:val="18"/>
          <w:szCs w:val="18"/>
          <w:color w:val="auto"/>
        </w:rPr>
        <w:t>. Subject to the terms of the Disbursement Agreement and this Agreement, the proceeds of the extension of credit under this Agreement shall be used (a) for the payment of transaction costs, fees and expenses incurred in connection with this Agreement and the transactions contemplated hereby, (b) to pay Project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 (c) to pay certain Obligations under the Original Credit Agreement and (d) for working capital and general corporate purposes.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(a) To the knowledge of the Borrower, the Loan Parties: (i) are, and within the period of all applicable statutes of limitation have been, in compliance with all applicable Environmental Laws; and (ii) reasonably believe that compliance with all applicable Environmental Laws that are or are reasonably expected to become applicable to any of them will be timely attained and maintained except, in each case, to the extent any violation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29" w:lineRule="exact"/>
        <w:rPr>
          <w:sz w:val="20"/>
          <w:szCs w:val="20"/>
          <w:color w:val="auto"/>
        </w:rPr>
      </w:pPr>
    </w:p>
    <w:p>
      <w:pPr>
        <w:ind w:right="20" w:firstLine="464"/>
        <w:spacing w:after="0" w:line="291"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individually or collectively, reasonably be expected to (i) give rise to liability of any of the Loan Parties under any applicable Environmental Law or otherwise result in costs to any of the Loan Parties that, individually or in the aggregate,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06"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129"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126" w:lineRule="exact"/>
        <w:rPr>
          <w:rFonts w:ascii="Arial" w:cs="Arial" w:eastAsia="Arial" w:hAnsi="Arial"/>
          <w:sz w:val="18"/>
          <w:szCs w:val="18"/>
          <w:color w:val="auto"/>
        </w:rPr>
      </w:pPr>
    </w:p>
    <w:p>
      <w:pPr>
        <w:ind w:right="340" w:firstLine="464"/>
        <w:spacing w:after="0" w:line="306"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93" w:lineRule="exact"/>
        <w:rPr>
          <w:rFonts w:ascii="Arial" w:cs="Arial" w:eastAsia="Arial" w:hAnsi="Arial"/>
          <w:sz w:val="16"/>
          <w:szCs w:val="16"/>
          <w:color w:val="auto"/>
        </w:rPr>
      </w:pPr>
    </w:p>
    <w:p>
      <w:pPr>
        <w:ind w:right="40" w:firstLine="464"/>
        <w:spacing w:after="0" w:line="259" w:lineRule="auto"/>
        <w:tabs>
          <w:tab w:leader="none" w:pos="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80" w:right="279" w:bottom="1440" w:gutter="0" w:footer="0" w:header="0"/>
        </w:sectPr>
      </w:pPr>
    </w:p>
    <w:bookmarkStart w:id="153" w:name="page154"/>
    <w:bookmarkEnd w:id="153"/>
    <w:p>
      <w:pPr>
        <w:ind w:right="120" w:firstLine="464"/>
        <w:spacing w:after="0" w:line="306"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any other Loan Document, the Confidential Information Memorandum or any other document, certificate or statement furnished, in each case in writing and other than projections, estimates and other forward-looking information, to the Arrangers, the Agents, the Managers or the Lenders or any of them, by or on behalf of any Loan Party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in order to make the statements contained herein or therein not misleading in light of the circumstances in which such statements were made. The projections, estimates and other forward-looking information and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that no assurance is given that the results forecasted in such financial information will be achieved and that actual results during the period or periods covered by such financial information are subject to significant uncertainties (many of which are not in the control of the Loan Parties) and may differ from the projected results set forth therein by a material amount.</w:t>
      </w:r>
    </w:p>
    <w:p>
      <w:pPr>
        <w:spacing w:after="0" w:line="111"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Security Documents</w:t>
      </w:r>
      <w:r>
        <w:rPr>
          <w:rFonts w:ascii="Arial" w:cs="Arial" w:eastAsia="Arial" w:hAnsi="Arial"/>
          <w:sz w:val="16"/>
          <w:szCs w:val="16"/>
          <w:color w:val="auto"/>
        </w:rPr>
        <w:t>. (a) The Security Agreement is effective to create in favor of the Collateral Agent, for the benefit of the Secured Parties, a legal, valid and binding security interest in the Collateral described therein and proceeds and products thereof. In the case of the certificated Pledged Stock, when any stock or membership certificates representing such certificated Pledged Stock are delivered to the Collateral Agent with a corresponding endorsement, and in the case of the other Collateral described in the Security Agreement, when financing statements in appropriate form are filed in the offices specified on</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Schedule 4.19(a)-1</w:t>
      </w:r>
      <w:r>
        <w:rPr>
          <w:rFonts w:ascii="Arial" w:cs="Arial" w:eastAsia="Arial" w:hAnsi="Arial"/>
          <w:sz w:val="18"/>
          <w:szCs w:val="18"/>
          <w:color w:val="auto"/>
        </w:rPr>
        <w:t xml:space="preserve"> and such other filings and actions as are specified on Schedule 3 to the Security Agreement are made and taken (which may or may not be required pursuant to the terms of the Security Agreement), the Security Agreement shall constitute a fully perfected Lien on, and security interest in, all right, title and interest of Wynn Resorts Holdings and the Loan Parties in such Collateral and the proceeds and products thereof, as security for the Obligations, in each case subject only to Permitted Liens and prior and superior in right to any other Lien (except Senior Permitted Liens). </w:t>
      </w:r>
      <w:r>
        <w:rPr>
          <w:rFonts w:ascii="Arial" w:cs="Arial" w:eastAsia="Arial" w:hAnsi="Arial"/>
          <w:sz w:val="18"/>
          <w:szCs w:val="18"/>
          <w:u w:val="single" w:color="auto"/>
          <w:color w:val="auto"/>
        </w:rPr>
        <w:t>Schedule 4.19(a)-2</w:t>
      </w:r>
      <w:r>
        <w:rPr>
          <w:rFonts w:ascii="Arial" w:cs="Arial" w:eastAsia="Arial" w:hAnsi="Arial"/>
          <w:sz w:val="18"/>
          <w:szCs w:val="18"/>
          <w:color w:val="auto"/>
        </w:rPr>
        <w:t xml:space="preserve"> lists as of the Amended and Restated Effective Date each UCC Financing Statement that names Wynn Resorts Holdings or any Loan Party as debtor and will remain on file after the Amended and Restated Effective Date.</w:t>
      </w:r>
    </w:p>
    <w:p>
      <w:pPr>
        <w:spacing w:after="0" w:line="135" w:lineRule="exact"/>
        <w:rPr>
          <w:sz w:val="20"/>
          <w:szCs w:val="20"/>
          <w:color w:val="auto"/>
        </w:rPr>
      </w:pPr>
    </w:p>
    <w:p>
      <w:pPr>
        <w:ind w:right="20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the Mortgages is effective to create in favor of the Collateral Agent, for the benefit of the Secured Parties, a legal, valid and binding Lien on, and security interest in, the Mortgaged Properties described therein and proceeds and products thereof, and when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80" w:right="279" w:bottom="1440" w:gutter="0" w:footer="0" w:header="0"/>
        </w:sectPr>
      </w:pPr>
    </w:p>
    <w:bookmarkStart w:id="154" w:name="page155"/>
    <w:bookmarkEnd w:id="15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Mortgages and related fixture filings are filed in the offices specified on </w:t>
      </w:r>
      <w:r>
        <w:rPr>
          <w:rFonts w:ascii="Arial" w:cs="Arial" w:eastAsia="Arial" w:hAnsi="Arial"/>
          <w:sz w:val="18"/>
          <w:szCs w:val="18"/>
          <w:u w:val="single" w:color="auto"/>
          <w:color w:val="auto"/>
        </w:rPr>
        <w:t>Schedule 4.19(b)</w:t>
      </w:r>
      <w:r>
        <w:rPr>
          <w:rFonts w:ascii="Arial" w:cs="Arial" w:eastAsia="Arial" w:hAnsi="Arial"/>
          <w:sz w:val="18"/>
          <w:szCs w:val="18"/>
          <w:color w:val="auto"/>
        </w:rPr>
        <w:t>, each such Mortgage shall constitute a fully perfected Lien on, and security interest in, all of the Mortgaged Properties and the proceeds and products thereof, as security for the Obligations, in each case subject only to Permitted Liens and prior and superior in right to any other Lien (except Senior Permitted Liens).</w:t>
      </w:r>
    </w:p>
    <w:p>
      <w:pPr>
        <w:spacing w:after="0" w:line="127" w:lineRule="exact"/>
        <w:rPr>
          <w:sz w:val="20"/>
          <w:szCs w:val="20"/>
          <w:color w:val="auto"/>
        </w:rPr>
      </w:pPr>
    </w:p>
    <w:p>
      <w:pPr>
        <w:ind w:firstLine="464"/>
        <w:spacing w:after="0" w:line="283" w:lineRule="auto"/>
        <w:tabs>
          <w:tab w:leader="none" w:pos="695"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Intellectual Property Security Agreements are effective to create in favor of the Collateral Agent, for the benefit of the Secured Parties, a legal, valid and binding security interest in the Intellectual Property Collateral described therein and proceeds and products thereof. With respect to domestic Intellectual Property Collateral, upon (i) the filing and recordation of the Intellectual Property Security Agreements in the appropriate indexes of the United States Patent and Trademark Office relative to patents and trademarks, and the United States Copyright Office relative to copyrights, together with payment of all requisite fees and</w:t>
      </w:r>
    </w:p>
    <w:p>
      <w:pPr>
        <w:spacing w:after="0" w:line="2" w:lineRule="exact"/>
        <w:rPr>
          <w:rFonts w:ascii="Arial" w:cs="Arial" w:eastAsia="Arial" w:hAnsi="Arial"/>
          <w:sz w:val="16"/>
          <w:szCs w:val="16"/>
          <w:color w:val="auto"/>
        </w:rPr>
      </w:pPr>
    </w:p>
    <w:p>
      <w:pPr>
        <w:ind w:right="80" w:firstLine="8"/>
        <w:spacing w:after="0" w:line="253" w:lineRule="auto"/>
        <w:tabs>
          <w:tab w:leader="none" w:pos="2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filing of financing statements in appropriate form for filing in the offices specified on </w:t>
      </w:r>
      <w:r>
        <w:rPr>
          <w:rFonts w:ascii="Arial" w:cs="Arial" w:eastAsia="Arial" w:hAnsi="Arial"/>
          <w:sz w:val="18"/>
          <w:szCs w:val="18"/>
          <w:u w:val="single" w:color="auto"/>
          <w:color w:val="auto"/>
        </w:rPr>
        <w:t>Schedule 4.19(c)</w:t>
      </w:r>
      <w:r>
        <w:rPr>
          <w:rFonts w:ascii="Arial" w:cs="Arial" w:eastAsia="Arial" w:hAnsi="Arial"/>
          <w:sz w:val="18"/>
          <w:szCs w:val="18"/>
          <w:color w:val="auto"/>
        </w:rPr>
        <w:t xml:space="preserve"> (which financing statements have been duly completed and filed by the Collateral Agent in accordance with applicable Requirements of Law) the Intellectual Property Security Agreements shall constitute a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Control Agreements are effective to create in favor of the Collateral Agent, for the benefit of the Secured Parties, a legal, valid and binding security interest in the Accounts described therein and proceeds and products thereof. Upon the execution of the Control Agreements, the Control Agreements shall constitute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Solvency</w:t>
      </w:r>
      <w:r>
        <w:rPr>
          <w:rFonts w:ascii="Arial" w:cs="Arial" w:eastAsia="Arial" w:hAnsi="Arial"/>
          <w:sz w:val="16"/>
          <w:szCs w:val="16"/>
          <w:color w:val="auto"/>
        </w:rPr>
        <w:t>. The Loan Parties taken as a whole, each significant Loan Party and the Completion Guarantor are, and immediately after giving effect to</w:t>
      </w:r>
    </w:p>
    <w:p>
      <w:pPr>
        <w:spacing w:after="0" w:line="38" w:lineRule="exact"/>
        <w:rPr>
          <w:sz w:val="20"/>
          <w:szCs w:val="20"/>
          <w:color w:val="auto"/>
        </w:rPr>
      </w:pPr>
    </w:p>
    <w:p>
      <w:pPr>
        <w:ind w:right="360" w:firstLine="8"/>
        <w:spacing w:after="0" w:line="323" w:lineRule="auto"/>
        <w:tabs>
          <w:tab w:leader="none" w:pos="23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of all Indebtedness, (b) the use of the proceeds of such Indebtedness (including, without limitation, the use of proceeds of the extensions of credit made by the Lenders hereunder) and (c) obligations being incurred in connection with the Operative Documents, will be Solvent.</w:t>
      </w:r>
    </w:p>
    <w:p>
      <w:pPr>
        <w:spacing w:after="0" w:line="7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Senior Indebtedness</w:t>
      </w:r>
      <w:r>
        <w:rPr>
          <w:rFonts w:ascii="Arial" w:cs="Arial" w:eastAsia="Arial" w:hAnsi="Arial"/>
          <w:sz w:val="15"/>
          <w:szCs w:val="15"/>
          <w:color w:val="auto"/>
        </w:rPr>
        <w:t>. The Obligations (including, without limitation, the guarantee obligations of each Guarantor under the Loan Documents) constitute senior secured debt of each of the Loan Parties and “Permitted Debt” under and as defined in the 2014 Notes Indenture. The 2014 Notes are the legal,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the 2014 Notes by Borrower and Capital Corp. did not violate any applicable federal or state securities laws.</w:t>
      </w:r>
    </w:p>
    <w:p>
      <w:pPr>
        <w:spacing w:after="0" w:line="8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Regulation H</w:t>
      </w:r>
      <w:r>
        <w:rPr>
          <w:rFonts w:ascii="Arial" w:cs="Arial" w:eastAsia="Arial" w:hAnsi="Arial"/>
          <w:sz w:val="18"/>
          <w:szCs w:val="18"/>
          <w:color w:val="auto"/>
        </w:rPr>
        <w:t>. No Mortgage encumbers improved real property which is located in an area that has been identified by the Secretary of Housing and Urban Development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an area having special flood hazards and in which flood insurance has been made available under the National Flood Insurance Act of 1968.</w:t>
      </w:r>
    </w:p>
    <w:p>
      <w:pPr>
        <w:spacing w:after="0" w:line="18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Insurance</w:t>
      </w:r>
      <w:r>
        <w:rPr>
          <w:rFonts w:ascii="Arial" w:cs="Arial" w:eastAsia="Arial" w:hAnsi="Arial"/>
          <w:sz w:val="16"/>
          <w:szCs w:val="16"/>
          <w:color w:val="auto"/>
        </w:rPr>
        <w:t>. Each of the Loan Parties is insured by insurers of recognized financial responsibility against such losses and risks and in such amounts as are prudent and customary in the businesses in which it is engaged and in any event in accordance with Section 6.5. None of the Loan Parties has any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Performance of Agreements; Material Contracts</w:t>
      </w:r>
      <w:r>
        <w:rPr>
          <w:rFonts w:ascii="Arial" w:cs="Arial" w:eastAsia="Arial" w:hAnsi="Arial"/>
          <w:sz w:val="16"/>
          <w:szCs w:val="16"/>
          <w:color w:val="auto"/>
        </w:rPr>
        <w:t xml:space="preserve">. No Loan Party is in default in the performance, 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contains a true, correct and complete list of the Material Contracts in effect on the Amended and Restated Effective Date.</w:t>
      </w:r>
    </w:p>
    <w:p>
      <w:pPr>
        <w:spacing w:after="0" w:line="99"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Real Estate</w:t>
      </w:r>
      <w:r>
        <w:rPr>
          <w:rFonts w:ascii="Arial" w:cs="Arial" w:eastAsia="Arial" w:hAnsi="Arial"/>
          <w:sz w:val="16"/>
          <w:szCs w:val="16"/>
          <w:color w:val="auto"/>
        </w:rPr>
        <w:t xml:space="preserve">. (a) As of the Amended and Restated Effective Date, </w:t>
      </w:r>
      <w:r>
        <w:rPr>
          <w:rFonts w:ascii="Arial" w:cs="Arial" w:eastAsia="Arial" w:hAnsi="Arial"/>
          <w:sz w:val="16"/>
          <w:szCs w:val="16"/>
          <w:u w:val="single" w:color="auto"/>
          <w:color w:val="auto"/>
        </w:rPr>
        <w:t>Schedule 4.25(a)</w:t>
      </w:r>
      <w:r>
        <w:rPr>
          <w:rFonts w:ascii="Arial" w:cs="Arial" w:eastAsia="Arial" w:hAnsi="Arial"/>
          <w:sz w:val="16"/>
          <w:szCs w:val="16"/>
          <w:color w:val="auto"/>
        </w:rPr>
        <w:t xml:space="preserve"> sets forth a true, complete and correct list of all Real Estate, including a brief description thereof, including, in the case of leases, the street address, landlord name, tenant name, current rent amount, lease date and lease expiration date. The Borrower has delivered to the Administrative Agent true, complete and correct copies of all such leases.</w:t>
      </w:r>
    </w:p>
    <w:p>
      <w:pPr>
        <w:spacing w:after="0" w:line="93" w:lineRule="exact"/>
        <w:rPr>
          <w:sz w:val="20"/>
          <w:szCs w:val="20"/>
          <w:color w:val="auto"/>
        </w:rPr>
      </w:pPr>
    </w:p>
    <w:p>
      <w:pPr>
        <w:ind w:firstLine="464"/>
        <w:spacing w:after="0" w:line="306"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such non-conforming use could not, individually or collectively, reasonably be expected to have a Material Adverse Effect.</w:t>
      </w:r>
    </w:p>
    <w:p>
      <w:pPr>
        <w:spacing w:after="0" w:line="93" w:lineRule="exact"/>
        <w:rPr>
          <w:rFonts w:ascii="Arial" w:cs="Arial" w:eastAsia="Arial" w:hAnsi="Arial"/>
          <w:sz w:val="16"/>
          <w:szCs w:val="16"/>
          <w:color w:val="auto"/>
        </w:rPr>
      </w:pPr>
    </w:p>
    <w:p>
      <w:pPr>
        <w:ind w:right="420" w:firstLine="464"/>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Taking has been commenced or, to the Borrower’s knowledge, is contemplated with respect to all or any portion of any Real Estate or for the relocation of roadways providing access to such Real Estate except, in each case, as could not, individually or collectively, reasonably be expected to have a Material Adverse Effect.</w:t>
      </w:r>
    </w:p>
    <w:p>
      <w:pPr>
        <w:spacing w:after="0" w:line="126"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Except for those disclosed in the Title Policies or as set forth on </w:t>
      </w:r>
      <w:r>
        <w:rPr>
          <w:rFonts w:ascii="Arial" w:cs="Arial" w:eastAsia="Arial" w:hAnsi="Arial"/>
          <w:sz w:val="16"/>
          <w:szCs w:val="16"/>
          <w:u w:val="single" w:color="auto"/>
          <w:color w:val="auto"/>
        </w:rPr>
        <w:t>Schedule 4.25(d)</w:t>
      </w:r>
      <w:r>
        <w:rPr>
          <w:rFonts w:ascii="Arial" w:cs="Arial" w:eastAsia="Arial" w:hAnsi="Arial"/>
          <w:sz w:val="16"/>
          <w:szCs w:val="16"/>
          <w:color w:val="auto"/>
        </w:rPr>
        <w:t>, as of the Amended and Restated Effective Date there are no current, pending or, to the knowledge of the Borrower, proposed special or other assessments (other than for ad valorem taxes)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assessments, in any case that could reasonably be expected to result in a material liability to any Loan Party.</w:t>
      </w:r>
    </w:p>
    <w:p>
      <w:pPr>
        <w:spacing w:after="0" w:line="158" w:lineRule="exact"/>
        <w:rPr>
          <w:sz w:val="20"/>
          <w:szCs w:val="20"/>
          <w:color w:val="auto"/>
        </w:rPr>
      </w:pPr>
    </w:p>
    <w:p>
      <w:pPr>
        <w:ind w:right="40" w:firstLine="464"/>
        <w:spacing w:after="0" w:line="335" w:lineRule="auto"/>
        <w:tabs>
          <w:tab w:leader="none" w:pos="695" w:val="left"/>
        </w:tabs>
        <w:numPr>
          <w:ilvl w:val="0"/>
          <w:numId w:val="91"/>
        </w:numPr>
        <w:rPr>
          <w:rFonts w:ascii="Arial" w:cs="Arial" w:eastAsia="Arial" w:hAnsi="Arial"/>
          <w:sz w:val="15"/>
          <w:szCs w:val="15"/>
          <w:color w:val="auto"/>
        </w:rPr>
      </w:pPr>
      <w:r>
        <w:rPr>
          <w:rFonts w:ascii="Arial" w:cs="Arial" w:eastAsia="Arial" w:hAnsi="Arial"/>
          <w:sz w:val="15"/>
          <w:szCs w:val="15"/>
          <w:color w:val="auto"/>
        </w:rPr>
        <w:t>None of the Loan Parties has suffered, permitted or initiated the joint assessment of any Real Estate with any other real property not owned by such Loan Party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74" w:lineRule="exact"/>
        <w:rPr>
          <w:rFonts w:ascii="Arial" w:cs="Arial" w:eastAsia="Arial" w:hAnsi="Arial"/>
          <w:sz w:val="15"/>
          <w:szCs w:val="15"/>
          <w:color w:val="auto"/>
        </w:rPr>
      </w:pPr>
    </w:p>
    <w:p>
      <w:pPr>
        <w:ind w:right="20" w:firstLine="464"/>
        <w:spacing w:after="0" w:line="259" w:lineRule="auto"/>
        <w:tabs>
          <w:tab w:leader="none" w:pos="6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use being made of all Real Estate is in conformity with the certificate of occupancy and/or such other Permits for such Real Estate and any other reciprocal easement agreements, restrictions, covenants or conditions affecting such Real Estate except, in each case, to the extent such non-conformity could not reasonably be expected to have a Material Adverse Effect.</w:t>
      </w:r>
    </w:p>
    <w:p>
      <w:pPr>
        <w:spacing w:after="0" w:line="126"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are no outstanding options to purchase or rights of first refusal or restrictions on transferability affecting any Real Estate (other than those set forth in or otherwise permitted under the Loan Documents, including, without limitation, Permitted Liens).</w:t>
      </w:r>
    </w:p>
    <w:p>
      <w:pPr>
        <w:spacing w:after="0" w:line="118" w:lineRule="exact"/>
        <w:rPr>
          <w:rFonts w:ascii="Arial" w:cs="Arial" w:eastAsia="Arial" w:hAnsi="Arial"/>
          <w:sz w:val="18"/>
          <w:szCs w:val="18"/>
          <w:color w:val="auto"/>
        </w:rPr>
      </w:pPr>
    </w:p>
    <w:p>
      <w:pPr>
        <w:ind w:right="260" w:firstLine="464"/>
        <w:spacing w:after="0" w:line="298"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Real Estate has or is expected to have adequate rights of access to public ways and is or is expected to be served by installed, operating and adequate water, electric, gas, telephone, sewer, sanitary sewer and storm drain facilities, in each case as necessary to permit the Real Estate to be used for its intended purposes. All roads necessary for the utilization of the Real Estate for its current purpose have been or are expected to be completed and dedicated to public use and accepted by all Governmental Authorities or are the subject of access easements for the benefit of such Real Estate.</w:t>
      </w:r>
    </w:p>
    <w:p>
      <w:pPr>
        <w:spacing w:after="0" w:line="99" w:lineRule="exact"/>
        <w:rPr>
          <w:rFonts w:ascii="Arial" w:cs="Arial" w:eastAsia="Arial" w:hAnsi="Arial"/>
          <w:sz w:val="16"/>
          <w:szCs w:val="16"/>
          <w:color w:val="auto"/>
        </w:rPr>
      </w:pPr>
    </w:p>
    <w:p>
      <w:pPr>
        <w:ind w:firstLine="464"/>
        <w:spacing w:after="0" w:line="259" w:lineRule="auto"/>
        <w:tabs>
          <w:tab w:leader="none" w:pos="6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could not, individually or collectively, reasonably be expected to have a Material Adverse Effect, no building or structure constituting Real Estate or any appurtenance thereto or equipment thereon, or the use, operation or maintenance thereof, violates any restrictive covenant affecting such Real Estate or encroaches on any easement or on any property owned by others.</w:t>
      </w:r>
    </w:p>
    <w:p>
      <w:pPr>
        <w:spacing w:after="0" w:line="126" w:lineRule="exact"/>
        <w:rPr>
          <w:rFonts w:ascii="Arial" w:cs="Arial" w:eastAsia="Arial" w:hAnsi="Arial"/>
          <w:sz w:val="18"/>
          <w:szCs w:val="18"/>
          <w:color w:val="auto"/>
        </w:rPr>
      </w:pPr>
    </w:p>
    <w:p>
      <w:pPr>
        <w:ind w:right="560" w:firstLine="464"/>
        <w:spacing w:after="0" w:line="268" w:lineRule="auto"/>
        <w:tabs>
          <w:tab w:leader="none" w:pos="6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Since the Closing Date, no portion of the Real Estate has suffered any material damage by fire or other casualty loss that has not heretofore been repaired and restored or is in the process of being repaired and restored in accordance with Section 2.24.</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Permits</w:t>
      </w:r>
      <w:r>
        <w:rPr>
          <w:rFonts w:ascii="Arial" w:cs="Arial" w:eastAsia="Arial" w:hAnsi="Arial"/>
          <w:sz w:val="18"/>
          <w:szCs w:val="18"/>
          <w:color w:val="auto"/>
        </w:rPr>
        <w:t>. Other than exceptions to any of the following that could not, individually or in the aggregate, reasonably be expected to have a Material Adverse Effect: (a) each of the Loan Parties has obtained and holds all Permits required as of the date this representation is deemed made in respect of all Real Estate and for any other Property otherwise then currently operated by or on behalf of, or for the benefit of, such Person and for the operation of its then current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80" w:right="279" w:bottom="1440" w:gutter="0" w:footer="0" w:header="0"/>
        </w:sectPr>
      </w:pPr>
    </w:p>
    <w:bookmarkStart w:id="157" w:name="page158"/>
    <w:bookmarkEnd w:id="15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 modification, suspension or termination by the issuer thereof or in any other impairment of the rights of the holder of any such Permit, (d) no such Permits, other than Permits required by the Nevada Gaming Authorities, contain any restrictions, either individually or in the aggregate, that are materially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 any such Permit and (f) each of the Loan Parties reasonably believes that each such Permit will be timely renewed and complied with, without unreasonable expense or delay, and that any such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Sufficiency of Interests</w:t>
      </w:r>
      <w:r>
        <w:rPr>
          <w:rFonts w:ascii="Arial" w:cs="Arial" w:eastAsia="Arial" w:hAnsi="Arial"/>
          <w:sz w:val="18"/>
          <w:szCs w:val="18"/>
          <w:color w:val="auto"/>
        </w:rPr>
        <w:t>. Other than those services to be performed and materials to be supplied that can be reasonably expected to be commercially available when and as required, the Loan Parties own or hold under lease all of the property interests and have entered into all documents and agreements necessary to develop, construct, complete, own and operate the Project (including access to sufficient water rights) on the Mortgaged Property, all in accordance with all Requirements of Law.</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Utilities</w:t>
      </w:r>
      <w:r>
        <w:rPr>
          <w:rFonts w:ascii="Arial" w:cs="Arial" w:eastAsia="Arial" w:hAnsi="Arial"/>
          <w:sz w:val="18"/>
          <w:szCs w:val="18"/>
          <w:color w:val="auto"/>
        </w:rPr>
        <w:t>. All gas, water and electrical interconnection and utility services necessary for the construction and operation of the Project for its intended purposes are or will be available at the Site as and when required.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each of the Loan Parties (including the Borrower) ends on December 31 of each calendar year.</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Patriot Act</w:t>
      </w:r>
      <w:r>
        <w:rPr>
          <w:rFonts w:ascii="Arial" w:cs="Arial" w:eastAsia="Arial" w:hAnsi="Arial"/>
          <w:sz w:val="16"/>
          <w:szCs w:val="16"/>
          <w:color w:val="auto"/>
        </w:rPr>
        <w:t>. To the extent applicable, each Loan Party is in compliance, in all material respects, with the (i) Trading with the Enemy Act, as 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No part of the proceeds of any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SECTION 5. CONDITIONS PRECEDENT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 INTENTIONALLY OMITTED.</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Extensions of Credit Pursuant to Section 2.5(a) or 3.2(a)</w:t>
      </w:r>
      <w:r>
        <w:rPr>
          <w:rFonts w:ascii="Arial" w:cs="Arial" w:eastAsia="Arial" w:hAnsi="Arial"/>
          <w:sz w:val="18"/>
          <w:szCs w:val="18"/>
          <w:color w:val="auto"/>
        </w:rPr>
        <w:t>. The agreement of each Lender to make extensions of credit requested to be made by it pursuant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280" w:right="339" w:bottom="1440" w:gutter="0" w:footer="0" w:header="0"/>
        </w:sectPr>
      </w:pPr>
    </w:p>
    <w:bookmarkStart w:id="158" w:name="page159"/>
    <w:bookmarkEnd w:id="158"/>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Section 2.5(a) or 3.2(a), as applicable, is subject to the satisfaction, prior to or concurrently with the making of such extensions of credit, of the following conditions precedent:</w:t>
      </w:r>
    </w:p>
    <w:p>
      <w:pPr>
        <w:spacing w:after="0" w:line="118" w:lineRule="exact"/>
        <w:rPr>
          <w:sz w:val="20"/>
          <w:szCs w:val="20"/>
          <w:color w:val="auto"/>
        </w:rPr>
      </w:pPr>
    </w:p>
    <w:p>
      <w:pPr>
        <w:ind w:firstLine="464"/>
        <w:spacing w:after="0" w:line="298"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The Borrower and/or the Disbursement Agent, as the case may be, shall have delivered to the Administrative Agent and, in the case of Letters of Credit, the Issuing Lender, the Notice of Advance Request with respect to the Loans and/or Letters of Credit requested on such Borrowing Date, in each case in the form, at the times and as required under Section 2.3 of the Disbursement Agreement and in accordance with the procedures specified in Section 2.5(a) hereof in the case of Loans and Section 3.2(a) hereof in the case of Letters of Credit.</w:t>
      </w:r>
    </w:p>
    <w:p>
      <w:pPr>
        <w:spacing w:after="0" w:line="99" w:lineRule="exact"/>
        <w:rPr>
          <w:rFonts w:ascii="Arial" w:cs="Arial" w:eastAsia="Arial" w:hAnsi="Arial"/>
          <w:sz w:val="16"/>
          <w:szCs w:val="16"/>
          <w:color w:val="auto"/>
        </w:rPr>
      </w:pPr>
    </w:p>
    <w:p>
      <w:pPr>
        <w:ind w:right="400" w:firstLine="464"/>
        <w:spacing w:after="0" w:line="332"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Satisfaction of Disbursement Agreement Conditions Precedent</w:t>
      </w:r>
      <w:r>
        <w:rPr>
          <w:rFonts w:ascii="Arial" w:cs="Arial" w:eastAsia="Arial" w:hAnsi="Arial"/>
          <w:sz w:val="16"/>
          <w:szCs w:val="16"/>
          <w:color w:val="auto"/>
        </w:rPr>
        <w:t>. All conditions precedent to such extension of credit described in Section 3.2 of the Disbursement Agreement, shall have been satisfied or waived in accordance with the terms of the Disbursement Agreement.</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Extensions of Credit Requested Pursuant to Section 2.5(b) or 3.2(b)</w:t>
      </w:r>
      <w:r>
        <w:rPr>
          <w:rFonts w:ascii="Arial" w:cs="Arial" w:eastAsia="Arial" w:hAnsi="Arial"/>
          <w:sz w:val="18"/>
          <w:szCs w:val="18"/>
          <w:color w:val="auto"/>
        </w:rPr>
        <w:t>. The agreement of each Lender to make extensions of credit requested to be made by it pursuant to Sections 2.5(b) or 3.2(b) is subject to the satisfaction, prior to or concurrently with the making of such extensions of credit, of the following conditions precedent:</w:t>
      </w:r>
    </w:p>
    <w:p>
      <w:pPr>
        <w:spacing w:after="0" w:line="127" w:lineRule="exact"/>
        <w:rPr>
          <w:sz w:val="20"/>
          <w:szCs w:val="20"/>
          <w:color w:val="auto"/>
        </w:rPr>
      </w:pPr>
    </w:p>
    <w:p>
      <w:pPr>
        <w:jc w:val="both"/>
        <w:ind w:right="140" w:firstLine="464"/>
        <w:spacing w:after="0" w:line="335" w:lineRule="auto"/>
        <w:tabs>
          <w:tab w:leader="none" w:pos="695"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The Borrower shall have delivered (i) in the case of the borrowing of Loans, a Notice of Borrowing to the Administrative Agent in accordance with the procedures specified in Section 2.5(b) and (ii) in the case of the issuance of Letters of Credit, a Letter of Credit Request and the certificates, documents and other papers and information delivered to it in connection therewith to the Issuing Lender in accordance with the procedures specified in Section 3.2(b).</w:t>
      </w:r>
    </w:p>
    <w:p>
      <w:pPr>
        <w:spacing w:after="0" w:line="74" w:lineRule="exact"/>
        <w:rPr>
          <w:rFonts w:ascii="Arial" w:cs="Arial" w:eastAsia="Arial" w:hAnsi="Arial"/>
          <w:sz w:val="15"/>
          <w:szCs w:val="15"/>
          <w:color w:val="auto"/>
        </w:rPr>
      </w:pPr>
    </w:p>
    <w:p>
      <w:pPr>
        <w:jc w:val="both"/>
        <w:ind w:right="60" w:firstLine="464"/>
        <w:spacing w:after="0" w:line="256"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Completion Guarantor, Wynn Resorts Holdings or any Loan 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only as of such earlier date.</w:t>
      </w:r>
    </w:p>
    <w:p>
      <w:pPr>
        <w:spacing w:after="0" w:line="129"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immediately after giving effect to the extensions of credit requested to be made on such date.</w:t>
      </w:r>
    </w:p>
    <w:p>
      <w:pPr>
        <w:spacing w:after="0" w:line="118"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No events or circumstances individually or collectively having a Material Adverse Effect shall have occurred since the Closing Date (except as is no longer continuing).</w:t>
      </w:r>
    </w:p>
    <w:p>
      <w:pPr>
        <w:spacing w:after="0" w:line="118"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Project Costs</w:t>
      </w:r>
      <w:r>
        <w:rPr>
          <w:rFonts w:ascii="Arial" w:cs="Arial" w:eastAsia="Arial" w:hAnsi="Arial"/>
          <w:sz w:val="18"/>
          <w:szCs w:val="18"/>
          <w:color w:val="auto"/>
        </w:rPr>
        <w:t>. With respect to extensions of credit that are to be applied toward the payment of Project Costs, the Company shall be in compliance with Section 6.7 of the Disbursement Agreement as if payment for such Project Costs were to made on the Borrowing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159" w:name="page160"/>
    <w:bookmarkEnd w:id="159"/>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borrowing of Loans by and issuance of a Letter of Credit on behalf of the Borrower pursuant to Sections 2.5(b) or 3.2(b) shall constitute a representation and warranty by the Borrower as of the date of such extension of credit that the conditions contained in this Section 5.3 have been satisfied.</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Conditions to Amended and Restated Effective Date</w:t>
      </w:r>
      <w:r>
        <w:rPr>
          <w:rFonts w:ascii="Arial" w:cs="Arial" w:eastAsia="Arial" w:hAnsi="Arial"/>
          <w:sz w:val="18"/>
          <w:szCs w:val="18"/>
          <w:color w:val="auto"/>
        </w:rPr>
        <w:t>. The occurrence of the Amended and Restated Effective Date is subject to the satisfaction of the following conditions precedent:</w:t>
      </w:r>
    </w:p>
    <w:p>
      <w:pPr>
        <w:spacing w:after="0" w:line="118" w:lineRule="exact"/>
        <w:rPr>
          <w:sz w:val="20"/>
          <w:szCs w:val="20"/>
          <w:color w:val="auto"/>
        </w:rPr>
      </w:pPr>
    </w:p>
    <w:p>
      <w:pPr>
        <w:ind w:firstLine="464"/>
        <w:spacing w:after="0" w:line="298"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Lender Approval</w:t>
      </w:r>
      <w:r>
        <w:rPr>
          <w:rFonts w:ascii="Arial" w:cs="Arial" w:eastAsia="Arial" w:hAnsi="Arial"/>
          <w:sz w:val="16"/>
          <w:szCs w:val="16"/>
          <w:color w:val="auto"/>
        </w:rPr>
        <w:t>. The Administrative Agent shall have received the necessary authorization from the Lenders, the Borrower shall have taken such other action as required under Section 2.25 and such additional Persons shall have become Lenders hereunder such that on the Amended and Restated Effective Date, and after taking into consideration the repayment of Term B Loans described in clause (b) below and any Revolving Loans made on the Amended and Restated Effective Date, the Lenders and their Commitments and Term B Loan Extensions of Credit shall be as set forth on Annex B hereto.</w:t>
      </w:r>
    </w:p>
    <w:p>
      <w:pPr>
        <w:spacing w:after="0" w:line="99" w:lineRule="exact"/>
        <w:rPr>
          <w:rFonts w:ascii="Arial" w:cs="Arial" w:eastAsia="Arial" w:hAnsi="Arial"/>
          <w:sz w:val="16"/>
          <w:szCs w:val="16"/>
          <w:color w:val="auto"/>
        </w:rPr>
      </w:pPr>
    </w:p>
    <w:p>
      <w:pPr>
        <w:ind w:right="40" w:firstLine="464"/>
        <w:spacing w:after="0" w:line="318" w:lineRule="auto"/>
        <w:tabs>
          <w:tab w:leader="none" w:pos="705"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Fees, Interest and Repayment of Term B Loans</w:t>
      </w:r>
      <w:r>
        <w:rPr>
          <w:rFonts w:ascii="Arial" w:cs="Arial" w:eastAsia="Arial" w:hAnsi="Arial"/>
          <w:sz w:val="15"/>
          <w:szCs w:val="15"/>
          <w:color w:val="auto"/>
        </w:rPr>
        <w:t>. All amounts required to be paid to the Arrangers or the Administrative Agent and all taxes, fees and other costs payable in connection with the execution, delivery, recordation and filing of the documents and instruments referred to in this Section 5.4 (or otherwise in connection with the Amended and Restated Effective Date), shall have been paid in full. All accrued interest and fees under this Agreement as of the Amended and Restated Effective Date (including Revolving Commitment Fees) shall have been paid in full. Additionally, all proceeds on deposit in the Bank Proceeds Account on the Amended and Restated Effective Date shall be applied to the repayment of Term B Loans on the Amended and Restated Effective Date.</w:t>
      </w:r>
    </w:p>
    <w:p>
      <w:pPr>
        <w:spacing w:after="0" w:line="86" w:lineRule="exact"/>
        <w:rPr>
          <w:rFonts w:ascii="Arial" w:cs="Arial" w:eastAsia="Arial" w:hAnsi="Arial"/>
          <w:sz w:val="15"/>
          <w:szCs w:val="15"/>
          <w:color w:val="auto"/>
        </w:rPr>
      </w:pPr>
    </w:p>
    <w:p>
      <w:pPr>
        <w:ind w:firstLine="464"/>
        <w:spacing w:after="0" w:line="255"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Borrower shall have delivered to the Administrative Agent (with such number of originally executed copies as they may reasonably request) executed originals of (i) this Agreement, (ii) the Reaffirmation Agreement, (iii) the Fourth Amendment to Disbursement Agreement in the form of Exhibit L hereto and (iv) the First Amendment to Mortgage in the form of Exhibit P hereto (collectively, the “</w:t>
      </w:r>
      <w:r>
        <w:rPr>
          <w:rFonts w:ascii="Arial" w:cs="Arial" w:eastAsia="Arial" w:hAnsi="Arial"/>
          <w:sz w:val="18"/>
          <w:szCs w:val="18"/>
          <w:u w:val="single" w:color="auto"/>
          <w:color w:val="auto"/>
        </w:rPr>
        <w:t>Amended and Restated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all of which shall be in form and substance satisfactory to the Administrative Agent and shall have been duly authorized, executed and delivered by the parties thereto.</w:t>
      </w:r>
    </w:p>
    <w:p>
      <w:pPr>
        <w:spacing w:after="0" w:line="129" w:lineRule="exact"/>
        <w:rPr>
          <w:rFonts w:ascii="Arial" w:cs="Arial" w:eastAsia="Arial" w:hAnsi="Arial"/>
          <w:sz w:val="18"/>
          <w:szCs w:val="18"/>
          <w:color w:val="auto"/>
        </w:rPr>
      </w:pPr>
    </w:p>
    <w:p>
      <w:pPr>
        <w:ind w:right="80" w:firstLine="464"/>
        <w:spacing w:after="0" w:line="290"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Corporate and/or LLC Authority of the Loan Parties</w:t>
      </w:r>
      <w:r>
        <w:rPr>
          <w:rFonts w:ascii="Arial" w:cs="Arial" w:eastAsia="Arial" w:hAnsi="Arial"/>
          <w:sz w:val="16"/>
          <w:szCs w:val="16"/>
          <w:color w:val="auto"/>
        </w:rPr>
        <w:t>. The Borrower shall have delivered to the Administrative Agent (i) a certified copy of the Governing Documents of each of the Loan Parties (certified by a Responsible Officer, secretary or assistant secretary of each such Loan Party and, if applicable, the Secretary of State of Nevada or any other state of incorporation or organization), (ii) good standing certificates for each of the Loan Parties issued by the Secretary of State of Nevada or any other state of incorporation or organization and (iii) a copy of one or more resolutions or other authorizations of the Loan Parties certified by a Responsible Officer, secretary or assistant secretary of each such Loan Party as being in full force and effect on the Amended and Restated Effective Date, authorizing the execution, delivery and performance of this Agreement and the other Loan Documents delivered as of the Amended and Restated Effective Date, and any other instruments or agreements required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80"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or thereunder in connection with the Amended and Restated Effective Date to which any such entity is a party.</w:t>
      </w:r>
    </w:p>
    <w:p>
      <w:pPr>
        <w:spacing w:after="0" w:line="158" w:lineRule="exact"/>
        <w:rPr>
          <w:sz w:val="20"/>
          <w:szCs w:val="20"/>
          <w:color w:val="auto"/>
        </w:rPr>
      </w:pPr>
    </w:p>
    <w:p>
      <w:pPr>
        <w:ind w:right="80" w:firstLine="464"/>
        <w:spacing w:after="0" w:line="294"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Incumbency of the Loan Parties</w:t>
      </w:r>
      <w:r>
        <w:rPr>
          <w:rFonts w:ascii="Arial" w:cs="Arial" w:eastAsia="Arial" w:hAnsi="Arial"/>
          <w:sz w:val="16"/>
          <w:szCs w:val="16"/>
          <w:color w:val="auto"/>
        </w:rPr>
        <w:t>. The Borrower shall have delivered to the Administrative Agent a certificate on behalf of each of the Loan Parties satisfactory in form and substance to the Administrative Agent, signed by the secretary or assistant secretary of each such Loan Party or by a Responsible Officer and dated as of the Amended and Restated Effective Date, as to the incumbency of the Person or Persons authorized to execute and deliver the Amended and Restated Effective Date Documents and any other documents, instruments or agreements required hereunder or thereunder in connection with the Amended and Restated Effective Date to which each such entity is a party.</w:t>
      </w:r>
    </w:p>
    <w:p>
      <w:pPr>
        <w:spacing w:after="0" w:line="102" w:lineRule="exact"/>
        <w:rPr>
          <w:rFonts w:ascii="Arial" w:cs="Arial" w:eastAsia="Arial" w:hAnsi="Arial"/>
          <w:sz w:val="16"/>
          <w:szCs w:val="16"/>
          <w:color w:val="auto"/>
        </w:rPr>
      </w:pPr>
    </w:p>
    <w:p>
      <w:pPr>
        <w:ind w:right="120" w:firstLine="464"/>
        <w:spacing w:after="0" w:line="254" w:lineRule="auto"/>
        <w:tabs>
          <w:tab w:leader="none" w:pos="67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on behalf of itself, the Lenders and the Issuing Lender, shall have received a written opinion of (i) Boies, Schiller &amp; Flexner LLP (as special New York counsel) and (ii) Schreck Brignone (as Nevada counsel), in each case as counsel for Wynn Resorts, Wynn Resorts Holdings, the Borrower and the other Loan Parties, in each case (A) dated the Amended and Restated Effective Date, (B) addressed to the Administrative Agent, the Issuing Lender and the Lenders, (C) covering such matters relating to the Loan Documents and as the Arrangers shall reasonably request and which are customary for transactions of the type contemplated herein and (D) otherwise in form and substance reasonably satisfactory to the Arrangers and the Administrative Agent.</w:t>
      </w:r>
    </w:p>
    <w:p>
      <w:pPr>
        <w:spacing w:after="0" w:line="130" w:lineRule="exact"/>
        <w:rPr>
          <w:rFonts w:ascii="Arial" w:cs="Arial" w:eastAsia="Arial" w:hAnsi="Arial"/>
          <w:sz w:val="18"/>
          <w:szCs w:val="18"/>
          <w:color w:val="auto"/>
        </w:rPr>
      </w:pPr>
    </w:p>
    <w:p>
      <w:pPr>
        <w:jc w:val="both"/>
        <w:ind w:right="160" w:firstLine="464"/>
        <w:spacing w:after="0" w:line="259"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UCC; Lien Searches</w:t>
      </w:r>
      <w:r>
        <w:rPr>
          <w:rFonts w:ascii="Arial" w:cs="Arial" w:eastAsia="Arial" w:hAnsi="Arial"/>
          <w:sz w:val="18"/>
          <w:szCs w:val="18"/>
          <w:color w:val="auto"/>
        </w:rPr>
        <w:t>. The Administrative Agent shall have received the results of a recent Lien and judgment search in each relevant jurisdiction with respect to the Borrower and each of the Loan Parties, and such search shall reveal no Liens on any of the assets of the Borrower or any such Loan Parties except Permitted Liens.</w:t>
      </w:r>
    </w:p>
    <w:p>
      <w:pPr>
        <w:spacing w:after="0" w:line="126" w:lineRule="exact"/>
        <w:rPr>
          <w:rFonts w:ascii="Arial" w:cs="Arial" w:eastAsia="Arial" w:hAnsi="Arial"/>
          <w:sz w:val="18"/>
          <w:szCs w:val="18"/>
          <w:color w:val="auto"/>
        </w:rPr>
      </w:pPr>
    </w:p>
    <w:p>
      <w:pPr>
        <w:ind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Projections</w:t>
      </w:r>
      <w:r>
        <w:rPr>
          <w:rFonts w:ascii="Arial" w:cs="Arial" w:eastAsia="Arial" w:hAnsi="Arial"/>
          <w:sz w:val="18"/>
          <w:szCs w:val="18"/>
          <w:color w:val="auto"/>
        </w:rPr>
        <w:t>. The Arrangers and the Administrative Agent shall have received financial projections of the Borrower and the Loan Parties for the five year period following the Amended and Restated Effective Date in form and substance satisfactory to the Arrangers.</w:t>
      </w:r>
    </w:p>
    <w:p>
      <w:pPr>
        <w:spacing w:after="0" w:line="118" w:lineRule="exact"/>
        <w:rPr>
          <w:rFonts w:ascii="Arial" w:cs="Arial" w:eastAsia="Arial" w:hAnsi="Arial"/>
          <w:sz w:val="18"/>
          <w:szCs w:val="18"/>
          <w:color w:val="auto"/>
        </w:rPr>
      </w:pPr>
    </w:p>
    <w:p>
      <w:pPr>
        <w:ind w:right="100" w:firstLine="464"/>
        <w:spacing w:after="0" w:line="268"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Disbursement Agent Fee Letter</w:t>
      </w:r>
      <w:r>
        <w:rPr>
          <w:rFonts w:ascii="Arial" w:cs="Arial" w:eastAsia="Arial" w:hAnsi="Arial"/>
          <w:sz w:val="18"/>
          <w:szCs w:val="18"/>
          <w:color w:val="auto"/>
        </w:rPr>
        <w:t>. The letter regarding the fees of the Disbursement Agent shall have been executed by the Borrower and delivered to the Disbursement Agent.</w:t>
      </w:r>
    </w:p>
    <w:p>
      <w:pPr>
        <w:spacing w:after="0" w:line="118" w:lineRule="exact"/>
        <w:rPr>
          <w:rFonts w:ascii="Arial" w:cs="Arial" w:eastAsia="Arial" w:hAnsi="Arial"/>
          <w:sz w:val="18"/>
          <w:szCs w:val="18"/>
          <w:color w:val="auto"/>
        </w:rPr>
      </w:pPr>
    </w:p>
    <w:p>
      <w:pPr>
        <w:ind w:right="120" w:firstLine="464"/>
        <w:spacing w:after="0" w:line="298" w:lineRule="auto"/>
        <w:tabs>
          <w:tab w:leader="none" w:pos="66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All material governmental and third party approvals necessary in connection with the transactions contemplated on the Amended and Restated Effective Date (including all necessary regulatory and gaming approvals) shall have been obtained on terms satisfactory to the Arrangers and the Administrative Agent and shall be in full force and effect, and all applicable waiting periods shall have expired without any action being taken or threatened by any competent authority that would restrain, prevent or otherwise impose adverse conditions on the foregoing.</w:t>
      </w:r>
    </w:p>
    <w:p>
      <w:pPr>
        <w:spacing w:after="0" w:line="99" w:lineRule="exact"/>
        <w:rPr>
          <w:rFonts w:ascii="Arial" w:cs="Arial" w:eastAsia="Arial" w:hAnsi="Arial"/>
          <w:sz w:val="16"/>
          <w:szCs w:val="16"/>
          <w:color w:val="auto"/>
        </w:rPr>
      </w:pPr>
    </w:p>
    <w:p>
      <w:pPr>
        <w:jc w:val="both"/>
        <w:ind w:right="40" w:firstLine="464"/>
        <w:spacing w:after="0" w:line="259"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representation and warranty of the Borrower and each other Loan Party set forth in each Loan Document shall be true and correct in all material respects on and as of the Amended and Restated Effective Date with the same effect as though made on and as of such date, except to the extent such representations and warranties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expressly relate to an earlier date, in which case such representations and warranties shall be true and correct in all material respects on and as of such earlier date.</w:t>
      </w:r>
    </w:p>
    <w:p>
      <w:pPr>
        <w:spacing w:after="0" w:line="192" w:lineRule="exact"/>
        <w:rPr>
          <w:sz w:val="20"/>
          <w:szCs w:val="20"/>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No Default or Event of Default shall have occurred and be continuing.</w:t>
      </w:r>
    </w:p>
    <w:p>
      <w:pPr>
        <w:spacing w:after="0" w:line="157" w:lineRule="exact"/>
        <w:rPr>
          <w:rFonts w:ascii="Arial" w:cs="Arial" w:eastAsia="Arial" w:hAnsi="Arial"/>
          <w:sz w:val="18"/>
          <w:szCs w:val="18"/>
          <w:color w:val="auto"/>
        </w:rPr>
      </w:pPr>
    </w:p>
    <w:p>
      <w:pPr>
        <w:ind w:right="220" w:firstLine="464"/>
        <w:spacing w:after="0" w:line="294" w:lineRule="auto"/>
        <w:tabs>
          <w:tab w:leader="none" w:pos="75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The Arrangers and the Administrative Agent shall have received appropriate endorsements or supplements to the Title Policy, or a commitment to issue such endorsements or supplements, in each case in form and substance reasonably satisfactory to the Administrative Agent, which endorsements or supplements shall, among other things, (i) ensure the Lenders that the amendments to the Original Credit Agreement and the applicable Mortgages made on the Amended and Restated Effective Date do not adversely affect the Lender’s title and extended coverage insurance contained in the Title Policy and (ii) increasing the insured amount of the Title Policy by the principal amount of $125,000,000.</w:t>
      </w:r>
    </w:p>
    <w:p>
      <w:pPr>
        <w:spacing w:after="0" w:line="102" w:lineRule="exact"/>
        <w:rPr>
          <w:rFonts w:ascii="Arial" w:cs="Arial" w:eastAsia="Arial" w:hAnsi="Arial"/>
          <w:sz w:val="16"/>
          <w:szCs w:val="16"/>
          <w:color w:val="auto"/>
        </w:rPr>
      </w:pPr>
    </w:p>
    <w:p>
      <w:pPr>
        <w:ind w:right="440" w:firstLine="464"/>
        <w:spacing w:after="0" w:line="332"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Borrower Certificate</w:t>
      </w:r>
      <w:r>
        <w:rPr>
          <w:rFonts w:ascii="Arial" w:cs="Arial" w:eastAsia="Arial" w:hAnsi="Arial"/>
          <w:sz w:val="16"/>
          <w:szCs w:val="16"/>
          <w:color w:val="auto"/>
        </w:rPr>
        <w:t>. The Administrative Agent shall have received a certificate of the Borrower and the Loan Parties substantially in the form of Exhibit Q hereto, dated the Amended and Restated Effective Date, and signed by a Responsible Officer or a duly authorized officer of each Loan Party.</w:t>
      </w:r>
    </w:p>
    <w:p>
      <w:pPr>
        <w:spacing w:after="0" w:line="71" w:lineRule="exact"/>
        <w:rPr>
          <w:rFonts w:ascii="Arial" w:cs="Arial" w:eastAsia="Arial" w:hAnsi="Arial"/>
          <w:sz w:val="16"/>
          <w:szCs w:val="16"/>
          <w:color w:val="auto"/>
        </w:rPr>
      </w:pPr>
    </w:p>
    <w:p>
      <w:pPr>
        <w:ind w:right="200" w:firstLine="464"/>
        <w:spacing w:after="0" w:line="332"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The Administrative Agent shall have received such other documents and evidence as are customary for transactions of this type as the Administrative Agent may reasonably request in connection with the transactions contemplated on the Amended and Restated Effective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and shall cause each of the other Loan Parties to, directly or indirectly: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(which the Administrative Agent shall deliver to the Lenders):</w:t>
      </w:r>
    </w:p>
    <w:p>
      <w:pPr>
        <w:spacing w:after="0" w:line="158" w:lineRule="exact"/>
        <w:rPr>
          <w:sz w:val="20"/>
          <w:szCs w:val="20"/>
          <w:color w:val="auto"/>
        </w:rPr>
      </w:pPr>
    </w:p>
    <w:p>
      <w:pPr>
        <w:ind w:right="280" w:firstLine="464"/>
        <w:spacing w:after="0" w:line="286" w:lineRule="auto"/>
        <w:tabs>
          <w:tab w:leader="none" w:pos="6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the Borrower’s Annual Report (or Wynn Resorts’ Annual Report if no Annual Report for the Borrower has been filed) on Form 10-K (or successor form thereto) with respect to each Fiscal Year and</w:t>
      </w:r>
    </w:p>
    <w:p>
      <w:pPr>
        <w:jc w:val="both"/>
        <w:ind w:right="100" w:firstLine="8"/>
        <w:spacing w:after="0" w:line="295" w:lineRule="auto"/>
        <w:tabs>
          <w:tab w:leader="none" w:pos="258" w:val="left"/>
        </w:tabs>
        <w:numPr>
          <w:ilvl w:val="0"/>
          <w:numId w:val="98"/>
        </w:numPr>
        <w:rPr>
          <w:rFonts w:ascii="Arial" w:cs="Arial" w:eastAsia="Arial" w:hAnsi="Arial"/>
          <w:sz w:val="16"/>
          <w:szCs w:val="16"/>
          <w:color w:val="auto"/>
        </w:rPr>
      </w:pPr>
      <w:r>
        <w:rPr>
          <w:rFonts w:ascii="Arial" w:cs="Arial" w:eastAsia="Arial" w:hAnsi="Arial"/>
          <w:sz w:val="16"/>
          <w:szCs w:val="16"/>
          <w:color w:val="auto"/>
        </w:rPr>
        <w:t>90 days after the end of each Fiscal Year, a copy of the audited consolidated balance sheets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Ernst &amp; Young LLP or other independent certified public accountants of nationally recognized standing;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162" w:name="page163"/>
    <w:bookmarkEnd w:id="162"/>
    <w:p>
      <w:pPr>
        <w:ind w:right="60" w:firstLine="464"/>
        <w:spacing w:after="0" w:line="291"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soon as available, but in any event not later than the earlier of (i) 10 days after the filing with the SEC of the Borrower’s Quarterly Report (or Wynn Resorts’ Quarterly Report if no Quarterly Report for the Borrower has been filed) on Form 10-Q (or successor form thereto) with respect to each of the first three quarterly periods of each Fiscal Year and (ii) 45 days after the end of each of the first three quarterly periods of each Fiscal Year, the unaudited consolidated balance sheets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Furnish to the Administrative Agent or, in the case of clauses (m) through (p) promptly give written notice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of (in each case which the Administrative Agent shall deliver to the Lenders):</w:t>
      </w:r>
    </w:p>
    <w:p>
      <w:pPr>
        <w:spacing w:after="0" w:line="151" w:lineRule="exact"/>
        <w:rPr>
          <w:sz w:val="20"/>
          <w:szCs w:val="20"/>
          <w:color w:val="auto"/>
        </w:rPr>
      </w:pPr>
    </w:p>
    <w:p>
      <w:pPr>
        <w:ind w:right="60" w:firstLine="464"/>
        <w:spacing w:after="0" w:line="298"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 6.1(a), a certificate of the independent certified public accountants reporting on such financial statements stating that, in connection with their audit examination, nothing has come to their attention that causes them to believe that the Borrower or any of the Loan Parties failed to comply with the terms, conditions, provisions or conditions of Sections 6.3, 6.6(a), 7.1, 7.2, 7.3, 7.4, 7.5, 7.6, 7.7, 7.8, 7.9(a), 7.10, 7.11, 7.12, 7.19, 7.22, 7.23 and 7.26 of this Agreement, insofar as such sections relate to financial or accounting matters;</w:t>
      </w:r>
    </w:p>
    <w:p>
      <w:pPr>
        <w:spacing w:after="0" w:line="99" w:lineRule="exact"/>
        <w:rPr>
          <w:rFonts w:ascii="Arial" w:cs="Arial" w:eastAsia="Arial" w:hAnsi="Arial"/>
          <w:sz w:val="16"/>
          <w:szCs w:val="16"/>
          <w:color w:val="auto"/>
        </w:rPr>
      </w:pPr>
    </w:p>
    <w:p>
      <w:pPr>
        <w:ind w:firstLine="464"/>
        <w:spacing w:after="0" w:line="291"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 (i) a certificate of a Responsible Officer stating that such Responsible Officer has obtained no knowledge of the existence of any Default or Event of Default except as specified in such certificate, (ii) a Compliance Certificate containing all information and calculations necessary for determining compliance by the Loan Parties with the provisions of this Agreement referred to therein as of the last day of the applicable fiscal quarter or Fiscal Year, as the case may be and (iii) a certificate of a Responsible Officer setting forth all payments made by the Borrower with respect to Affiliated Overhead Expenses during the 12-month period ending on the last day of the applicable quarter and stating that all such payments were in reimbursement of Affiliated Overhead Expenses and permitted pursuant to Section 7.10(c);</w:t>
      </w:r>
    </w:p>
    <w:p>
      <w:pPr>
        <w:spacing w:after="0" w:line="106" w:lineRule="exact"/>
        <w:rPr>
          <w:rFonts w:ascii="Arial" w:cs="Arial" w:eastAsia="Arial" w:hAnsi="Arial"/>
          <w:sz w:val="16"/>
          <w:szCs w:val="16"/>
          <w:color w:val="auto"/>
        </w:rPr>
      </w:pPr>
    </w:p>
    <w:p>
      <w:pPr>
        <w:ind w:right="20" w:firstLine="464"/>
        <w:spacing w:after="0" w:line="291"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6.1(a), a detailed consolidated budget of the Borrower and its consolidated Subsidiaries for such Fiscal Year (including a projected consolidated balance sheet of the Borrower and its consolidated Subsidiaries as of the end of such Fiscal Year, and the related consolidated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16"/>
          <w:szCs w:val="16"/>
          <w:u w:val="single" w:color="auto"/>
          <w:color w:val="auto"/>
        </w:rPr>
        <w:t>Projections</w:t>
      </w:r>
      <w:r>
        <w:rPr>
          <w:rFonts w:ascii="Arial" w:cs="Arial" w:eastAsia="Arial" w:hAnsi="Arial"/>
          <w:sz w:val="16"/>
          <w:szCs w:val="16"/>
          <w:color w:val="auto"/>
        </w:rPr>
        <w:t>”), which Projections shall in each case be accompanied by a certificate of a Responsible Officer stating that, at the time made, such Projections are based on estimates, information and assumptions believed by the Responsible Officer to be reasonable at the time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163" w:name="page164"/>
    <w:bookmarkEnd w:id="163"/>
    <w:p>
      <w:pPr>
        <w:ind w:left="-8" w:right="140" w:firstLine="464"/>
        <w:spacing w:after="0" w:line="256" w:lineRule="auto"/>
        <w:tabs>
          <w:tab w:leader="none" w:pos="697"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concurrently with the delivery of the financial statements referred to in Section 6.1(a) (and only to the extent not otherwise contained in such financial statements), a narrative discussion and analysis of the financial condition and results of operations of the Loan Parties (taken as a whole) for the Fiscal Year to which such financial statements relate and a comparison thereof to (i) the Projections covering such Fiscal Year and (ii) the actual financial condition and results of operations of the Fiscal Year immediately prior to such Fiscal Year;</w:t>
      </w:r>
    </w:p>
    <w:p>
      <w:pPr>
        <w:spacing w:after="0" w:line="129" w:lineRule="exact"/>
        <w:rPr>
          <w:rFonts w:ascii="Arial" w:cs="Arial" w:eastAsia="Arial" w:hAnsi="Arial"/>
          <w:sz w:val="18"/>
          <w:szCs w:val="18"/>
          <w:color w:val="auto"/>
        </w:rPr>
      </w:pPr>
    </w:p>
    <w:p>
      <w:pPr>
        <w:ind w:left="-8" w:firstLine="464"/>
        <w:spacing w:after="0" w:line="306" w:lineRule="auto"/>
        <w:tabs>
          <w:tab w:leader="none" w:pos="6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within five Business Days after the same are sent, copies of all financial statements and reports that any Loan Party generally sends to the holders of any class of its debt securities to the extent not previously delivered to the Administrative Agent and, within five Business Days after the same are filed, either copies of all financial statements and reports that any Loan Party files with the SEC or electronic notice of such filings;</w:t>
      </w:r>
    </w:p>
    <w:p>
      <w:pPr>
        <w:spacing w:after="0" w:line="93" w:lineRule="exact"/>
        <w:rPr>
          <w:rFonts w:ascii="Arial" w:cs="Arial" w:eastAsia="Arial" w:hAnsi="Arial"/>
          <w:sz w:val="16"/>
          <w:szCs w:val="16"/>
          <w:color w:val="auto"/>
        </w:rPr>
      </w:pPr>
    </w:p>
    <w:p>
      <w:pPr>
        <w:ind w:left="-8" w:right="60" w:firstLine="464"/>
        <w:spacing w:after="0" w:line="306" w:lineRule="auto"/>
        <w:tabs>
          <w:tab w:leader="none" w:pos="66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the date of the occurrence thereof, notice that (i) any or all of the First Lien Secured Obligations (other than the Obligations) or Second Lien Secured Obligations have been accelerated or (ii) the agent, lenders, trustee or the holders of or with respect to any First Lien Secured Obligations (other than the Obligations) or Second Lien Secured Obligations, as the case may be, has given notice that any or all such obligations are to be accelerated;</w:t>
      </w:r>
    </w:p>
    <w:p>
      <w:pPr>
        <w:spacing w:after="0" w:line="93" w:lineRule="exact"/>
        <w:rPr>
          <w:rFonts w:ascii="Arial" w:cs="Arial" w:eastAsia="Arial" w:hAnsi="Arial"/>
          <w:sz w:val="16"/>
          <w:szCs w:val="16"/>
          <w:color w:val="auto"/>
        </w:rPr>
      </w:pPr>
    </w:p>
    <w:p>
      <w:pPr>
        <w:ind w:left="-8" w:right="40" w:firstLine="464"/>
        <w:spacing w:after="0" w:line="256" w:lineRule="auto"/>
        <w:tabs>
          <w:tab w:leader="none" w:pos="69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promptly, and in any event within ten Business Days after any Material Contract is terminated or amended or any new Material Contract is entered into, or upon becoming aware of any material default by any Person under a Material Contract, a written statement describing such event with copies of such amendments or new Material Contracts and, with respect to any such terminations or material defaults, an explanation of any actions being taken (if any) with respect thereto;</w:t>
      </w:r>
    </w:p>
    <w:p>
      <w:pPr>
        <w:spacing w:after="0" w:line="129" w:lineRule="exact"/>
        <w:rPr>
          <w:rFonts w:ascii="Arial" w:cs="Arial" w:eastAsia="Arial" w:hAnsi="Arial"/>
          <w:sz w:val="18"/>
          <w:szCs w:val="18"/>
          <w:color w:val="auto"/>
        </w:rPr>
      </w:pPr>
    </w:p>
    <w:p>
      <w:pPr>
        <w:jc w:val="both"/>
        <w:ind w:left="-8" w:right="320" w:firstLine="464"/>
        <w:spacing w:after="0" w:line="256" w:lineRule="auto"/>
        <w:tabs>
          <w:tab w:leader="none" w:pos="69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promptly upon receipt, copies of all notices provided to any Loan Party or their Affiliates pursuant to any documents evidencing First Lien Secured Obligations (other than the Obligations) or Second Lien Secured Obligations relating to material defaults or material delays and promptly upon execution and delivery thereof, copies of all amendments to any of the documents evidencing First Lien Secured Obligations (other than the Obligations) or Second Lien Secured Obligations;</w:t>
      </w:r>
    </w:p>
    <w:p>
      <w:pPr>
        <w:spacing w:after="0" w:line="129" w:lineRule="exact"/>
        <w:rPr>
          <w:rFonts w:ascii="Arial" w:cs="Arial" w:eastAsia="Arial" w:hAnsi="Arial"/>
          <w:sz w:val="18"/>
          <w:szCs w:val="18"/>
          <w:color w:val="auto"/>
        </w:rPr>
      </w:pPr>
    </w:p>
    <w:p>
      <w:pPr>
        <w:ind w:left="-8" w:right="120" w:firstLine="464"/>
        <w:spacing w:after="0" w:line="283" w:lineRule="auto"/>
        <w:tabs>
          <w:tab w:leader="none" w:pos="65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the extent not included in subsections (a) through (h) above, no later than the date the same are required to be delivered thereunder, copies of all agreements, documents or other instruments (excluding legal opinions of counsel of the Loan Parties but including, without limitation, (i) audited and unaudited, pro forma and other financial statements, reports, forecasts, and projections, together with any required certifications thereon by independent public auditors or officers of any Loan Party or otherwise, (ii) press releases, (iii) statements or reports furnished to any other holder of the securities of any Loan Party and</w:t>
      </w:r>
    </w:p>
    <w:p>
      <w:pPr>
        <w:spacing w:after="0" w:line="2" w:lineRule="exact"/>
        <w:rPr>
          <w:rFonts w:ascii="Arial" w:cs="Arial" w:eastAsia="Arial" w:hAnsi="Arial"/>
          <w:sz w:val="16"/>
          <w:szCs w:val="16"/>
          <w:color w:val="auto"/>
        </w:rPr>
      </w:pPr>
    </w:p>
    <w:p>
      <w:pPr>
        <w:ind w:left="-8" w:right="220" w:firstLine="8"/>
        <w:spacing w:after="0" w:line="261" w:lineRule="auto"/>
        <w:tabs>
          <w:tab w:leader="none" w:pos="2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regular, periodic and special securities reports) that any Loan Party is required to provide pursuant to the terms of the First Lien Secured Obligations (other than the Obligations) or Second Lien Secured Obligations;</w:t>
      </w:r>
    </w:p>
    <w:p>
      <w:pPr>
        <w:spacing w:after="0" w:line="124" w:lineRule="exact"/>
        <w:rPr>
          <w:rFonts w:ascii="Arial" w:cs="Arial" w:eastAsia="Arial" w:hAnsi="Arial"/>
          <w:sz w:val="18"/>
          <w:szCs w:val="18"/>
          <w:color w:val="auto"/>
        </w:rPr>
      </w:pPr>
    </w:p>
    <w:p>
      <w:pPr>
        <w:ind w:left="-8" w:right="120" w:firstLine="464"/>
        <w:spacing w:after="0" w:line="268" w:lineRule="auto"/>
        <w:tabs>
          <w:tab w:leader="none" w:pos="65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promptly, and in any event within 30 days of the end of each Fiscal Year, a certificate substantially in the form of Exhibit H hereto or otherwise in form and substance reasonably satisfactory to the Administrative Agent in consultation with the Insurance Advisor,</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12"/>
          </w:cols>
          <w:pgMar w:left="248" w:top="28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certifying that the insurance requirements of Section 6.5 have been implemented and are being complied with in all material respects;</w:t>
      </w:r>
    </w:p>
    <w:p>
      <w:pPr>
        <w:spacing w:after="0" w:line="158" w:lineRule="exact"/>
        <w:rPr>
          <w:sz w:val="20"/>
          <w:szCs w:val="20"/>
          <w:color w:val="auto"/>
        </w:rPr>
      </w:pPr>
    </w:p>
    <w:p>
      <w:pPr>
        <w:ind w:right="60" w:firstLine="464"/>
        <w:spacing w:after="0" w:line="306"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Borrower, a schedule of all Proceedings involving an alleged liability of, or claims against, any Loan Party equal to or greater than $10,000,000, and promptly after request by the Administrative Agent such other information as may be reasonably requested by the Administrative Agent to enable the Administrative Agent and its counsel to evaluate any of such Proceedings;</w:t>
      </w:r>
    </w:p>
    <w:p>
      <w:pPr>
        <w:spacing w:after="0" w:line="93" w:lineRule="exact"/>
        <w:rPr>
          <w:rFonts w:ascii="Arial" w:cs="Arial" w:eastAsia="Arial" w:hAnsi="Arial"/>
          <w:sz w:val="16"/>
          <w:szCs w:val="16"/>
          <w:color w:val="auto"/>
        </w:rPr>
      </w:pPr>
    </w:p>
    <w:p>
      <w:pPr>
        <w:ind w:left="680" w:hanging="216"/>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any Lender may from time to time reasonably request;</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any officer of a Loan Party obtaining knowledge thereof, the occurrence of any Default or Event of Default;</w:t>
      </w:r>
    </w:p>
    <w:p>
      <w:pPr>
        <w:spacing w:after="0" w:line="157" w:lineRule="exact"/>
        <w:rPr>
          <w:rFonts w:ascii="Arial" w:cs="Arial" w:eastAsia="Arial" w:hAnsi="Arial"/>
          <w:sz w:val="18"/>
          <w:szCs w:val="18"/>
          <w:color w:val="auto"/>
        </w:rPr>
      </w:pPr>
    </w:p>
    <w:p>
      <w:pPr>
        <w:jc w:val="both"/>
        <w:ind w:right="260" w:firstLine="464"/>
        <w:spacing w:after="0" w:line="294"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any officer of a Loan Party obtaining knowledge thereof, the institution of any action, suit, proceeding (whether administrative, judicial or otherwise), governmental investigation or arbitration against or affecting any Loan Party, or any Property of a Loan Party (collectively, “</w:t>
      </w:r>
      <w:r>
        <w:rPr>
          <w:rFonts w:ascii="Arial" w:cs="Arial" w:eastAsia="Arial" w:hAnsi="Arial"/>
          <w:sz w:val="16"/>
          <w:szCs w:val="16"/>
          <w:u w:val="single" w:color="auto"/>
          <w:color w:val="auto"/>
        </w:rPr>
        <w:t>Proceedings</w:t>
      </w:r>
      <w:r>
        <w:rPr>
          <w:rFonts w:ascii="Arial" w:cs="Arial" w:eastAsia="Arial" w:hAnsi="Arial"/>
          <w:sz w:val="16"/>
          <w:szCs w:val="16"/>
          <w:color w:val="auto"/>
        </w:rPr>
        <w:t>”) not previously disclosed in writing by the Borrower to the Administrative Agent that, in any case (i) if adversely determined, has a reasonable possibility of giving rise to a Material Adverse Effect or (ii) seeks to enjoin or otherwise prevent the consummation of, or to recover any damages or obtain relief as a result of, the transactions contemplated hereby, or any material development in any such Proceeding;</w:t>
      </w:r>
    </w:p>
    <w:p>
      <w:pPr>
        <w:spacing w:after="0" w:line="102" w:lineRule="exact"/>
        <w:rPr>
          <w:rFonts w:ascii="Arial" w:cs="Arial" w:eastAsia="Arial" w:hAnsi="Arial"/>
          <w:sz w:val="16"/>
          <w:szCs w:val="16"/>
          <w:color w:val="auto"/>
        </w:rPr>
      </w:pPr>
    </w:p>
    <w:p>
      <w:pPr>
        <w:ind w:right="100" w:firstLine="464"/>
        <w:spacing w:after="0" w:line="255"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following events, as soon as possible and in any event within 30 days after any Loan Party knows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development or event that has had or could reasonably be expected to have a Material Adverse Effect.</w:t>
      </w:r>
    </w:p>
    <w:p>
      <w:pPr>
        <w:spacing w:after="0" w:line="158"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Each notice pursuant to clauses (m) through (o) of this Section shall be accompanied by a statement of a Responsible Officer setting forth details of the occurrence referred to therein and stating what action the relevant Loan Party proposes to take with respect thereto.</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To the extent not otherwise subject to valid subordination, standstill, intercreditor or similar arrangements, pay, discharge or otherwise satisfy at or before maturity or before they become delinquent, as the case may be, all its obligations of whatever nature, except where (a) the amount or validity thereof is currently being contested in good faith by appropriate proceedings and reserves in conformity with GAAP with respect thereto have been provided on the books of the relevant Loan Party or (b) the failure to do so could not reasonably be expected to have a Material Adverse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165" w:name="page166"/>
    <w:bookmarkEnd w:id="165"/>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Conduct of Business and Maintenance of Existence, etc</w:t>
      </w:r>
      <w:r>
        <w:rPr>
          <w:rFonts w:ascii="Arial" w:cs="Arial" w:eastAsia="Arial" w:hAnsi="Arial"/>
          <w:sz w:val="18"/>
          <w:szCs w:val="18"/>
          <w:color w:val="auto"/>
        </w:rPr>
        <w:t>. (a) Preserve, renew and keep in full force and effect its corporate or limited liability company existence and in each case remain a Wholly Owned Subsidiary of Wynn Resorts and (b) take all reasonable action to maintain all rights, privileges, franchises, Permits and licenses necessary or desirable in the normal conduct of its business, except, in each case, as otherwise permitted by Section 7.4 and except, in the case of subsection (b) above, to the extent that failure to do so could not (individually or in the aggregate) reasonably be expected to have a Material Adverse Effect.</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Maintenance of Property; Leases; Insurance</w:t>
      </w:r>
      <w:r>
        <w:rPr>
          <w:rFonts w:ascii="Arial" w:cs="Arial" w:eastAsia="Arial" w:hAnsi="Arial"/>
          <w:sz w:val="18"/>
          <w:szCs w:val="18"/>
          <w:color w:val="auto"/>
        </w:rPr>
        <w:t>. (a) Keep all material Property and systems useful and necessary in its business in good working order and condition, ordinary wear and tear excepted.</w:t>
      </w:r>
    </w:p>
    <w:p>
      <w:pPr>
        <w:spacing w:after="0" w:line="118" w:lineRule="exact"/>
        <w:rPr>
          <w:sz w:val="20"/>
          <w:szCs w:val="20"/>
          <w:color w:val="auto"/>
        </w:rPr>
      </w:pPr>
    </w:p>
    <w:p>
      <w:pPr>
        <w:ind w:right="20"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Site.</w:t>
      </w:r>
    </w:p>
    <w:p>
      <w:pPr>
        <w:spacing w:after="0" w:line="126" w:lineRule="exact"/>
        <w:rPr>
          <w:rFonts w:ascii="Arial" w:cs="Arial" w:eastAsia="Arial" w:hAnsi="Arial"/>
          <w:sz w:val="18"/>
          <w:szCs w:val="18"/>
          <w:color w:val="auto"/>
        </w:rPr>
      </w:pPr>
    </w:p>
    <w:p>
      <w:pPr>
        <w:jc w:val="both"/>
        <w:ind w:firstLine="464"/>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Comply with the terms of each lease or other grant of Real Estate, including easement grants, so as to not permit any material uncured default on its part to exist thereunder, except, in each case, where noncompliance therewith could not reasonably be expected to materially and adversely affect or interfere with the Permitted Business or Property of any Loan Party.</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At all times maintain in full force and effect the insurance policies and programs listed on </w:t>
      </w:r>
      <w:r>
        <w:rPr>
          <w:rFonts w:ascii="Arial" w:cs="Arial" w:eastAsia="Arial" w:hAnsi="Arial"/>
          <w:sz w:val="18"/>
          <w:szCs w:val="18"/>
          <w:u w:val="single" w:color="auto"/>
          <w:color w:val="auto"/>
        </w:rPr>
        <w:t>Schedule 6.5(d)</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0" w:firstLine="464"/>
        <w:spacing w:after="0" w:line="294"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Deliver to the Administrative Agent on behalf of the Secured Parties, (i) upon request of any Secured Party from time to time, information as to the insurance carried, (ii) promptly following receipt thereof, from any insurer, a copy of any notice of cancellation or material change in coverage from that existing on the Closing Date, (iii) forthwith, notice of any cancellation or nonrenewal of coverage by any Loan Party, unless such insurance is replaced prior to the cancellation or non-renewal thereof in accordance with </w:t>
      </w:r>
      <w:r>
        <w:rPr>
          <w:rFonts w:ascii="Arial" w:cs="Arial" w:eastAsia="Arial" w:hAnsi="Arial"/>
          <w:sz w:val="16"/>
          <w:szCs w:val="16"/>
          <w:u w:val="single" w:color="auto"/>
          <w:color w:val="auto"/>
        </w:rPr>
        <w:t>Schedule 6.5(d)</w:t>
      </w:r>
      <w:r>
        <w:rPr>
          <w:rFonts w:ascii="Arial" w:cs="Arial" w:eastAsia="Arial" w:hAnsi="Arial"/>
          <w:sz w:val="16"/>
          <w:szCs w:val="16"/>
          <w:color w:val="auto"/>
        </w:rPr>
        <w:t xml:space="preserve"> and (iv) promptly after such information is available to any Loan Party, information as to any claim for an amount in excess of $5,000,000 with respect to any property and casualty insurance policy maintained by any such Loan Party.</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(a) Keep in all material respects, adequate books of records and account in which entries shall be made of all dealings and transactions in relation to its business and activities to allow preparation of the financial statements referred to in Section 6.1 in accordance with GAAP and (b) subject to any Nevada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 and upon reasonable prior notice and as often as may reasonably be desired and, during normal business hours, to discuss the business, operations, properties and financial and other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80" w:right="259" w:bottom="1440" w:gutter="0" w:footer="0" w:header="0"/>
        </w:sectPr>
      </w:pPr>
    </w:p>
    <w:bookmarkStart w:id="166" w:name="page167"/>
    <w:bookmarkEnd w:id="16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Loan Party with officers of such Loan Party and with their respective independent certified public accountants (provided that a Responsible Officer may be present for any such discussions with independent certified public accountants if the Borrower so chooses).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 INTENTIONALLY OMITTED.</w:t>
      </w:r>
    </w:p>
    <w:p>
      <w:pPr>
        <w:spacing w:after="0" w:line="15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Environmental Laws; Permits</w:t>
      </w:r>
      <w:r>
        <w:rPr>
          <w:rFonts w:ascii="Arial" w:cs="Arial" w:eastAsia="Arial" w:hAnsi="Arial"/>
          <w:sz w:val="18"/>
          <w:szCs w:val="18"/>
          <w:color w:val="auto"/>
        </w:rPr>
        <w:t>. (a) Comply in all material respects with, and use best efforts to ensure compliance in all material respects by all 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 except, in each case, to the extent any non-compliance could not reasonably be expected to result in any material liability to the Loan Parties or their Properties or in an inability of the Loan Parties to perform their respective obligations in any material respect under the Operative Documents.</w:t>
      </w:r>
    </w:p>
    <w:p>
      <w:pPr>
        <w:spacing w:after="0" w:line="131" w:lineRule="exact"/>
        <w:rPr>
          <w:sz w:val="20"/>
          <w:szCs w:val="20"/>
          <w:color w:val="auto"/>
        </w:rPr>
      </w:pPr>
    </w:p>
    <w:p>
      <w:pPr>
        <w:ind w:right="40" w:firstLine="464"/>
        <w:spacing w:after="0" w:line="286"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that the Borrower or any other Loan Party fails to comply with Section 6.8(a), the Administrative Agent may (i) retain, at the Borrower’s expense, an independent professional consultant to review any environmental audits, investigations, analyses and reports relating to the non-compliance and the conditions giving rise to the non-compliance and (ii) conduct its own investigation of the non-compliance and the conditions giving rise to the non-compliance. For purposes of conducting such a review and/or investigation, the Administrative Agent and its agents, employees, consultants and contractors shall have, upon reasonable prior notice, the right to enter into or onto the Site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A copy of such report shall be provided to the Borrower. The Administrative Agent agrees that any such investigation shall be conducted by an environmental consulting firm qualified and licensed by the State of Nevada.</w:t>
      </w:r>
    </w:p>
    <w:p>
      <w:pPr>
        <w:spacing w:after="0" w:line="110" w:lineRule="exact"/>
        <w:rPr>
          <w:rFonts w:ascii="Arial" w:cs="Arial" w:eastAsia="Arial" w:hAnsi="Arial"/>
          <w:sz w:val="16"/>
          <w:szCs w:val="16"/>
          <w:color w:val="auto"/>
        </w:rPr>
      </w:pPr>
    </w:p>
    <w:p>
      <w:pPr>
        <w:ind w:right="20" w:firstLine="464"/>
        <w:spacing w:after="0" w:line="291"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Deliver to the Administrative Agent (i) as soon as practicable following receipt thereof, copies in any Loan Party’s possession or any Loan Party’s control of all material environmental audits, investigations, analyses and reports of any kind or character, whether prepared by personnel of the Loan Parties or by independent consultants, governmental authorities or any other Persons (other than any Lender), with respect to Environmental Matters at the Site or the Project or with respect to any Environmental Claims, (ii) promptly upon the occurrence thereof, written notice describing in reasonable detail (A) any Release required to be reported to any federal, state or local governmental or regulatory agency under any applicable Environmental Laws, (B) any remedial action taken by any Person in response to (1) any Hazardous Materials Activities the existence of which has a reasonable possibility of resulting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sectPr>
      </w:pPr>
    </w:p>
    <w:bookmarkStart w:id="167" w:name="page168"/>
    <w:bookmarkEnd w:id="167"/>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or more Environmental Claims against a Loan Party that could reasonably be expected, individually or in the aggregate, to result in a Material Adverse Effect, or (2) 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w:t>
      </w:r>
    </w:p>
    <w:p>
      <w:pPr>
        <w:spacing w:after="0" w:line="1" w:lineRule="exact"/>
        <w:rPr>
          <w:sz w:val="20"/>
          <w:szCs w:val="20"/>
          <w:color w:val="auto"/>
        </w:rPr>
      </w:pPr>
    </w:p>
    <w:p>
      <w:pPr>
        <w:ind w:firstLine="8"/>
        <w:spacing w:after="0" w:line="281" w:lineRule="auto"/>
        <w:tabs>
          <w:tab w:leader="none" w:pos="28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any Loan Party that could reasonably be expected to (1) expose any Loan Party to, or result in, Environmental Claims that could reasonably be expected to result, individually or in the aggregate, in a Material Adverse Effect or</w:t>
      </w:r>
    </w:p>
    <w:p>
      <w:pPr>
        <w:spacing w:after="0" w:line="3"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the types described in Sections 4.17(c) through (e), (vii) as soon as practicable, all documents submitted to, filed with or received from any Governmental Authority, including, without limitation, the Nevada Public Utilities Commission and the State of Nevada, Division of Water Resources, with respect to any material water permits held by any Loan Party or otherwise utilized or expected to be utilized with respect to the Project and (viii) with reasonable promptness, such other documents and information as from time to time may be reasonably requested by the Administrative Agent in relation to any matters disclosed pursuant to this Section 6.8(c).</w:t>
      </w:r>
    </w:p>
    <w:p>
      <w:pPr>
        <w:spacing w:after="0" w:line="11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Dissolution of the Completion Guarantor</w:t>
      </w:r>
      <w:r>
        <w:rPr>
          <w:rFonts w:ascii="Arial" w:cs="Arial" w:eastAsia="Arial" w:hAnsi="Arial"/>
          <w:sz w:val="18"/>
          <w:szCs w:val="18"/>
          <w:color w:val="auto"/>
        </w:rPr>
        <w:t>. As is reasonably practicable, following the Phase II Final Completion Date, liquidate, wind up and dissolve the Completion Guarantor. After the Completion Guarantor is dissolved in accordance with this Section 6.9, all references to the Completion Guarantor contained in this Agreement or any other Loan Document shall be deemed deleted and any provisions with respect to or affecting the Completion Guarantor (whether representations, warranties, covenants or otherwise) shall be of no further force or effect.</w:t>
      </w:r>
    </w:p>
    <w:p>
      <w:pPr>
        <w:spacing w:after="0" w:line="130"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Additional Collateral, Discharge of Liens, etc.</w:t>
      </w:r>
      <w:r>
        <w:rPr>
          <w:rFonts w:ascii="Arial" w:cs="Arial" w:eastAsia="Arial" w:hAnsi="Arial"/>
          <w:sz w:val="15"/>
          <w:szCs w:val="15"/>
          <w:color w:val="auto"/>
        </w:rPr>
        <w:t xml:space="preserve"> (a) With respect to any Property acquired after the Closing Date by any Loan Party as to which the Collateral Agent, for the benefit of the Secured Parties, does not have a perfected security interest (other than (I) Property described in paragraph (b) below,</w:t>
      </w:r>
    </w:p>
    <w:p>
      <w:pPr>
        <w:ind w:right="240" w:firstLine="8"/>
        <w:spacing w:after="0" w:line="255" w:lineRule="auto"/>
        <w:tabs>
          <w:tab w:leader="none" w:pos="2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Aircraft, (III) subject to Section 6.11(b), cash and cash equivalents, (IV) the Macau Loan to the extent made directly to Wynn Macau and (V) any other Excluded Assets), subject to compliance with applicable Nevada Gaming Laws and restrictions on the granting of Liens permitted pursuant to Section 7.13, promptly (and in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within five Business Days following the date of such acquisition or such longer period as may be reasonably approved by the Administrative Agent)</w:t>
      </w:r>
    </w:p>
    <w:p>
      <w:pPr>
        <w:spacing w:after="0" w:line="38" w:lineRule="exact"/>
        <w:rPr>
          <w:sz w:val="20"/>
          <w:szCs w:val="20"/>
          <w:color w:val="auto"/>
        </w:rPr>
      </w:pPr>
    </w:p>
    <w:p>
      <w:pPr>
        <w:ind w:right="20" w:firstLine="8"/>
        <w:spacing w:after="0" w:line="300" w:lineRule="auto"/>
        <w:tabs>
          <w:tab w:leader="none" w:pos="2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execute and deliver to the Collateral Agent such amendments to the Security Agreement or such other documents as the Administrative Agent or the Collateral Agent reasonably deems necessary or advisable to grant to the Collateral Agent, for the benefit of the Secured Parties, a security interest in such Property and</w:t>
      </w:r>
    </w:p>
    <w:p>
      <w:pPr>
        <w:ind w:firstLine="8"/>
        <w:spacing w:after="0" w:line="281" w:lineRule="auto"/>
        <w:tabs>
          <w:tab w:leader="none" w:pos="2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take all actions reasonably necessary or advisable to grant to the Collateral Agent, for the benefit of the Secured Parties, a perfected first priority security interest in such Property (subject to Permitted Liens), including, without limitation, the filing of UCC financing statements in such jurisdictions as may be reasonably required by the Security Agreement or by law or as may be requested by the Administrative Agent or the Collateral Agent. In addition to the foregoing, in the event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approved by the Administrative Agent) (A)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(B) provide the Collateral Agent on behalf of the Secured Parties with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(C)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w:t>
      </w:r>
    </w:p>
    <w:p>
      <w:pPr>
        <w:spacing w:after="0" w:line="10" w:lineRule="exact"/>
        <w:rPr>
          <w:rFonts w:ascii="Arial" w:cs="Arial" w:eastAsia="Arial" w:hAnsi="Arial"/>
          <w:sz w:val="16"/>
          <w:szCs w:val="16"/>
          <w:color w:val="auto"/>
        </w:rPr>
      </w:pPr>
    </w:p>
    <w:p>
      <w:pPr>
        <w:ind w:right="240"/>
        <w:spacing w:after="0" w:line="302" w:lineRule="auto"/>
        <w:rPr>
          <w:rFonts w:ascii="Arial" w:cs="Arial" w:eastAsia="Arial" w:hAnsi="Arial"/>
          <w:sz w:val="16"/>
          <w:szCs w:val="16"/>
          <w:color w:val="auto"/>
        </w:rPr>
      </w:pPr>
      <w:r>
        <w:rPr>
          <w:rFonts w:ascii="Arial" w:cs="Arial" w:eastAsia="Arial" w:hAnsi="Arial"/>
          <w:sz w:val="16"/>
          <w:szCs w:val="16"/>
          <w:color w:val="auto"/>
        </w:rPr>
        <w:t>(D)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95" w:lineRule="exact"/>
        <w:rPr>
          <w:rFonts w:ascii="Arial" w:cs="Arial" w:eastAsia="Arial" w:hAnsi="Arial"/>
          <w:sz w:val="16"/>
          <w:szCs w:val="16"/>
          <w:color w:val="auto"/>
        </w:rPr>
      </w:pPr>
    </w:p>
    <w:p>
      <w:pPr>
        <w:ind w:right="60" w:firstLine="464"/>
        <w:spacing w:after="0" w:line="254" w:lineRule="auto"/>
        <w:tabs>
          <w:tab w:leader="none" w:pos="70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 respect to any new Subsidiary created or acquired after the Closing Date by any Loan Party, subject to compliance with Nevada Gaming Laws, promptly (and in any event within five Business Days following the date of such acquisition or creation or such longer period as may be reasonably approved by the Administrative Agent) (i) execute and deliver to the Collateral Agent such amendments to (if any) the Security Agreement as the Administrative Agent or the Collateral Agent reasonably deems necessary or advisable to grant to the Collateral Agent, for the benefit of the Secured Parties, a perfected first priority security interest in the Capital Stock of such new Subsidiary (subject to Permitted Liens), (ii) deliver to the Collateral Agent the certificates (if any) representing such Capital Stock, together with undated stock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80" w:right="259" w:bottom="1440" w:gutter="0" w:footer="0" w:header="0"/>
        </w:sectPr>
      </w:pPr>
    </w:p>
    <w:bookmarkStart w:id="169" w:name="page170"/>
    <w:bookmarkEnd w:id="16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powers, in blank, executed and delivered by a duly authorized officer of such Loan Party, as applicable, (iii) cause such new Subsidiary (A) to become a party to the Guarantee, the Security Agreement, the Subordinated Intercompany Note and, to the extent applicable, the Intellectual Property Security Agreements and (B) to take such actions reasonably necessary or advisable to grant to the Collateral Agent for the benefit of the Secured Parties a perfected first priority security interest (subject to Permitted Liens) in the Collateral described in the Security Agreement and, to the extent applicable, the Intellectual Property Security Agreements with respect to such new Subsidiary, including, without limitation, the recording of instruments in the United States Patent and Trademark Office and the United States Copyright Office, the execution and delivery by all necessary Persons of Control Agreements and the filing of UCC financing statements in such jurisdictions as may be required by the Security Agreement, the Intellectual Property Security Agreements or by law or as may be reasonably requested by the Administrative Agent or the Collateral Agent, (iv) if requested by the Administrative Agent or the Collateral Agent, deliver to the Collateral Agent legal opinions relating to the matters described above, which opinions shall be in form and substance, and from counsel, reasonably satisfactory to the Administrative Agent and (v) execute and/or deliver such other documents or provide such other information as the Administrative Agent or the Collateral Agent may reasonably request, including delivering documents and taking such other actions which would have been required under Section 3.1 of the Disbursement Agreement (as in effect on the Closing Date)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five Business Days following the date of such acquisition or such longer period as may be approved by the Administrative Agent) (1) execute and deliver a mortgage, substantially in the form of the Mortgages (with such modifications, if any, as are necessary to comply with Requirements of Law or that the Administrative Agent or the Collateral Agent may reasonably request), such mortgage to be recorded in the real property records of the appropriate jurisdiction, or execute and deliver to the Collateral Agent for recording a supplement to an existing Mortgage, in either case pursuant to which the applicable Loan Party grants to the Collateral Agent on behalf of the Secured Parties a Lien on such Real Estate subject only to Permitted Liens, (2) provide the Collateral Agent on behalf of the Secured Parties a commitment to issue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on the Closing Date and from time to time thereafter, or obtain a commitment to issue an appropriate endorsement or supplement to an existing Title Policy (in the case of an appropriate endorsement or supplement to an existing Title Policy, without any increase in the coverage amount of such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(4) execute and/or deliver such other documents or provide such other information in furtherance thereof as the Administrative Agent or the Collateral Agent may reasonably request, including delivering documents and taking such other actions which would have been required under Section 3.1 of the Disbursement Agreement (as in effect on the Closing Date) if such Real Estate were part of the Mortgaged Property on the Closing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170" w:name="page171"/>
    <w:bookmarkEnd w:id="170"/>
    <w:p>
      <w:pPr>
        <w:ind w:firstLine="464"/>
        <w:spacing w:after="0" w:line="291"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to the contrary in this Section 6.10, paragraphs (a) and (b) of this Section 6.10 (other than clause (C) of paragraph (a))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either (i) a perfected security interest therein or (ii) with respect to Real Estate, title and extended coverage insurance. Additionally, to the extent any such acquisition relates to Real Estate, the definitions, exhibits and schedules to this Agreement and any other Loan Document (including the Disbursement Agreement) related to descriptions of Real Estate shall be deemed amended to the extent necessary to reflect such acquisition.</w:t>
      </w:r>
    </w:p>
    <w:p>
      <w:pPr>
        <w:spacing w:after="0" w:line="10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Use of Proceeds and Revenues</w:t>
      </w:r>
      <w:r>
        <w:rPr>
          <w:rFonts w:ascii="Arial" w:cs="Arial" w:eastAsia="Arial" w:hAnsi="Arial"/>
          <w:sz w:val="16"/>
          <w:szCs w:val="16"/>
          <w:color w:val="auto"/>
        </w:rPr>
        <w:t xml:space="preserve">. (a) Use the proceeds of the Loans and request the issuance of Letters of Credit, only for the purposes specified in Section 4.16; </w:t>
      </w:r>
      <w:r>
        <w:rPr>
          <w:rFonts w:ascii="Arial" w:cs="Arial" w:eastAsia="Arial" w:hAnsi="Arial"/>
          <w:sz w:val="16"/>
          <w:szCs w:val="16"/>
          <w:u w:val="single" w:color="auto"/>
          <w:color w:val="auto"/>
        </w:rPr>
        <w:t>provided</w:t>
      </w:r>
      <w:r>
        <w:rPr>
          <w:rFonts w:ascii="Arial" w:cs="Arial" w:eastAsia="Arial" w:hAnsi="Arial"/>
          <w:sz w:val="16"/>
          <w:szCs w:val="16"/>
          <w:color w:val="auto"/>
        </w:rPr>
        <w:t>, that on and after the Amended and Restated Effective Date, no more than an aggregate of $2,000,000 of proceeds of extensions of credit hereunder shall be applied toward Project Costs with respect to the Phase I Project. For purposes of this Section 6.11(a), until the Amended and Restated Disbursement Agreement Effective Date, (x) all Advances made from the Bank Proceeds Account, the 2014 Notes Proceeds Account and from the Revolving Credit Facility in respect of Project Costs related to the Phase I Project shall be deemed to have been drawn in accordance with the ratio set forth in</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Section 2.4.1(b) of the Disbursement Agreement and (y) the Company may allocate Advances from the Company’s Funds Account or the Company’s Concentration Account between the Phase I Project and the Phase II Project at its discretion.</w:t>
      </w:r>
    </w:p>
    <w:p>
      <w:pPr>
        <w:spacing w:after="0" w:line="124" w:lineRule="exact"/>
        <w:rPr>
          <w:sz w:val="20"/>
          <w:szCs w:val="20"/>
          <w:color w:val="auto"/>
        </w:rPr>
      </w:pPr>
    </w:p>
    <w:p>
      <w:pPr>
        <w:ind w:left="720" w:hanging="256"/>
        <w:spacing w:after="0"/>
        <w:tabs>
          <w:tab w:leader="none" w:pos="7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Deposit in a Funding Account and, until utilized, maintain on deposit in a Funding Account, all cash and cash equivalents other than (i) On-Site Cash,</w:t>
      </w:r>
    </w:p>
    <w:p>
      <w:pPr>
        <w:spacing w:after="0" w:line="38" w:lineRule="exact"/>
        <w:rPr>
          <w:rFonts w:ascii="Arial" w:cs="Arial" w:eastAsia="Arial" w:hAnsi="Arial"/>
          <w:sz w:val="16"/>
          <w:szCs w:val="16"/>
          <w:color w:val="auto"/>
        </w:rPr>
      </w:pPr>
    </w:p>
    <w:p>
      <w:pPr>
        <w:ind w:right="20" w:firstLine="8"/>
        <w:spacing w:after="0" w:line="255" w:lineRule="auto"/>
        <w:tabs>
          <w:tab w:leader="none" w:pos="2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cash and cash equivalents required pursuant to Nevada Gaming Laws or by Nevada Gaming Authorities to be deposited into Gaming Reserves, and (iii) cash or cash equivalents that in the ordinary course of business are not maintained on deposit in a bank or other deposit or investment account pending application toward working capital or other general corporate purposes of the Loan Parties.</w:t>
      </w:r>
    </w:p>
    <w:p>
      <w:pPr>
        <w:spacing w:after="0" w:line="1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Compliance with Laws, Project Documents, etc.; Permits</w:t>
      </w:r>
      <w:r>
        <w:rPr>
          <w:rFonts w:ascii="Arial" w:cs="Arial" w:eastAsia="Arial" w:hAnsi="Arial"/>
          <w:sz w:val="16"/>
          <w:szCs w:val="16"/>
          <w:color w:val="auto"/>
        </w:rPr>
        <w:t>. (a) Comply with all Requirements of Law, noncompliance with which could reasonably be expected to cause, individually or in the aggregate, a Material Adverse Effect and comply in all material respects with its Governing Documents.</w:t>
      </w:r>
    </w:p>
    <w:p>
      <w:pPr>
        <w:spacing w:after="0" w:line="72" w:lineRule="exact"/>
        <w:rPr>
          <w:sz w:val="20"/>
          <w:szCs w:val="20"/>
          <w:color w:val="auto"/>
        </w:rPr>
      </w:pPr>
    </w:p>
    <w:p>
      <w:pPr>
        <w:ind w:right="200" w:firstLine="464"/>
        <w:spacing w:after="0" w:line="259"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Comply, duly and promptly, in all respects with its respective obligations and enforce all of its respective rights under all Project Documents, except where the failure to comply with its obligations or enforce all of its respective rights, as the case may be, could not reasonably be expected to have a Material Adverse Effect.</w:t>
      </w:r>
    </w:p>
    <w:p>
      <w:pPr>
        <w:spacing w:after="0" w:line="126" w:lineRule="exact"/>
        <w:rPr>
          <w:rFonts w:ascii="Arial" w:cs="Arial" w:eastAsia="Arial" w:hAnsi="Arial"/>
          <w:sz w:val="18"/>
          <w:szCs w:val="18"/>
          <w:color w:val="auto"/>
        </w:rPr>
      </w:pPr>
    </w:p>
    <w:p>
      <w:pPr>
        <w:ind w:firstLine="464"/>
        <w:spacing w:after="0" w:line="259"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From time to time (i)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280" w:right="339" w:bottom="1440" w:gutter="0" w:footer="0" w:header="0"/>
        </w:sectPr>
      </w:pPr>
    </w:p>
    <w:bookmarkStart w:id="171" w:name="page172"/>
    <w:bookmarkEnd w:id="171"/>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and (ii) maintain, retain, observe and keep in full force and effect and comply with all material terms conditions and provisions of all material water permits held by any Loan Party or otherwise utilized or expected to be utilized with respect to the Project.</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rights of the Collateral Agent and the Secured Parties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authorization. In the event that, notwithstanding the covenants contained in Article 7, a Lien not otherwise permitted under this Agreement shall encumber the Mortgaged Property or any portion thereof (or a mechanics’ or materialmen’s claim of lien shall be filed or otherwise asserted against the Mortgaged Property or any portion thereof), the relevant Loan Party shall promptly discharge or cause to be discharged by payment to the lienor or lien claimant or promptly secure removal by recording a bond as provided in NRS 108.2413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otherwise or, at the Administrative Agent’s option, and if obtainable promptly obtain title insurance against, any such Lien or mechanics’ or materialmen’s claims of lien filed or otherwise asserted against the Mortgaged Property or any other item of Collateral or any portion thereof within 60 days after the date of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provisions of this Section 6.13 (and compliance therewith) shall not be deemed to constitute a waiver of any of the provisions of Article 7. Each of the Loan Parties shall fully preserve the Lien and the priority of each of the Mortgages and the other Security Documents without cost or expense to the Administrative Agent, the Collateral Agent or the Secured Parties.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280" w:right="27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NEGATIVE COVENANTS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Borrower hereby agrees that, so long as the Commitments remain in effect, any Letter of Credit remains outstanding (that has not been cash collateralized pursuant to the terms of this Agreement) or any Loan or other amount is owing to any Lender, any Arranger, any Manager or any Agent hereunder or under any other Loan Document (other than contingent obligations not then due and payable), the Borrower shall not, and shall not permit any of the other Loan Parties to, directly or indirectly: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77" w:lineRule="exact"/>
        <w:rPr>
          <w:sz w:val="20"/>
          <w:szCs w:val="20"/>
          <w:color w:val="auto"/>
        </w:rPr>
      </w:pPr>
    </w:p>
    <w:p>
      <w:pPr>
        <w:ind w:right="220" w:firstLine="464"/>
        <w:spacing w:after="0" w:line="256"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 – Pre-Initial Phase II Calculation Date</w:t>
      </w:r>
      <w:r>
        <w:rPr>
          <w:rFonts w:ascii="Arial" w:cs="Arial" w:eastAsia="Arial" w:hAnsi="Arial"/>
          <w:sz w:val="18"/>
          <w:szCs w:val="18"/>
          <w:color w:val="auto"/>
        </w:rPr>
        <w:t>. Permit the Consolidated Leverage Ratio (calculated in accordance with Section 1.3) as at the last day of any period of four full consecutive fiscal quarters (or such shorter period ending on any Quarterly Date set forth below and beginning on the first day of the fiscal quarter ending on the first Quarterly Date) ending on any Quarterly Date prior to the Initial Phase II Calculation Date to exceed the ratio set forth below opposite such Quarterly Date:</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0"/>
              </w:rPr>
              <w:t>Consolidated</w:t>
            </w:r>
          </w:p>
        </w:tc>
      </w:tr>
      <w:tr>
        <w:trPr>
          <w:trHeight w:val="174"/>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5"/>
              </w:rPr>
              <w:t>Leverage Ratio</w:t>
            </w:r>
          </w:p>
        </w:tc>
      </w:tr>
      <w:tr>
        <w:trPr>
          <w:trHeight w:val="95"/>
        </w:trPr>
        <w:tc>
          <w:tcPr>
            <w:tcW w:w="118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309"/>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Dates ending June 30, 2006 and September 30, 2006</w:t>
            </w:r>
          </w:p>
        </w:tc>
        <w:tc>
          <w:tcPr>
            <w:tcW w:w="880" w:type="dxa"/>
            <w:vAlign w:val="bottom"/>
          </w:tcPr>
          <w:p>
            <w:pPr>
              <w:jc w:val="right"/>
              <w:spacing w:after="0"/>
              <w:rPr>
                <w:sz w:val="20"/>
                <w:szCs w:val="20"/>
                <w:color w:val="auto"/>
              </w:rPr>
            </w:pPr>
            <w:r>
              <w:rPr>
                <w:rFonts w:ascii="Arial" w:cs="Arial" w:eastAsia="Arial" w:hAnsi="Arial"/>
                <w:sz w:val="18"/>
                <w:szCs w:val="18"/>
                <w:color w:val="auto"/>
              </w:rPr>
              <w:t>6.00:1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Date ending December 31, 2006</w:t>
            </w:r>
          </w:p>
        </w:tc>
        <w:tc>
          <w:tcPr>
            <w:tcW w:w="880" w:type="dxa"/>
            <w:vAlign w:val="bottom"/>
          </w:tcPr>
          <w:p>
            <w:pPr>
              <w:jc w:val="right"/>
              <w:spacing w:after="0"/>
              <w:rPr>
                <w:sz w:val="20"/>
                <w:szCs w:val="20"/>
                <w:color w:val="auto"/>
              </w:rPr>
            </w:pPr>
            <w:r>
              <w:rPr>
                <w:rFonts w:ascii="Arial" w:cs="Arial" w:eastAsia="Arial" w:hAnsi="Arial"/>
                <w:sz w:val="18"/>
                <w:szCs w:val="18"/>
                <w:color w:val="auto"/>
              </w:rPr>
              <w:t>5.75:1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Date ending March 31, 2007</w:t>
            </w:r>
          </w:p>
        </w:tc>
        <w:tc>
          <w:tcPr>
            <w:tcW w:w="880" w:type="dxa"/>
            <w:vAlign w:val="bottom"/>
          </w:tcPr>
          <w:p>
            <w:pPr>
              <w:jc w:val="right"/>
              <w:spacing w:after="0"/>
              <w:rPr>
                <w:sz w:val="20"/>
                <w:szCs w:val="20"/>
                <w:color w:val="auto"/>
              </w:rPr>
            </w:pPr>
            <w:r>
              <w:rPr>
                <w:rFonts w:ascii="Arial" w:cs="Arial" w:eastAsia="Arial" w:hAnsi="Arial"/>
                <w:sz w:val="18"/>
                <w:szCs w:val="18"/>
                <w:color w:val="auto"/>
              </w:rPr>
              <w:t>5.50:1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Date ending June 30, 2007</w:t>
            </w:r>
          </w:p>
        </w:tc>
        <w:tc>
          <w:tcPr>
            <w:tcW w:w="880" w:type="dxa"/>
            <w:vAlign w:val="bottom"/>
          </w:tcPr>
          <w:p>
            <w:pPr>
              <w:jc w:val="right"/>
              <w:spacing w:after="0"/>
              <w:rPr>
                <w:sz w:val="20"/>
                <w:szCs w:val="20"/>
                <w:color w:val="auto"/>
              </w:rPr>
            </w:pPr>
            <w:r>
              <w:rPr>
                <w:rFonts w:ascii="Arial" w:cs="Arial" w:eastAsia="Arial" w:hAnsi="Arial"/>
                <w:sz w:val="18"/>
                <w:szCs w:val="18"/>
                <w:color w:val="auto"/>
              </w:rPr>
              <w:t>5.25:1</w:t>
            </w: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Dates from and after September 30, 2007, but prior to the Initial Phase II Calculation Date</w:t>
            </w:r>
          </w:p>
        </w:tc>
        <w:tc>
          <w:tcPr>
            <w:tcW w:w="880" w:type="dxa"/>
            <w:vAlign w:val="bottom"/>
          </w:tcPr>
          <w:p>
            <w:pPr>
              <w:jc w:val="right"/>
              <w:spacing w:after="0"/>
              <w:rPr>
                <w:sz w:val="20"/>
                <w:szCs w:val="20"/>
                <w:color w:val="auto"/>
              </w:rPr>
            </w:pPr>
            <w:r>
              <w:rPr>
                <w:rFonts w:ascii="Arial" w:cs="Arial" w:eastAsia="Arial" w:hAnsi="Arial"/>
                <w:sz w:val="18"/>
                <w:szCs w:val="18"/>
                <w:color w:val="auto"/>
              </w:rPr>
              <w:t>5.00:1</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Consolidated Leverage Ratio – Post-Initial Phase II Calculation Date</w:t>
      </w:r>
      <w:r>
        <w:rPr>
          <w:rFonts w:ascii="Arial" w:cs="Arial" w:eastAsia="Arial" w:hAnsi="Arial"/>
          <w:sz w:val="16"/>
          <w:szCs w:val="16"/>
          <w:color w:val="auto"/>
        </w:rPr>
        <w:t>. Permit the Consolidated Leverage Ratio (calculated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1.3) as at the last day of any period of four full consecutive fiscal quarters ending on the Initial Phase II Calculation Date or any Quarterly Date thereafter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exceed the ratio set forth below opposite such Quarterly Date:</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0"/>
              </w:rPr>
              <w:t>Consolidated</w:t>
            </w:r>
          </w:p>
        </w:tc>
      </w:t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4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5"/>
              </w:rPr>
              <w:t>Leverage Ratio</w:t>
            </w:r>
          </w:p>
        </w:tc>
      </w:tr>
      <w:tr>
        <w:trPr>
          <w:trHeight w:val="95"/>
        </w:trPr>
        <w:tc>
          <w:tcPr>
            <w:tcW w:w="118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309"/>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Dates from the Initial Phase II Calculation</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6.00:1</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Date through and including September 30, 2009</w:t>
            </w:r>
          </w:p>
        </w:tc>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Dates from December 31, 2009</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5.75:1</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through and including June 30, 2010</w:t>
            </w:r>
          </w:p>
        </w:tc>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Dates from September 30, 2010</w:t>
            </w:r>
          </w:p>
        </w:tc>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through and including December 31, 2010</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5.25:1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 ending March 31, 2011</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5.00:1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 ending June 30, 2011</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4.75:1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 ending September 30, 2011</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4.50:1</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Quarterly Dates from and after December 31, 2011</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4.25:1</w:t>
            </w:r>
          </w:p>
        </w:tc>
      </w:tr>
      <w:tr>
        <w:trPr>
          <w:trHeight w:val="365"/>
        </w:trPr>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jc w:val="right"/>
              <w:ind w:right="3692"/>
              <w:spacing w:after="0"/>
              <w:rPr>
                <w:sz w:val="20"/>
                <w:szCs w:val="20"/>
                <w:color w:val="auto"/>
              </w:rPr>
            </w:pPr>
            <w:r>
              <w:rPr>
                <w:rFonts w:ascii="Arial" w:cs="Arial" w:eastAsia="Arial" w:hAnsi="Arial"/>
                <w:sz w:val="18"/>
                <w:szCs w:val="18"/>
                <w:color w:val="auto"/>
              </w:rPr>
              <w:t>110</w:t>
            </w:r>
          </w:p>
        </w:tc>
        <w:tc>
          <w:tcPr>
            <w:tcW w:w="88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173" w:name="page174"/>
    <w:bookmarkEnd w:id="173"/>
    <w:p>
      <w:pPr>
        <w:ind w:left="-40" w:right="240" w:firstLine="464"/>
        <w:spacing w:after="0" w:line="306" w:lineRule="auto"/>
        <w:tabs>
          <w:tab w:leader="none" w:pos="65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Interest Coverage Ratio</w:t>
      </w:r>
      <w:r>
        <w:rPr>
          <w:rFonts w:ascii="Arial" w:cs="Arial" w:eastAsia="Arial" w:hAnsi="Arial"/>
          <w:sz w:val="16"/>
          <w:szCs w:val="16"/>
          <w:color w:val="auto"/>
        </w:rPr>
        <w:t>. Permit the Consolidated Interest Coverage Ratio (calculated in accordance with Section 1.3) for any period of four full consecutive fiscal quarters (or such shorter period ending on any Quarterly Date set forth below and beginning on the first day of the fiscal quarter ending on the first Quarterly Date) ending on any Quarterly Date set forth below to be less than the ratio set forth below opposite such Quarterly Date:</w:t>
      </w:r>
    </w:p>
    <w:p>
      <w:pPr>
        <w:spacing w:after="0" w:line="7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Consolidated</w:t>
            </w:r>
          </w:p>
        </w:tc>
      </w:tr>
      <w:tr>
        <w:trPr>
          <w:trHeight w:val="149"/>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9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Interest</w:t>
            </w:r>
          </w:p>
        </w:tc>
      </w:tr>
      <w:tr>
        <w:trPr>
          <w:trHeight w:val="174"/>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Quarterly Date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Coverage Ratio</w:t>
            </w:r>
          </w:p>
        </w:tc>
      </w:tr>
      <w:tr>
        <w:trPr>
          <w:trHeight w:val="95"/>
        </w:trPr>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09"/>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Quarterly Dates on or prior to December 31, 2007</w:t>
            </w:r>
          </w:p>
        </w:tc>
        <w:tc>
          <w:tcPr>
            <w:tcW w:w="90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Quarterly Dates from and after March 31, 2008 but prior to the Initial Phase II Calculation Date</w:t>
            </w:r>
          </w:p>
        </w:tc>
        <w:tc>
          <w:tcPr>
            <w:tcW w:w="90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22"/>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Quarterly Dates from and after the Initial Phase II Calculation Date</w:t>
            </w:r>
          </w:p>
        </w:tc>
        <w:tc>
          <w:tcPr>
            <w:tcW w:w="90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326"/>
        </w:trPr>
        <w:tc>
          <w:tcPr>
            <w:tcW w:w="9140" w:type="dxa"/>
            <w:vAlign w:val="bottom"/>
            <w:gridSpan w:val="5"/>
          </w:tcPr>
          <w:p>
            <w:pPr>
              <w:spacing w:after="0"/>
              <w:rPr>
                <w:sz w:val="20"/>
                <w:szCs w:val="20"/>
                <w:color w:val="auto"/>
              </w:rPr>
            </w:pPr>
            <w:r>
              <w:rPr>
                <w:rFonts w:ascii="Arial" w:cs="Arial" w:eastAsia="Arial" w:hAnsi="Arial"/>
                <w:sz w:val="18"/>
                <w:szCs w:val="18"/>
                <w:color w:val="auto"/>
              </w:rPr>
              <w:t>7.2 Limitation on Indebtedness. Create, incur, assume or suffer to exist any Indebtedness, except:</w:t>
            </w:r>
          </w:p>
        </w:tc>
        <w:tc>
          <w:tcPr>
            <w:tcW w:w="9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7" w:lineRule="exact"/>
        <w:rPr>
          <w:sz w:val="20"/>
          <w:szCs w:val="20"/>
          <w:color w:val="auto"/>
        </w:rPr>
      </w:pPr>
    </w:p>
    <w:p>
      <w:pPr>
        <w:ind w:left="660" w:hanging="23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Indebtedness created under any Loan Document;</w:t>
      </w:r>
    </w:p>
    <w:p>
      <w:pPr>
        <w:spacing w:after="0" w:line="157" w:lineRule="exact"/>
        <w:rPr>
          <w:rFonts w:ascii="Arial" w:cs="Arial" w:eastAsia="Arial" w:hAnsi="Arial"/>
          <w:sz w:val="18"/>
          <w:szCs w:val="18"/>
          <w:color w:val="auto"/>
        </w:rPr>
      </w:pPr>
    </w:p>
    <w:p>
      <w:pPr>
        <w:jc w:val="both"/>
        <w:ind w:left="-40" w:right="260" w:firstLine="464"/>
        <w:spacing w:after="0" w:line="259" w:lineRule="auto"/>
        <w:tabs>
          <w:tab w:leader="none" w:pos="6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Unsecured Indebtedness of any Loan Party (other than Capital Corp. and Wynn Golf, unless the proceeds of such Indebtedness are necessary for the organizational maintenance of any such party) to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such Indebtedness is evidenced by, and subject to the terms and conditions of, the Subordinated Intercompany Note;</w:t>
      </w:r>
    </w:p>
    <w:p>
      <w:pPr>
        <w:spacing w:after="0" w:line="126" w:lineRule="exact"/>
        <w:rPr>
          <w:rFonts w:ascii="Arial" w:cs="Arial" w:eastAsia="Arial" w:hAnsi="Arial"/>
          <w:sz w:val="18"/>
          <w:szCs w:val="18"/>
          <w:color w:val="auto"/>
        </w:rPr>
      </w:pPr>
    </w:p>
    <w:p>
      <w:pPr>
        <w:ind w:left="-40" w:right="440" w:firstLine="464"/>
        <w:spacing w:after="0" w:line="268"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Indebtedness secured by Liens permitted by Section 7.3(j) in an aggregate principal amount not less than 50% and not more than 100% of the fair market value of the Aircraft determined at the time of the incurrence of such Indebtedness;</w:t>
      </w:r>
    </w:p>
    <w:p>
      <w:pPr>
        <w:spacing w:after="0" w:line="118" w:lineRule="exact"/>
        <w:rPr>
          <w:rFonts w:ascii="Arial" w:cs="Arial" w:eastAsia="Arial" w:hAnsi="Arial"/>
          <w:sz w:val="18"/>
          <w:szCs w:val="18"/>
          <w:color w:val="auto"/>
        </w:rPr>
      </w:pPr>
    </w:p>
    <w:p>
      <w:pPr>
        <w:jc w:val="both"/>
        <w:ind w:left="-40" w:firstLine="464"/>
        <w:spacing w:after="0" w:line="259" w:lineRule="auto"/>
        <w:tabs>
          <w:tab w:leader="none" w:pos="6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Indebtedness (other than the Indebtedness referred to in Section 7.2(f)) outstanding on the Amended and Restated Effective Date and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7.2(d)</w:t>
      </w:r>
      <w:r>
        <w:rPr>
          <w:rFonts w:ascii="Arial" w:cs="Arial" w:eastAsia="Arial" w:hAnsi="Arial"/>
          <w:sz w:val="18"/>
          <w:szCs w:val="18"/>
          <w:color w:val="auto"/>
        </w:rPr>
        <w:t xml:space="preserve"> and any refinancings, refundings, renewals or extensions thereof (without any increase in the principal amount thereof or any shortening of the maturity of any principal amount thereof);</w:t>
      </w:r>
    </w:p>
    <w:p>
      <w:pPr>
        <w:spacing w:after="0" w:line="126" w:lineRule="exact"/>
        <w:rPr>
          <w:rFonts w:ascii="Arial" w:cs="Arial" w:eastAsia="Arial" w:hAnsi="Arial"/>
          <w:sz w:val="18"/>
          <w:szCs w:val="18"/>
          <w:color w:val="auto"/>
        </w:rPr>
      </w:pPr>
    </w:p>
    <w:p>
      <w:pPr>
        <w:ind w:left="-40" w:right="240" w:firstLine="464"/>
        <w:spacing w:after="0" w:line="268"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Unsecured Guarantee Obligations made in the ordinary course of business by any Loan Party of obligations of the Borrower or any other Loan Party (other than Capital Corp. and Wynn Golf);</w:t>
      </w:r>
    </w:p>
    <w:p>
      <w:pPr>
        <w:spacing w:after="0" w:line="118" w:lineRule="exact"/>
        <w:rPr>
          <w:rFonts w:ascii="Arial" w:cs="Arial" w:eastAsia="Arial" w:hAnsi="Arial"/>
          <w:sz w:val="18"/>
          <w:szCs w:val="18"/>
          <w:color w:val="auto"/>
        </w:rPr>
      </w:pPr>
    </w:p>
    <w:p>
      <w:pPr>
        <w:ind w:left="-40" w:right="100" w:firstLine="464"/>
        <w:spacing w:after="0" w:line="259" w:lineRule="auto"/>
        <w:tabs>
          <w:tab w:leader="none" w:pos="6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Indebtedness of the Borrower and Capital Corp. created under the 2010 Notes Indenture in respect of the 2010 Notes in an aggregate principal amount not to exceed $10,000,000 (reduced by any principal payments from time to time made thereon) and Guarantee Obligations of any Loan Party in respect thereto; and (ii) Indebtedness of the Borrower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80" w:top="280" w:right="279" w:bottom="1440" w:gutter="0" w:footer="0" w:header="0"/>
        </w:sectPr>
      </w:pPr>
    </w:p>
    <w:bookmarkStart w:id="174" w:name="page175"/>
    <w:bookmarkEnd w:id="174"/>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Corp. created under the 2014 Notes Indenture in respect of the 2014 Notes in an aggregate principal amount, including all Permitted Refinancing Indebtedness incurred to refund, refinance or replace any Indebtedness incurred pursuant to this subclause (ii), not to exceed $1,300,000,000 (reduced by any principal payments from time to time made thereon) and Guarantee Obligations of any Loan Party in respect thereto;</w:t>
      </w:r>
    </w:p>
    <w:p>
      <w:pPr>
        <w:spacing w:after="0" w:line="93" w:lineRule="exact"/>
        <w:rPr>
          <w:sz w:val="20"/>
          <w:szCs w:val="20"/>
          <w:color w:val="auto"/>
        </w:rPr>
      </w:pPr>
    </w:p>
    <w:p>
      <w:pPr>
        <w:ind w:right="160" w:firstLine="464"/>
        <w:spacing w:after="0" w:line="268"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Indebtedness (including, without limitation, Capital Lease Obligations) secured by Liens permitted by Section 7.3(s) in an aggregate principal amount not to exceed $30,000,000 (or, from and after the Phase II Opening Date, $100,000,000) at any time outstanding;</w:t>
      </w:r>
    </w:p>
    <w:p>
      <w:pPr>
        <w:spacing w:after="0" w:line="118" w:lineRule="exact"/>
        <w:rPr>
          <w:rFonts w:ascii="Arial" w:cs="Arial" w:eastAsia="Arial" w:hAnsi="Arial"/>
          <w:sz w:val="18"/>
          <w:szCs w:val="18"/>
          <w:color w:val="auto"/>
        </w:rPr>
      </w:pPr>
    </w:p>
    <w:p>
      <w:pPr>
        <w:ind w:right="240" w:firstLine="464"/>
        <w:spacing w:after="0" w:line="335" w:lineRule="auto"/>
        <w:tabs>
          <w:tab w:leader="none" w:pos="70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 xml:space="preserve">Indebtedness to any employees of Wynn Resorts or its Wholly Owned Subsidiaries (or their estates or trusts) incurred in connection with the repurchase, redemption or other acquisition or retirement for value of Capital Stock of Wynn Resorts permitted pursuant to Section 7.6(e);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Indebtedness outstanding at any time, when aggregated with the aggregate of all payments previously made under Section 7.6(e), will not exceed $10,000,000;</w:t>
      </w:r>
    </w:p>
    <w:p>
      <w:pPr>
        <w:spacing w:after="0" w:line="74" w:lineRule="exact"/>
        <w:rPr>
          <w:rFonts w:ascii="Arial" w:cs="Arial" w:eastAsia="Arial" w:hAnsi="Arial"/>
          <w:sz w:val="15"/>
          <w:szCs w:val="15"/>
          <w:color w:val="auto"/>
        </w:rPr>
      </w:pPr>
    </w:p>
    <w:p>
      <w:pPr>
        <w:ind w:right="80" w:firstLine="464"/>
        <w:spacing w:after="0" w:line="253" w:lineRule="auto"/>
        <w:tabs>
          <w:tab w:leader="none" w:pos="6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Subordinated Debt not to exceed an aggregate of $25,000,000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Phase II Opening Date, the aggregate amount of Subordinated Debt incurred by the Borrower shall not be limited so long as the Borrower and its Subsidiaries shall be in pro forma compliance with each of the covenants set forth in Section 7.1 as of the most recent Quarterly Date of the Borrower after giving pro forma effect to any such Subordinated Debt as if such Subordinated Debt was incurred (and the repayment of Indebtedness required by the following proviso made) on the first day of the period being tested on such Quarterly Date under the covenants set forth in Section 7.1;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each such case the Net Cash Proceeds of such Subordinated Debt shall be applied within two Business Days of the receipt of such proceeds to the prepayment of the Obligations in accordance with Section 2.12(a);</w:t>
      </w:r>
    </w:p>
    <w:p>
      <w:pPr>
        <w:spacing w:after="0" w:line="133" w:lineRule="exact"/>
        <w:rPr>
          <w:rFonts w:ascii="Arial" w:cs="Arial" w:eastAsia="Arial" w:hAnsi="Arial"/>
          <w:sz w:val="18"/>
          <w:szCs w:val="18"/>
          <w:color w:val="auto"/>
        </w:rPr>
      </w:pPr>
    </w:p>
    <w:p>
      <w:pPr>
        <w:ind w:firstLine="464"/>
        <w:spacing w:after="0" w:line="310" w:lineRule="auto"/>
        <w:tabs>
          <w:tab w:leader="none" w:pos="66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prior to the Phase I Final Completion Date (to the extent related to the development and construction of the Phase I Project) and prior to the Phase II Final Completion Date (to the extent related to the development and construction of the Phase II Project), Indebtedness in respect of performance bonds, guaranties, commercial or standby letters of credit (other than Letters of Credit), bankers’ acceptances or similar instruments issued by a Person other than Wynn Resorts or any Subsidiary of Wynn Resorts for the benefit of a trade creditor of any Loan Party, in an aggregate amount not to exceed $40,000,000 at any time outstanding so long as (i) such Indebtedness is incurred in the ordinary course of business and (ii) the obligations of any Loan Party, as the case may be, supported by such performance bonds, guaranties, trade letters of credit, bankers’ acceptances or similar instruments (1) consist solely of payment obligations with respect to costs incurred in accordance with the Phase I Project Budget or the Phase II Project Budget, as the case may be, which would otherwise be permitted to be paid by the applicable Loan Party pursuant to the Disbursement Agreement, (2) are secured and (3) are secured solely by Liens permitted by Section 7.3(u);</w:t>
      </w:r>
    </w:p>
    <w:p>
      <w:pPr>
        <w:spacing w:after="0" w:line="94" w:lineRule="exact"/>
        <w:rPr>
          <w:rFonts w:ascii="Arial" w:cs="Arial" w:eastAsia="Arial" w:hAnsi="Arial"/>
          <w:sz w:val="15"/>
          <w:szCs w:val="15"/>
          <w:color w:val="auto"/>
        </w:rPr>
      </w:pPr>
    </w:p>
    <w:p>
      <w:pPr>
        <w:ind w:left="720" w:hanging="256"/>
        <w:spacing w:after="0"/>
        <w:tabs>
          <w:tab w:leader="none" w:pos="7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Indebtedness in respect of performance bonds, guaranties, commercial or standby letters of credit (other than Letters of Credit), bankers’ acceptances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similar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75" w:name="page176"/>
    <w:bookmarkEnd w:id="17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instruments issued by a Person other than Wynn Resorts or any Affiliate of Wynn Resorts for the benefit of a trade creditor of any Loan Party, in an aggregate amount not to exceed $25,000,000 at any time outstanding so long as such Indebtedness (i) is incurred in the ordinary course of business; (ii) does not consist of payment obligations with respect to Project Costs related to the Phase II Project; and (iii) if secured, are secured solely by Liens permitted by Section 7.3(v);</w:t>
      </w:r>
    </w:p>
    <w:p>
      <w:pPr>
        <w:spacing w:after="0" w:line="93" w:lineRule="exact"/>
        <w:rPr>
          <w:sz w:val="20"/>
          <w:szCs w:val="20"/>
          <w:color w:val="auto"/>
        </w:rPr>
      </w:pPr>
    </w:p>
    <w:p>
      <w:pPr>
        <w:ind w:firstLine="464"/>
        <w:spacing w:after="0" w:line="258" w:lineRule="auto"/>
        <w:tabs>
          <w:tab w:leader="none" w:pos="66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Indebtedness, the Net Cash Proceeds of which are used for the development, construction and opening of an Additional Entertainment Facility and/or Retail Facility,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net cash proceeds have been received by the Borrower as a contribution to its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projected aggregate cost of such Additional Entertainment Facility and/or Retail Facility, which amount has been irrevocably committed substantially concurrent with the date of incurrence of such Indebtedness for use to develop, construct and open such Additional Entertainment Facility and/or Retail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the Borrower shall cause equity capital to be contributed to the Borrower such that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costs related to the Additional Entertainment Facility and/or Retail Facility shall have been funded with equity capital; and</w:t>
      </w:r>
    </w:p>
    <w:p>
      <w:pPr>
        <w:spacing w:after="0" w:line="128" w:lineRule="exact"/>
        <w:rPr>
          <w:rFonts w:ascii="Arial" w:cs="Arial" w:eastAsia="Arial" w:hAnsi="Arial"/>
          <w:sz w:val="16"/>
          <w:szCs w:val="16"/>
          <w:color w:val="auto"/>
        </w:rPr>
      </w:pPr>
    </w:p>
    <w:p>
      <w:pPr>
        <w:ind w:left="760" w:hanging="296"/>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additional Indebtedness in an aggregate principal amount (for all Loan Parties) not to exceed $50,000,000 at any time outstanding.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Limitation on Liens</w:t>
      </w:r>
      <w:r>
        <w:rPr>
          <w:rFonts w:ascii="Arial" w:cs="Arial" w:eastAsia="Arial" w:hAnsi="Arial"/>
          <w:sz w:val="16"/>
          <w:szCs w:val="16"/>
          <w:color w:val="auto"/>
        </w:rPr>
        <w:t>. Create, incur, assume or suffer to exist any Lien upon any of its Property, whether now owned or hereafter acquired, except for:</w:t>
      </w:r>
    </w:p>
    <w:p>
      <w:pPr>
        <w:spacing w:after="0" w:line="181" w:lineRule="exact"/>
        <w:rPr>
          <w:sz w:val="20"/>
          <w:szCs w:val="20"/>
          <w:color w:val="auto"/>
        </w:rPr>
      </w:pPr>
    </w:p>
    <w:p>
      <w:pPr>
        <w:ind w:right="400" w:firstLine="464"/>
        <w:spacing w:after="0" w:line="370" w:lineRule="auto"/>
        <w:tabs>
          <w:tab w:leader="none" w:pos="69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Liens for taxes, assessments or governmental charges or claims not yet due and payable or which are being contested in good faith by appropriate proceedings,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adequate reserves with respect thereto are maintained on the books of the applicable Loan Party, to the extent required by GAAP;</w:t>
      </w:r>
    </w:p>
    <w:p>
      <w:pPr>
        <w:spacing w:after="0" w:line="48" w:lineRule="exact"/>
        <w:rPr>
          <w:rFonts w:ascii="Arial" w:cs="Arial" w:eastAsia="Arial" w:hAnsi="Arial"/>
          <w:sz w:val="15"/>
          <w:szCs w:val="15"/>
          <w:color w:val="auto"/>
        </w:rPr>
      </w:pPr>
    </w:p>
    <w:p>
      <w:pPr>
        <w:jc w:val="both"/>
        <w:ind w:right="60" w:firstLine="464"/>
        <w:spacing w:after="0" w:line="298"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suppliers’ repairmen’s or other like Liens arising in the ordinary course of business for amounts which are not overdue for a period of more than 30 days or that are being contested in good faith by appropriate proceeding (and, in any event, there has been no commencement of the sale of any portion of the Collateral on account of such Lien); </w:t>
      </w:r>
      <w:r>
        <w:rPr>
          <w:rFonts w:ascii="Arial" w:cs="Arial" w:eastAsia="Arial" w:hAnsi="Arial"/>
          <w:sz w:val="16"/>
          <w:szCs w:val="16"/>
          <w:u w:val="single" w:color="auto"/>
          <w:color w:val="auto"/>
        </w:rPr>
        <w:t>provided</w:t>
      </w:r>
      <w:r>
        <w:rPr>
          <w:rFonts w:ascii="Arial" w:cs="Arial" w:eastAsia="Arial" w:hAnsi="Arial"/>
          <w:sz w:val="16"/>
          <w:szCs w:val="16"/>
          <w:color w:val="auto"/>
        </w:rPr>
        <w:t>, that adequate reserves with respect thereto are maintained on the books of the applicable Loan Party, to the extent required by GAAP;</w:t>
      </w:r>
    </w:p>
    <w:p>
      <w:pPr>
        <w:spacing w:after="0" w:line="99" w:lineRule="exact"/>
        <w:rPr>
          <w:rFonts w:ascii="Arial" w:cs="Arial" w:eastAsia="Arial" w:hAnsi="Arial"/>
          <w:sz w:val="16"/>
          <w:szCs w:val="16"/>
          <w:color w:val="auto"/>
        </w:rPr>
      </w:pPr>
    </w:p>
    <w:p>
      <w:pPr>
        <w:ind w:left="700" w:hanging="236"/>
        <w:spacing w:after="0"/>
        <w:tabs>
          <w:tab w:leader="none" w:pos="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Liens arising in connection with workers’ compensation, unemployment insurance, old age pensions and social security benefits or other similar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w:t>
      </w:r>
    </w:p>
    <w:p>
      <w:pPr>
        <w:spacing w:after="0" w:line="151" w:lineRule="exact"/>
        <w:rPr>
          <w:rFonts w:ascii="Arial" w:cs="Arial" w:eastAsia="Arial" w:hAnsi="Arial"/>
          <w:sz w:val="16"/>
          <w:szCs w:val="16"/>
          <w:color w:val="auto"/>
        </w:rPr>
      </w:pPr>
    </w:p>
    <w:p>
      <w:pPr>
        <w:ind w:left="720" w:hanging="256"/>
        <w:spacing w:after="0"/>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Liens incurred on deposits made to secure the performance of bids, tenders, trade contracts (other than for borrowed money), leases, statutory</w:t>
      </w:r>
    </w:p>
    <w:p>
      <w:pPr>
        <w:spacing w:after="0" w:line="38"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obligations, appeal bonds, indemnities, release bonds, fee and expense arrangements with trustees and fiscal agents and other obligations of a like nature incurred in the ordinary course of business;</w:t>
      </w:r>
    </w:p>
    <w:p>
      <w:pPr>
        <w:spacing w:after="0" w:line="124"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easements, covenants, rights-of-way, restrictions, subdivisions, parcelizations, encroachments and other similar encumbrances and other minor defects and irregularities in title that, in the aggregate, are not substantial in amount, which do not in any case materially detract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176" w:name="page177"/>
    <w:bookmarkEnd w:id="176"/>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value of the Real Estate including, without limitation, those matters set forth on any title policy provided to the Administrative Agent subsequent to the Amended and Restated Effective Date with respect to Real Estate acquired subsequent to the Amended and Restated Effective Date;</w:t>
      </w:r>
    </w:p>
    <w:p>
      <w:pPr>
        <w:spacing w:after="0" w:line="72" w:lineRule="exact"/>
        <w:rPr>
          <w:sz w:val="20"/>
          <w:szCs w:val="20"/>
          <w:color w:val="auto"/>
        </w:rPr>
      </w:pPr>
    </w:p>
    <w:p>
      <w:pPr>
        <w:ind w:right="120" w:firstLine="464"/>
        <w:spacing w:after="0" w:line="268" w:lineRule="auto"/>
        <w:tabs>
          <w:tab w:leader="none" w:pos="6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Liens in existence on the Amended and Restated Effective Date listed on </w:t>
      </w:r>
      <w:r>
        <w:rPr>
          <w:rFonts w:ascii="Arial" w:cs="Arial" w:eastAsia="Arial" w:hAnsi="Arial"/>
          <w:sz w:val="18"/>
          <w:szCs w:val="18"/>
          <w:u w:val="single" w:color="auto"/>
          <w:color w:val="auto"/>
        </w:rPr>
        <w:t>Schedule 7.3(f)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additional Property (other than proceeds of the sale or other disposition thereof) after the Amended and Restated Effective Date;</w:t>
      </w:r>
    </w:p>
    <w:p>
      <w:pPr>
        <w:spacing w:after="0" w:line="118"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otherwise securing the Obligations (including Liens created thereunder securing Specified Hedge Agreements);</w:t>
      </w:r>
    </w:p>
    <w:p>
      <w:pPr>
        <w:spacing w:after="0" w:line="118" w:lineRule="exact"/>
        <w:rPr>
          <w:rFonts w:ascii="Arial" w:cs="Arial" w:eastAsia="Arial" w:hAnsi="Arial"/>
          <w:sz w:val="18"/>
          <w:szCs w:val="18"/>
          <w:color w:val="auto"/>
        </w:rPr>
      </w:pPr>
    </w:p>
    <w:p>
      <w:pPr>
        <w:ind w:firstLine="464"/>
        <w:spacing w:after="0" w:line="332"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leases and subleases in each case permitted under the Loan Documents, and any leasehold mortgage in favor of any party financing the lessee under any such lease or sublease; </w:t>
      </w:r>
      <w:r>
        <w:rPr>
          <w:rFonts w:ascii="Arial" w:cs="Arial" w:eastAsia="Arial" w:hAnsi="Arial"/>
          <w:sz w:val="16"/>
          <w:szCs w:val="16"/>
          <w:u w:val="single" w:color="auto"/>
          <w:color w:val="auto"/>
        </w:rPr>
        <w:t>provided</w:t>
      </w:r>
      <w:r>
        <w:rPr>
          <w:rFonts w:ascii="Arial" w:cs="Arial" w:eastAsia="Arial" w:hAnsi="Arial"/>
          <w:sz w:val="16"/>
          <w:szCs w:val="16"/>
          <w:color w:val="auto"/>
        </w:rPr>
        <w:t>, that no Loan Party is liable for the payment of any principal of, or interest, premiums or fees on, such financing;</w:t>
      </w:r>
    </w:p>
    <w:p>
      <w:pPr>
        <w:spacing w:after="0" w:line="71" w:lineRule="exact"/>
        <w:rPr>
          <w:rFonts w:ascii="Arial" w:cs="Arial" w:eastAsia="Arial" w:hAnsi="Arial"/>
          <w:sz w:val="16"/>
          <w:szCs w:val="16"/>
          <w:color w:val="auto"/>
        </w:rPr>
      </w:pPr>
    </w:p>
    <w:p>
      <w:pPr>
        <w:ind w:left="680" w:hanging="216"/>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created by the Golf Course Lease;</w:t>
      </w:r>
    </w:p>
    <w:p>
      <w:pPr>
        <w:spacing w:after="0" w:line="157" w:lineRule="exact"/>
        <w:rPr>
          <w:rFonts w:ascii="Arial" w:cs="Arial" w:eastAsia="Arial" w:hAnsi="Arial"/>
          <w:sz w:val="18"/>
          <w:szCs w:val="18"/>
          <w:color w:val="auto"/>
        </w:rPr>
      </w:pPr>
    </w:p>
    <w:p>
      <w:pPr>
        <w:ind w:firstLine="464"/>
        <w:spacing w:after="0" w:line="256"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7.2(c);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attach only to the Aircraft, the beneficial interest of any trust which owns the Aircraft and/or such Loan Party that either directly owns the Aircraft or owns the beneficial interest in any trust that owns the Aircraft (in the case of any such Loan Party, so long as such Loan Party owns no material Property other than the Aircraft and/or the beneficial interest of any such trust) and any proceeds thereof;</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7.2(f)(ii);</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in respect of an agreement to Dispose of any Property, to the extent such Disposition is permitted by Section 7.4 or 7.5;</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so long as the Disbursement Agreement is in effect, any “Permitted Liens” as defined under the Disbursement Agreement;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attachment, judgment, writs or warrants of attachment or other similar Liens not constituting an Event of Default under Section 8.1(h);</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arising from the filing of UCC financing statements relating solely to leases;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51" w:lineRule="exact"/>
        <w:rPr>
          <w:rFonts w:ascii="Arial" w:cs="Arial" w:eastAsia="Arial" w:hAnsi="Arial"/>
          <w:sz w:val="16"/>
          <w:szCs w:val="16"/>
          <w:color w:val="auto"/>
        </w:rPr>
      </w:pPr>
    </w:p>
    <w:p>
      <w:pPr>
        <w:ind w:left="680" w:hanging="216"/>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Governmental Authority to control or regulate the use of any Real Estate;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80" w:right="259" w:bottom="1440" w:gutter="0" w:footer="0" w:header="0"/>
        </w:sectPr>
      </w:pPr>
    </w:p>
    <w:bookmarkStart w:id="177" w:name="page178"/>
    <w:bookmarkEnd w:id="177"/>
    <w:p>
      <w:pPr>
        <w:ind w:left="-20" w:right="80" w:firstLine="464"/>
        <w:spacing w:after="0" w:line="310" w:lineRule="auto"/>
        <w:tabs>
          <w:tab w:leader="none" w:pos="666" w:val="left"/>
        </w:tabs>
        <w:numPr>
          <w:ilvl w:val="0"/>
          <w:numId w:val="12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Liens on any Property (including the interest of a lessee under a Capitalized Lease or Synthetic Lease Obligation) securing Indebtedness incurred or assumed for the purpose of financing (or financing the purchase price within 180 days after the respective purchase of Property) all or any part of the acquisition, design, installation, construction, repair or improvement cost of such Property; </w:t>
      </w:r>
      <w:r>
        <w:rPr>
          <w:rFonts w:ascii="Arial" w:cs="Arial" w:eastAsia="Arial" w:hAnsi="Arial"/>
          <w:sz w:val="15"/>
          <w:szCs w:val="15"/>
          <w:u w:val="single" w:color="auto"/>
          <w:color w:val="auto"/>
        </w:rPr>
        <w:t>provided</w:t>
      </w:r>
      <w:r>
        <w:rPr>
          <w:rFonts w:ascii="Arial" w:cs="Arial" w:eastAsia="Arial" w:hAnsi="Arial"/>
          <w:sz w:val="15"/>
          <w:szCs w:val="15"/>
          <w:color w:val="auto"/>
        </w:rPr>
        <w:t>, that (i) such Liens do not at any time encumber any Property other than the Property (and proceeds of the sale or other Disposition thereof and the proceeds (including insurance proceeds), products, rents, profits, accession and replacements thereof or thereto) financed by such Indebtedness, (ii) such Lien either exists on the date hereof or is created in connection with the acquisition, design, installation, construction, repair or improvement of such Property, (iii) the Indebtedness secured by any such Lien does not exceed 100% of the fair market value of such Property and is otherwise permitted to be incurred pursuant to Section 7.2(g) and (iv) the Property financed by such Indebtedness is not of a type that will become affixed to the Project such that the removal thereof could reasonably be expected to physically damage the Project in any material respect;</w:t>
      </w:r>
    </w:p>
    <w:p>
      <w:pPr>
        <w:spacing w:after="0" w:line="94" w:lineRule="exact"/>
        <w:rPr>
          <w:rFonts w:ascii="Arial" w:cs="Arial" w:eastAsia="Arial" w:hAnsi="Arial"/>
          <w:sz w:val="15"/>
          <w:szCs w:val="15"/>
          <w:color w:val="auto"/>
        </w:rPr>
      </w:pPr>
    </w:p>
    <w:p>
      <w:pPr>
        <w:jc w:val="both"/>
        <w:ind w:left="-20" w:right="320" w:firstLine="464"/>
        <w:spacing w:after="0" w:line="259" w:lineRule="auto"/>
        <w:tabs>
          <w:tab w:leader="none" w:pos="6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in respect of customary rights of set off, revocation, refund or chargeback or similar rights under deposit, disbursement, concentration account agreements or under the UCC or arising by operation of law of banks or other financial institutions where any Loan Party maintains deposit, disbursement or concentration accounts in the ordinary course of business permitted by this Agreement;</w:t>
      </w:r>
    </w:p>
    <w:p>
      <w:pPr>
        <w:spacing w:after="0" w:line="126" w:lineRule="exact"/>
        <w:rPr>
          <w:rFonts w:ascii="Arial" w:cs="Arial" w:eastAsia="Arial" w:hAnsi="Arial"/>
          <w:sz w:val="18"/>
          <w:szCs w:val="18"/>
          <w:color w:val="auto"/>
        </w:rPr>
      </w:pPr>
    </w:p>
    <w:p>
      <w:pPr>
        <w:ind w:left="-20" w:right="20" w:firstLine="464"/>
        <w:spacing w:after="0" w:line="290" w:lineRule="auto"/>
        <w:tabs>
          <w:tab w:leader="none" w:pos="6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any Loan Party securing reimbursement obligations under performance bonds, guaranties, commercial or standby letters of credit, bankers’ acceptances or similar instruments permitted under Section 7.2(j), granted in favor of the issuers of such performance bonds, guaranties, commercial letters of credit or bankers’ acceptances, so long as (i) any cash disbursed to secure such reimbursement obligations is invested (if at all) in Permitted Securities only (to the extent the Borrower has the right to direct the investment thereof) and is segregated from the Loan Parties’ general cash accounts so that such Liens attach only to such cash and Permitted Securities and (ii) the amount of cash and/or Permitted Securities secured by such Liens is not less than the amount of Indebtedness secured thereby and in any event does not exceed 110% of the amount of the Indebtedness secured thereby (ignoring any interest earned or paid on such cash and any dividends or distributions declared or paid in respect of such Permitted Securities);</w:t>
      </w:r>
    </w:p>
    <w:p>
      <w:pPr>
        <w:spacing w:after="0" w:line="104" w:lineRule="exact"/>
        <w:rPr>
          <w:rFonts w:ascii="Arial" w:cs="Arial" w:eastAsia="Arial" w:hAnsi="Arial"/>
          <w:sz w:val="16"/>
          <w:szCs w:val="16"/>
          <w:color w:val="auto"/>
        </w:rPr>
      </w:pPr>
    </w:p>
    <w:p>
      <w:pPr>
        <w:ind w:left="-20" w:firstLine="464"/>
        <w:spacing w:after="0" w:line="290" w:lineRule="auto"/>
        <w:tabs>
          <w:tab w:leader="none" w:pos="6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any Loan Party securing reimbursement obligations under performance bonds, guaranties, commercial or standby letters of credit, bankers’ acceptances or similar instruments permitted under Section 7.2(k), granted in favor of the issuers of such performance bonds, guaranties, commercial letters of credit or bankers’ acceptances, so long as (i) any cash used as security for such reimbursement obligations is invested (if at all) in Cash Equivalents only (to the extent the Borrower has the right to direct the investment thereof) and is segregated from the Loan Parties’ general cash accounts so that such Liens attach only to such cash and Cash Equivalents and (ii) the amount of cash and/or Cash Equivalents secured by such Liens does not exceed 110% of the amount of the Indebtedness secured thereby (ignoring any interest earned or paid on such cash and any dividends or distributions declared or paid in respect of such Cash Equivalents);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60" w:top="280" w:right="239" w:bottom="1440" w:gutter="0" w:footer="0" w:header="0"/>
        </w:sectPr>
      </w:pPr>
    </w:p>
    <w:bookmarkStart w:id="178" w:name="page179"/>
    <w:bookmarkEnd w:id="178"/>
    <w:p>
      <w:pPr>
        <w:ind w:right="220" w:firstLine="464"/>
        <w:spacing w:after="0" w:line="268" w:lineRule="auto"/>
        <w:tabs>
          <w:tab w:leader="none" w:pos="7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created or expressly contemplated by the Affiliate Agreements, in each case as in effect on the date hereof, so long as such Liens do not secure Indebtedness;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7.2(f)(i);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attach only to the 2010 Notes Satisfaction Proceeds;</w:t>
      </w:r>
    </w:p>
    <w:p>
      <w:pPr>
        <w:spacing w:after="0" w:line="180" w:lineRule="exact"/>
        <w:rPr>
          <w:rFonts w:ascii="Arial" w:cs="Arial" w:eastAsia="Arial" w:hAnsi="Arial"/>
          <w:sz w:val="16"/>
          <w:szCs w:val="16"/>
          <w:color w:val="auto"/>
        </w:rPr>
      </w:pPr>
    </w:p>
    <w:p>
      <w:pPr>
        <w:ind w:firstLine="464"/>
        <w:spacing w:after="0" w:line="298" w:lineRule="auto"/>
        <w:tabs>
          <w:tab w:leader="none" w:pos="7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to the extent the Macau Loan was made directly to Wynn Macau, Liens of any lenders or other providers of debt, loan facilities or stand-by facilities to Wynn Macau on such Macau Loan and the proceeds thereof (in each case only to the extent that the Macau Loan is effectively subordinated in right of payment to the Indebtedness or other obligations of any such lenders or other providers of debt, loan facilities or stand-by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Indebtedness or other obligations secured by any such Lien shall be non-recourse to the Loan Parties (other than with respect to the Macau Loan);</w:t>
      </w:r>
    </w:p>
    <w:p>
      <w:pPr>
        <w:spacing w:after="0" w:line="99"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additional Liens incurred by any Loan Party so long as the value of the Property subject to such Liens (valued at the time such Lien is incurred) do not exceed $15,000,000 in the aggregate at any time;</w:t>
      </w:r>
    </w:p>
    <w:p>
      <w:pPr>
        <w:spacing w:after="0" w:line="118" w:lineRule="exact"/>
        <w:rPr>
          <w:sz w:val="20"/>
          <w:szCs w:val="20"/>
          <w:color w:val="auto"/>
        </w:rPr>
      </w:pPr>
    </w:p>
    <w:p>
      <w:pPr>
        <w:ind w:left="780" w:hanging="316"/>
        <w:spacing w:after="0"/>
        <w:tabs>
          <w:tab w:leader="none" w:pos="7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the extent constituting Liens, any trust’s ownership interest in the Aircraft; and</w:t>
      </w:r>
    </w:p>
    <w:p>
      <w:pPr>
        <w:spacing w:after="0" w:line="180" w:lineRule="exact"/>
        <w:rPr>
          <w:rFonts w:ascii="Arial" w:cs="Arial" w:eastAsia="Arial" w:hAnsi="Arial"/>
          <w:sz w:val="16"/>
          <w:szCs w:val="16"/>
          <w:color w:val="auto"/>
        </w:rPr>
      </w:pPr>
    </w:p>
    <w:p>
      <w:pPr>
        <w:ind w:right="600" w:firstLine="464"/>
        <w:spacing w:after="0" w:line="332" w:lineRule="auto"/>
        <w:tabs>
          <w:tab w:leader="none" w:pos="79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Liens of sellers of goods to any Loan Party arising under Article 2 of the UCC or similar provisions of applicable law in the ordinary course of business, covering only the goods sold and securing only the unpaid purchase price for such goods and related expenses.</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Enter into any merger, consolidation or amalgamation, or liquidate, wind up or dissolve itself (or suffer any liquidation or dissolution), or Dispose of all or substantially all of its Property or business, except that:</w:t>
      </w:r>
    </w:p>
    <w:p>
      <w:pPr>
        <w:spacing w:after="0" w:line="118" w:lineRule="exact"/>
        <w:rPr>
          <w:sz w:val="20"/>
          <w:szCs w:val="20"/>
          <w:color w:val="auto"/>
        </w:rPr>
      </w:pPr>
    </w:p>
    <w:p>
      <w:pPr>
        <w:ind w:left="700" w:hanging="236"/>
        <w:spacing w:after="0"/>
        <w:tabs>
          <w:tab w:leader="none" w:pos="7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Loan Party may be merged or consolidated with or into any other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any such merger or consolidation involves</w:t>
      </w:r>
    </w:p>
    <w:p>
      <w:pPr>
        <w:spacing w:after="0" w:line="38" w:lineRule="exact"/>
        <w:rPr>
          <w:rFonts w:ascii="Arial" w:cs="Arial" w:eastAsia="Arial" w:hAnsi="Arial"/>
          <w:sz w:val="16"/>
          <w:szCs w:val="16"/>
          <w:color w:val="auto"/>
        </w:rPr>
      </w:pPr>
    </w:p>
    <w:p>
      <w:pPr>
        <w:ind w:right="300" w:firstLine="8"/>
        <w:spacing w:after="0" w:line="261" w:lineRule="auto"/>
        <w:tabs>
          <w:tab w:leader="none" w:pos="2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the Borrower shall be the continuing or surviving entity or (ii) Capital Corp. or Wynn Golf, neither Capital Corp. nor Wynn Golf shall be the continuing or surviving entity);</w:t>
      </w:r>
    </w:p>
    <w:p>
      <w:pPr>
        <w:spacing w:after="0" w:line="124" w:lineRule="exact"/>
        <w:rPr>
          <w:rFonts w:ascii="Arial" w:cs="Arial" w:eastAsia="Arial" w:hAnsi="Arial"/>
          <w:sz w:val="18"/>
          <w:szCs w:val="18"/>
          <w:color w:val="auto"/>
        </w:rPr>
      </w:pPr>
    </w:p>
    <w:p>
      <w:pPr>
        <w:ind w:right="300" w:firstLine="464"/>
        <w:spacing w:after="0" w:line="268" w:lineRule="auto"/>
        <w:tabs>
          <w:tab w:leader="none" w:pos="70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Loan Party may Dispose of any or all of its assets (upon voluntary liquidation or otherwise) to the Borrower or any other Loan Party (other than Capital Corp. or Wynn Golf);</w:t>
      </w:r>
    </w:p>
    <w:p>
      <w:pPr>
        <w:spacing w:after="0" w:line="118" w:lineRule="exact"/>
        <w:rPr>
          <w:rFonts w:ascii="Arial" w:cs="Arial" w:eastAsia="Arial" w:hAnsi="Arial"/>
          <w:sz w:val="18"/>
          <w:szCs w:val="18"/>
          <w:color w:val="auto"/>
        </w:rPr>
      </w:pPr>
    </w:p>
    <w:p>
      <w:pPr>
        <w:ind w:right="780" w:firstLine="464"/>
        <w:spacing w:after="0" w:line="332" w:lineRule="auto"/>
        <w:tabs>
          <w:tab w:leader="none" w:pos="69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Loan Party (other than the Borrower) may liquidate, wind up or dissolve if the Borrower determines in good faith that such liquidation or dissolution is in the best interests of the Borrower and its Subsidiaries taken as a whole and is not materially disadvantageous to the Lenders; and</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Loan Party may Dispose of any of its Property in accordance with Section 7.5.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80" w:right="239" w:bottom="1440" w:gutter="0" w:footer="0" w:header="0"/>
        </w:sectPr>
      </w:pPr>
    </w:p>
    <w:bookmarkStart w:id="179" w:name="page180"/>
    <w:bookmarkEnd w:id="179"/>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7.5 </w:t>
      </w:r>
      <w:r>
        <w:rPr>
          <w:rFonts w:ascii="Arial" w:cs="Arial" w:eastAsia="Arial" w:hAnsi="Arial"/>
          <w:sz w:val="18"/>
          <w:szCs w:val="18"/>
          <w:u w:val="single" w:color="auto"/>
          <w:color w:val="auto"/>
        </w:rPr>
        <w:t>Limitation on Disposition of Property</w:t>
      </w:r>
      <w:r>
        <w:rPr>
          <w:rFonts w:ascii="Arial" w:cs="Arial" w:eastAsia="Arial" w:hAnsi="Arial"/>
          <w:sz w:val="18"/>
          <w:szCs w:val="18"/>
          <w:color w:val="auto"/>
        </w:rPr>
        <w:t>. Dispose of any of its Property (including, without limitation, receivables and leasehold interests), whether now owned or hereafter acquired, or issue or sell any shares of Capital Stock to any Person, except:</w:t>
      </w:r>
    </w:p>
    <w:p>
      <w:pPr>
        <w:spacing w:after="0" w:line="118" w:lineRule="exact"/>
        <w:rPr>
          <w:sz w:val="20"/>
          <w:szCs w:val="20"/>
          <w:color w:val="auto"/>
        </w:rPr>
      </w:pPr>
    </w:p>
    <w:p>
      <w:pPr>
        <w:ind w:left="700" w:hanging="236"/>
        <w:spacing w:after="0"/>
        <w:tabs>
          <w:tab w:leader="none" w:pos="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Disposition for fair market value of obsolete or worn out Property or Property no longer useful in the business of the Loan Parties;</w:t>
      </w:r>
    </w:p>
    <w:p>
      <w:pPr>
        <w:spacing w:after="0" w:line="157" w:lineRule="exact"/>
        <w:rPr>
          <w:rFonts w:ascii="Arial" w:cs="Arial" w:eastAsia="Arial" w:hAnsi="Arial"/>
          <w:sz w:val="18"/>
          <w:szCs w:val="18"/>
          <w:color w:val="auto"/>
        </w:rPr>
      </w:pPr>
    </w:p>
    <w:p>
      <w:pPr>
        <w:ind w:right="80" w:firstLine="464"/>
        <w:spacing w:after="0" w:line="259" w:lineRule="auto"/>
        <w:tabs>
          <w:tab w:leader="none" w:pos="7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Disposition of cash or cash equivalents, Investments permitted pursuant to Section 7.8, inventory (in the ordinary course of business (other than the sale of condominiums, time shares, integral ownerships or other similar interests)) and receivables (in connection with the collection thereof and otherwise as customary in gaming operations of the type conducted by the Loan Parties);</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Dispositions permitted by Section 7.4;</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sale or issuance of any Loan Party’s Capital Stock (other than Disqualified Stock) to its direct parent;</w:t>
      </w:r>
    </w:p>
    <w:p>
      <w:pPr>
        <w:spacing w:after="0" w:line="157"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Dispositions of Property having a fair market value not in excess of $40,000,000 in the aggregate (with respect to all the Loan Parties)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consideration received for such Property shall be in an amount at least equal to the fair market value thereof; and (ii) the consideration received therefor shall be at least 75% in cash or cash equivalents;</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subject to the last paragraph of this Section 7.5, the Borrower may enter into any leases with respect to any space on or within the Project;</w:t>
      </w:r>
    </w:p>
    <w:p>
      <w:pPr>
        <w:spacing w:after="0" w:line="180" w:lineRule="exact"/>
        <w:rPr>
          <w:rFonts w:ascii="Arial" w:cs="Arial" w:eastAsia="Arial" w:hAnsi="Arial"/>
          <w:sz w:val="16"/>
          <w:szCs w:val="16"/>
          <w:color w:val="auto"/>
        </w:rPr>
      </w:pPr>
    </w:p>
    <w:p>
      <w:pPr>
        <w:jc w:val="both"/>
        <w:ind w:right="20" w:firstLine="464"/>
        <w:spacing w:after="0" w:line="305" w:lineRule="auto"/>
        <w:tabs>
          <w:tab w:leader="none" w:pos="705" w:val="left"/>
        </w:tabs>
        <w:numPr>
          <w:ilvl w:val="1"/>
          <w:numId w:val="125"/>
        </w:numPr>
        <w:rPr>
          <w:rFonts w:ascii="Arial" w:cs="Arial" w:eastAsia="Arial" w:hAnsi="Arial"/>
          <w:sz w:val="15"/>
          <w:szCs w:val="15"/>
          <w:color w:val="auto"/>
        </w:rPr>
      </w:pPr>
      <w:r>
        <w:rPr>
          <w:rFonts w:ascii="Arial" w:cs="Arial" w:eastAsia="Arial" w:hAnsi="Arial"/>
          <w:sz w:val="15"/>
          <w:szCs w:val="15"/>
          <w:color w:val="auto"/>
        </w:rPr>
        <w:t>the dedication of space or other Dispositions of Property in connection with and in furtherance of constructing (i) a mass transit system, (ii) a pedestrian bridge over or a pedestrian tunnel under Las Vegas Boulevard or Sands Avenue or similar structures to facilitate the movement of pedestrians or vehicular traffic,</w:t>
      </w:r>
    </w:p>
    <w:p>
      <w:pPr>
        <w:ind w:firstLine="8"/>
        <w:spacing w:after="0" w:line="295" w:lineRule="auto"/>
        <w:tabs>
          <w:tab w:leader="none" w:pos="30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 right turn lane or other roadway dedication or (iv) such other structures or improvements reasonably related to the development, construction and operation of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that (A) in each case such dedication or other Dispositions are in furtherance of, and do not materially impair or interfere in the use or operations (or intended use or operations) of, the Project and (B) in no event shall the Loan Parties in the aggregate Dispose of (other than by way of dedication to a Governmental Authority) more than five acres of Real Estate pursuant to this Section 7.5(g);</w:t>
      </w:r>
    </w:p>
    <w:p>
      <w:pPr>
        <w:spacing w:after="0" w:line="101" w:lineRule="exact"/>
        <w:rPr>
          <w:rFonts w:ascii="Arial" w:cs="Arial" w:eastAsia="Arial" w:hAnsi="Arial"/>
          <w:sz w:val="16"/>
          <w:szCs w:val="16"/>
          <w:color w:val="auto"/>
        </w:rPr>
      </w:pPr>
    </w:p>
    <w:p>
      <w:pPr>
        <w:ind w:right="340" w:firstLine="464"/>
        <w:spacing w:after="0" w:line="259" w:lineRule="auto"/>
        <w:tabs>
          <w:tab w:leader="none" w:pos="70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Loan Party may (i) license trademarks, trade names and other Intellectual Property in the ordinary course of business and not interfering in any material respect with the ordinary conduct of the business of the Loan Parties and (ii) abandon any trademarks, trade names or other Intellectual Property no longer useful in the business of the Loan Parties;</w:t>
      </w:r>
    </w:p>
    <w:p>
      <w:pPr>
        <w:spacing w:after="0" w:line="126" w:lineRule="exact"/>
        <w:rPr>
          <w:rFonts w:ascii="Arial" w:cs="Arial" w:eastAsia="Arial" w:hAnsi="Arial"/>
          <w:sz w:val="18"/>
          <w:szCs w:val="18"/>
          <w:color w:val="auto"/>
        </w:rPr>
      </w:pPr>
    </w:p>
    <w:p>
      <w:pPr>
        <w:ind w:right="440" w:firstLine="464"/>
        <w:spacing w:after="0" w:line="332" w:lineRule="auto"/>
        <w:tabs>
          <w:tab w:leader="none" w:pos="66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the incurrence of Liens permitted under Section 7.3;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leases other than those permitted pursuant to Section 7.3(i) (whether or not constituting Permitted Liens) shall be permitted only to the extent provided in subsection (f) above and the last paragraph of this Section 7.5;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80" w:right="259" w:bottom="1440" w:gutter="0" w:footer="0" w:header="0"/>
        </w:sectPr>
      </w:pPr>
    </w:p>
    <w:bookmarkStart w:id="180" w:name="page181"/>
    <w:bookmarkEnd w:id="180"/>
    <w:p>
      <w:pPr>
        <w:ind w:left="-8" w:firstLine="464"/>
        <w:spacing w:after="0" w:line="284" w:lineRule="auto"/>
        <w:tabs>
          <w:tab w:leader="none" w:pos="658" w:val="left"/>
        </w:tabs>
        <w:numPr>
          <w:ilvl w:val="1"/>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Disposition of the Wynn Home Site Land to or as directed by Mr. Wynn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has occurred and is continuing at the time of such Disposition and such Disposition is not prohibited under the other Financing Agreements, (ii) the cash purchase price paid by Mr. Wynn or his designee for the Wynn Home Site Land is in immediately available funds (which, if received by a Person other than the Borrower, shall be held by such Person in trust for the benefit of the Borrower and paid to the Borrower no later than one Business Day after receipt of such funds) and equal to or greater than the fair market value of the Wynn Home Site Land, as determined in good faith by the Loan Parties, (iii) the Mortgaged Properties affected by the Disposition of the Wynn Home Site Land constitute separate legal parcels under NRS, Chapter 278, (iv) the Borrower shall have certified that construction of Mr. Wynn’s personal residence on the Wynn Home Site could not reasonably be expected to materially interfere with the use or operations of the Golf Course and could not otherwise reasonably be expected to impair the overall value of the Project, (v) appropriate reconveyance documentation in form and substance reasonably satisfactory to the Administrative Agent and the Collateral Agent shall have been prepared reflecting the release of the Wynn Home Site Land from the Lien of the applicable Mortgage(s) and such documentation shall have been recorded at the Clark County, Nevada Recorder’s Office, (vi)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 above does not impair the Lien of the Mortgage(s) affected by such reconveyance documentation and (vii) no Points of Diversion with respect to any water permits held by any Loan Party or otherwise utilized or expected to be utilized with respect to the Project, wells associated therewith or rights-of-way necessary for the transportation of water available under such water permits to the Golf Course Land or the water features of the Project, as the case may be, are located on the Wynn Home Site Land. Upon satisfaction of the foregoing conditions, the Administrative Agent shall execute and deliver to the Loan Parties such documents and instruments, including UCC-3 termination statements and deeds of reconveyance, all as may be reasonably requested by the Loan Parties to release the Liens granted for the benefit of the Secured Parties in the Wynn Home Site Land, and to effectuate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an instrument reasonably acceptable to the Administrative Agent is recorded against the Wynn Home Site Land to the effect that until the earlier of (x) the Disposition of the Golf Course Land in accordance with Section 7.5(k) or (y) the payment in full of the Obligations, only a personal residence for Mr. Wynn will be developed on the Wynn Home Site Land, the provisions of such instrument to burden the Wynn Home Site Land for the benefit of the Golf Course Land;</w:t>
      </w:r>
    </w:p>
    <w:p>
      <w:pPr>
        <w:spacing w:after="0" w:line="114" w:lineRule="exact"/>
        <w:rPr>
          <w:rFonts w:ascii="Arial" w:cs="Arial" w:eastAsia="Arial" w:hAnsi="Arial"/>
          <w:sz w:val="16"/>
          <w:szCs w:val="16"/>
          <w:color w:val="auto"/>
        </w:rPr>
      </w:pPr>
    </w:p>
    <w:p>
      <w:pPr>
        <w:ind w:left="-8" w:right="260" w:firstLine="464"/>
        <w:spacing w:after="0" w:line="284" w:lineRule="auto"/>
        <w:tabs>
          <w:tab w:leader="none" w:pos="69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Disposition of the Golf Course Land and/or, at the option of the Loan Parties, Disposition of the Capital Stock of Wynn Golf; </w:t>
      </w:r>
      <w:r>
        <w:rPr>
          <w:rFonts w:ascii="Arial" w:cs="Arial" w:eastAsia="Arial" w:hAnsi="Arial"/>
          <w:sz w:val="16"/>
          <w:szCs w:val="16"/>
          <w:u w:val="single" w:color="auto"/>
          <w:color w:val="auto"/>
        </w:rPr>
        <w:t>provided</w:t>
      </w:r>
      <w:r>
        <w:rPr>
          <w:rFonts w:ascii="Arial" w:cs="Arial" w:eastAsia="Arial" w:hAnsi="Arial"/>
          <w:sz w:val="16"/>
          <w:szCs w:val="16"/>
          <w:color w:val="auto"/>
        </w:rPr>
        <w:t>, that (i) no Default or Event of Default has occurred and is continuing at the time of such Disposition and such Disposition is not prohibited under the other Financing Agreements, (ii) such Disposition occurs on or after the last day of the second full fiscal quarter of the Borrower occurring after the Phase II Completion Date,</w:t>
      </w:r>
    </w:p>
    <w:p>
      <w:pPr>
        <w:spacing w:after="0" w:line="1" w:lineRule="exact"/>
        <w:rPr>
          <w:rFonts w:ascii="Arial" w:cs="Arial" w:eastAsia="Arial" w:hAnsi="Arial"/>
          <w:sz w:val="16"/>
          <w:szCs w:val="16"/>
          <w:color w:val="auto"/>
        </w:rPr>
      </w:pPr>
    </w:p>
    <w:p>
      <w:pPr>
        <w:ind w:left="-8" w:right="140" w:firstLine="8"/>
        <w:spacing w:after="0" w:line="302" w:lineRule="auto"/>
        <w:tabs>
          <w:tab w:leader="none" w:pos="29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at the time of such Disposition, the Consolidated Leverage Ratio (calculated in accordance with Section 1.3(b)) for the period of four full consecutive fiscal quarters ending on each of the two most recent Quarterly Dates was 5.0 to 1.0 or less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such case, there shall be excluded from such calculations of the Consolidated Leverage Ratio the Consolidated EBITDA, if any, derived from the Golf Course during any applicable period) and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92"/>
          </w:cols>
          <w:pgMar w:left="248" w:top="280" w:right="259" w:bottom="1440" w:gutter="0" w:footer="0" w:header="0"/>
        </w:sectPr>
      </w:pPr>
    </w:p>
    <w:bookmarkStart w:id="181" w:name="page182"/>
    <w:bookmarkEnd w:id="181"/>
    <w:p>
      <w:pPr>
        <w:ind w:firstLine="8"/>
        <w:spacing w:after="0" w:line="288" w:lineRule="auto"/>
        <w:tabs>
          <w:tab w:leader="none" w:pos="297"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Points of Diversion with respect to any water permits held by any Loan Party or otherwise utilized or expected to be utilized with respect to the water features of the Project (other than the Golf Course), wells associated therewith or rights-of-way necessary for the transportation of water available under such water permits to the water features of the Project (other than the Golf Course) are located on the Golf Course Land (or otherwise Wynn Golf shall have transferred (previously or in connection with such Disposition) at no cost to the Borrower such easements as are necessary for the Borrower to access such Points of Diversion, own and operate such wells and transport such water to the water features of the Project and the Borrower shall have taken all actions required pursuant to Section 6.10 with respect to any Property thereby acquired). Upon satisfaction of the foregoing conditions, the Administrative Agent shall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Land and/or Wynn Golf, as applicable, and to effectuate such Disposition;</w:t>
      </w:r>
    </w:p>
    <w:p>
      <w:pPr>
        <w:spacing w:after="0" w:line="106" w:lineRule="exact"/>
        <w:rPr>
          <w:rFonts w:ascii="Arial" w:cs="Arial" w:eastAsia="Arial" w:hAnsi="Arial"/>
          <w:sz w:val="16"/>
          <w:szCs w:val="16"/>
          <w:color w:val="auto"/>
        </w:rPr>
      </w:pPr>
    </w:p>
    <w:p>
      <w:pPr>
        <w:ind w:firstLine="464"/>
        <w:spacing w:after="0" w:line="284" w:lineRule="auto"/>
        <w:tabs>
          <w:tab w:leader="none" w:pos="66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Disposition of the Home Site 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has occurred and is continuing at the time of such Disposition and such Disposition is not prohibited under the other Financing Agreements, (ii) such Disposition occurs on or after the last day of the fourth full fiscal quarter of the Borrower occurring after the Phase II Completion Date, (iii) at the time of such Disposition, the Consolidated EBITDA of the Borrower for the most recent period of four full consecutive fiscal quarters of the Borrower was equal to or greater than $325,000,000, (iv) the Mortgaged Properties (other than the Home Site Land) affected by the Disposition of the Home Site Land constitute separate legal parcels under Nevada Revised Statutes, Chapter 278, (v) the Borrower shall have certified that construction of permitted improvements on the Home Site Land could not reasonably be expected to materially interfere with the use or operations of the Golf Course and could not otherwise reasonably be expected to materially impair the overall value of the Project, (vi) appropriate reconveyance documentation in form and substance reasonably satisfactory to the Administrative Agent and the Collateral Agent shall have been prepared reflecting the release of the Home Site Land from the Lien of the applicable Mortgage(s) and such documentation shall have been recorded at the Clark County, Nevada Recorder’s Office, (vii) the Borrower shall have delivered to the Administrative Agent and the Collateral Agent an endorsement, or a commitment by the Title Insurer to issue an endorsement, to the Title Policy, in either case in form and substance reasonably satisfactory to the Administrative Agent, insuring that the execution and recordation of the reconveyance documentation described in clause (vi) above does not impair the Lien of the Mortgage(s) affected by such reconveyance documentation and (viii) no Points of Diversion with respect to any water permits held by any Loan Party or otherwise utilized or expected to be utilized with respect to the water features of the Project or the Golf Course, wells associated therewith or rights-of-way necessary for the transportation of water available under such water permits to the Golf Course Land or the water features of the Project, as the case may be, are located on the Home Site Land (or otherwise Wynn Golf shall have transferred or reserved for the benefit of the Golf Course Land (previously or in connection with such Disposition) at no cost to the Loan Parties such easements as are necessary for the Loan Parties to access such Points of Diversion, own and operate such wells and transport such water to the water features of the Project and/or the Golf Course and the Loan Parties shall have taken all actions required pursuant to Section 6.10 with respect to any Property thereby acquired). Upon satisfaction of the foregoing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0" w:right="239" w:bottom="1440" w:gutter="0" w:footer="0" w:header="0"/>
        </w:sectPr>
      </w:pPr>
    </w:p>
    <w:bookmarkStart w:id="182" w:name="page183"/>
    <w:bookmarkEnd w:id="18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conditions, the Administrative Agent shall execute and deliver to the Loan Parties such documents and instruments, including UCC-3 termination statements and deeds of reconveyance, all as may be reasonably requested by the Loan Parties to release the Liens for the benefit of the Secured Parties in the Home Site Land, and to effectuate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an instrument reasonably acceptable to the Administrative Agent is recorded against the Home Site Land to the effect that until the earlier of (x) the Disposition of the Golf Course Land in accordance with Section 7.5(k) or (y) 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107" w:lineRule="exact"/>
        <w:rPr>
          <w:sz w:val="20"/>
          <w:szCs w:val="20"/>
          <w:color w:val="auto"/>
        </w:rPr>
      </w:pPr>
    </w:p>
    <w:p>
      <w:pPr>
        <w:ind w:firstLine="464"/>
        <w:spacing w:after="0" w:line="288" w:lineRule="auto"/>
        <w:tabs>
          <w:tab w:leader="none" w:pos="75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Dispositions of all or a portion of the Koval 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Disposition shall be in furtherance of the development, construction and operation of the Project (including, without limitation, the construction, development and operation of employee parking facilities and other ancillary facilities) on the Koval Land and/or on adjacent Property acquired or to be acquired by any Loan Party pursuant to the transaction or series of transactions related to such Disposition, (ii) any such Disposition shall be at fair market value (after taking into consideration any cash and non-cash consideration received for such Disposition from any transaction or series of transactions related to such Disposition), (iii) any Net Cash Proceeds of any such Disposition that are not reinvested or otherwise utilized in furtherance of the matters described in clause (i) above within 360 days after such Disposition shall be deemed Net Cash Proceeds and shall be required to be applied to the prepayment of the Obligations in accordance with Section 2.12(b) (without any right of reinvestment thereunder) and (iv) the Loan Parties shall have taken all actions required pursuant to Section 6.10 with respect to any Property acquired in connection with any transaction or series of transactions related to any such Disposition;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any Event of Eminent Domain; </w:t>
      </w:r>
      <w:r>
        <w:rPr>
          <w:rFonts w:ascii="Arial" w:cs="Arial" w:eastAsia="Arial" w:hAnsi="Arial"/>
          <w:sz w:val="18"/>
          <w:szCs w:val="18"/>
          <w:u w:val="single" w:color="auto"/>
          <w:color w:val="auto"/>
        </w:rPr>
        <w:t>provided</w:t>
      </w:r>
      <w:r>
        <w:rPr>
          <w:rFonts w:ascii="Arial" w:cs="Arial" w:eastAsia="Arial" w:hAnsi="Arial"/>
          <w:sz w:val="18"/>
          <w:szCs w:val="18"/>
          <w:color w:val="auto"/>
        </w:rPr>
        <w:t>, that the Loan Parties otherwise comply with Sections 2.12(c) and 2.24, as applicable; and</w:t>
      </w:r>
    </w:p>
    <w:p>
      <w:pPr>
        <w:spacing w:after="0" w:line="157" w:lineRule="exact"/>
        <w:rPr>
          <w:rFonts w:ascii="Arial" w:cs="Arial" w:eastAsia="Arial" w:hAnsi="Arial"/>
          <w:sz w:val="18"/>
          <w:szCs w:val="18"/>
          <w:color w:val="auto"/>
        </w:rPr>
      </w:pPr>
    </w:p>
    <w:p>
      <w:pPr>
        <w:ind w:right="160" w:firstLine="464"/>
        <w:spacing w:after="0" w:line="306"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Dispositions by any Loan Party to any other Loan Party (other than Capital Corp. or Wynn Golf (except with respect to Dispositions, the proceeds of which are necessary for the organizational maintenance of Capital Corp. or Wynn Golf);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each Loan Party shall have taken all actions required pursuant to Section 6.10 with respect to any Property acquired by it pursuant to this clause (o);</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Notwithstanding the foregoing provisions of this Section 7.5, subsection (f) above shall be subject to the additional provisos that: (a) no Event of Default shall exist and be continuing at the time of such transaction, lease or sublease or would occur as a result of entering into such transaction, lease or sublease (or immediately after any renewal or extension thereof at the option of the Borrower), (b) such transaction, lease or sublease could not reasonably be expected to materially interfere with, or materially impair or detract from, the operation of the Project, (c) no gaming, hotel or casino operations (other than the operation of arcades and games for minors) may be conducted on any space that is subject to such transaction, lease or sublease other than by and for the benefit of the Loan Parties and (d) no lease or sublease may provide that a Loan Party subordinate its fee, condominium or leasehold interest to any lessee or any party financing any lessee;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Administrative Agent on behalf of the Lenders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80" w:right="259" w:bottom="1440" w:gutter="0" w:footer="0" w:header="0"/>
        </w:sectPr>
      </w:pPr>
    </w:p>
    <w:bookmarkStart w:id="183" w:name="page184"/>
    <w:bookmarkEnd w:id="183"/>
    <w:p>
      <w:pPr>
        <w:ind w:right="2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agree to provide the tenant under any such lease or sublease with a subordination, non-disturbance and attornment agreement and (y) unless the Administrative Agent shall otherwise waive such requirement, with respect to any such lease having a term of five years or more and reasonably anticipated annual rents (whether due to base rent, fixed rents, reasonably anticipated percentage rents or other reasonably anticipated rental income from such lease or sublease) in excess of $500,000 (other than leases solely between Loan Parties), the applicable Loan Party(ies) shall enter into, and cause the tenant under any such lease or sublease to enter into with the Administrative Agent for the benefit of the Lenders, a subordination, non-disturbance and attornment agreement, in each case substantially in the form of Exhibit N hereto with such changes as the Administrative Agent may approve, which approval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changes do not materially and adversely affect the security interests granted in favor of the Lenders under any of the Security Documents).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 Declare or pay any dividend (other than dividends payable solely in common stock or in options, warrants or other rights to purchase such common stock (excluding Disqualified 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16"/>
          <w:szCs w:val="16"/>
          <w:u w:val="single" w:color="auto"/>
          <w:color w:val="auto"/>
        </w:rPr>
        <w:t>Derivatives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Counterparty</w:t>
      </w:r>
      <w:r>
        <w:rPr>
          <w:rFonts w:ascii="Arial" w:cs="Arial" w:eastAsia="Arial" w:hAnsi="Arial"/>
          <w:sz w:val="16"/>
          <w:szCs w:val="16"/>
          <w:color w:val="auto"/>
        </w:rPr>
        <w:t>”) obligating any Loan Party to make payments to such Derivatives Counterparty as a result of any change in market value of any such Capital Stock (collectively,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except that:</w:t>
      </w:r>
    </w:p>
    <w:p>
      <w:pPr>
        <w:spacing w:after="0" w:line="105" w:lineRule="exact"/>
        <w:rPr>
          <w:sz w:val="20"/>
          <w:szCs w:val="20"/>
          <w:color w:val="auto"/>
        </w:rPr>
      </w:pPr>
    </w:p>
    <w:p>
      <w:pPr>
        <w:ind w:firstLine="464"/>
        <w:spacing w:after="0" w:line="288"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any Loan Party may pay dividends or other distributions (not in excess of $20,000,000 in the aggregate from and after the Amended and Restated Effective Date)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or other authorization necessary for the ownership, construction, maintenance, lease, financing or operation of the Project, in any event to the extent such suspension, revocation or denial would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efforts do not jeopardize any such gaming license or other authorization necessary for the ownership, construction, maintenance, lease,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106" w:lineRule="exact"/>
        <w:rPr>
          <w:rFonts w:ascii="Arial" w:cs="Arial" w:eastAsia="Arial" w:hAnsi="Arial"/>
          <w:sz w:val="16"/>
          <w:szCs w:val="16"/>
          <w:color w:val="auto"/>
        </w:rPr>
      </w:pPr>
    </w:p>
    <w:p>
      <w:pPr>
        <w:jc w:val="both"/>
        <w:ind w:right="100"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constituting Restricted Payments, (i) any Loan Party may consummate a transaction permitted pursuant to Section 7.4, (ii) any Loan Party may make Dispositions permitted pursuant to Section 7.5 (other than Section 7.5(b) and Section 7.5(k) (any Dispositions permitted pursuant to Section 7.5(k), to the extent constituting Restricted Payments,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80" w:right="239" w:bottom="1440" w:gutter="0" w:footer="0" w:header="0"/>
        </w:sectPr>
      </w:pPr>
    </w:p>
    <w:bookmarkStart w:id="184" w:name="page185"/>
    <w:bookmarkEnd w:id="184"/>
    <w:p>
      <w:pPr>
        <w:ind w:right="8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being governed by Section 7.6(h) below)), (iii) any Loan Party may make Investments permitted pursuant to Section 7.8, (iv) any Loan Party may pay Management Fees to Wynn Resorts permitted pursuant to Section 7.22 and (v) any Loan Party may take actions permitted pursuant to Section 7.10;</w:t>
      </w:r>
    </w:p>
    <w:p>
      <w:pPr>
        <w:spacing w:after="0" w:line="72" w:lineRule="exact"/>
        <w:rPr>
          <w:sz w:val="20"/>
          <w:szCs w:val="20"/>
          <w:color w:val="auto"/>
        </w:rPr>
      </w:pPr>
    </w:p>
    <w:p>
      <w:pPr>
        <w:ind w:left="700" w:hanging="236"/>
        <w:spacing w:after="0"/>
        <w:tabs>
          <w:tab w:leader="none" w:pos="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Loan Party may make Restricted Payments to the Borrower or any other Loan Party (other than Capital Corp. and Wynn Golf);</w:t>
      </w:r>
    </w:p>
    <w:p>
      <w:pPr>
        <w:spacing w:after="0" w:line="157" w:lineRule="exact"/>
        <w:rPr>
          <w:rFonts w:ascii="Arial" w:cs="Arial" w:eastAsia="Arial" w:hAnsi="Arial"/>
          <w:sz w:val="18"/>
          <w:szCs w:val="18"/>
          <w:color w:val="auto"/>
        </w:rPr>
      </w:pPr>
    </w:p>
    <w:p>
      <w:pPr>
        <w:ind w:right="60" w:firstLine="464"/>
        <w:spacing w:after="0" w:line="332" w:lineRule="auto"/>
        <w:tabs>
          <w:tab w:leader="none" w:pos="7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71" w:lineRule="exact"/>
        <w:rPr>
          <w:rFonts w:ascii="Arial" w:cs="Arial" w:eastAsia="Arial" w:hAnsi="Arial"/>
          <w:sz w:val="16"/>
          <w:szCs w:val="16"/>
          <w:color w:val="auto"/>
        </w:rPr>
      </w:pPr>
    </w:p>
    <w:p>
      <w:pPr>
        <w:ind w:right="120" w:firstLine="464"/>
        <w:spacing w:after="0" w:line="291"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shall have occurred and be continuing (or would result therefrom), the Borrower may pay dividends directly or indirectly to Wynn Resorts to permit Wynn Resorts to repurchase, redeem or otherwise acquire or retire Capital Stock of Wynn Resorts held by members of management of Wynn Resorts or its Wholly Owned Subsidiaries (or their estates or trusts) upon the death, disability or termination of employment of such employees in accordance with any applicable Governing Documents, employment agreements, employee benefit plans or option plans or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payments under this subsection (e) will not exceed (i) $4,000,000 in any Fiscal Year and (ii) $10,000,000 in the aggregate from and after the Amended and Restated Effective Date (less any Indebtedness of the Loan Parties then outstanding pursuant to Section 7.2(h));</w:t>
      </w:r>
    </w:p>
    <w:p>
      <w:pPr>
        <w:spacing w:after="0" w:line="106" w:lineRule="exact"/>
        <w:rPr>
          <w:rFonts w:ascii="Arial" w:cs="Arial" w:eastAsia="Arial" w:hAnsi="Arial"/>
          <w:sz w:val="16"/>
          <w:szCs w:val="16"/>
          <w:color w:val="auto"/>
        </w:rPr>
      </w:pPr>
    </w:p>
    <w:p>
      <w:pPr>
        <w:ind w:firstLine="464"/>
        <w:spacing w:after="0" w:line="318" w:lineRule="auto"/>
        <w:tabs>
          <w:tab w:leader="none" w:pos="676" w:val="left"/>
        </w:tabs>
        <w:numPr>
          <w:ilvl w:val="1"/>
          <w:numId w:val="132"/>
        </w:numPr>
        <w:rPr>
          <w:rFonts w:ascii="Arial" w:cs="Arial" w:eastAsia="Arial" w:hAnsi="Arial"/>
          <w:sz w:val="15"/>
          <w:szCs w:val="15"/>
          <w:color w:val="auto"/>
        </w:rPr>
      </w:pPr>
      <w:r>
        <w:rPr>
          <w:rFonts w:ascii="Arial" w:cs="Arial" w:eastAsia="Arial" w:hAnsi="Arial"/>
          <w:sz w:val="15"/>
          <w:szCs w:val="15"/>
          <w:color w:val="auto"/>
        </w:rPr>
        <w:t xml:space="preserve">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(i) $12,000,000 from and after the Amended and Restated Effective Date,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for each Fiscal Year occurring after the 2006 Fiscal Year, $2,000,000 or (ii) if the Phase II Opening Date occurs, $50,000,000 from and after the Amended and Restated Effective Date, </w:t>
      </w:r>
      <w:r>
        <w:rPr>
          <w:rFonts w:ascii="Arial" w:cs="Arial" w:eastAsia="Arial" w:hAnsi="Arial"/>
          <w:sz w:val="15"/>
          <w:szCs w:val="15"/>
          <w:u w:val="single" w:color="auto"/>
          <w:color w:val="auto"/>
        </w:rPr>
        <w:t>plus</w:t>
      </w:r>
      <w:r>
        <w:rPr>
          <w:rFonts w:ascii="Arial" w:cs="Arial" w:eastAsia="Arial" w:hAnsi="Arial"/>
          <w:sz w:val="15"/>
          <w:szCs w:val="15"/>
          <w:color w:val="auto"/>
        </w:rPr>
        <w:t>, for each Fiscal Year occurring after the Fiscal Year in which the Phase II Opening Date occurs, 50% of the Consolidated Net Income of the Borrower for such Fiscal Year;</w:t>
      </w:r>
    </w:p>
    <w:p>
      <w:pPr>
        <w:spacing w:after="0" w:line="86" w:lineRule="exact"/>
        <w:rPr>
          <w:rFonts w:ascii="Arial" w:cs="Arial" w:eastAsia="Arial" w:hAnsi="Arial"/>
          <w:sz w:val="15"/>
          <w:szCs w:val="15"/>
          <w:color w:val="auto"/>
        </w:rPr>
      </w:pPr>
    </w:p>
    <w:p>
      <w:pPr>
        <w:ind w:left="720" w:hanging="256"/>
        <w:spacing w:after="0"/>
        <w:tabs>
          <w:tab w:leader="none" w:pos="72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to the extent constituting Restricted Payments, the Borrower may (i) pay Project Costs as permitted pursuant to the Disbursement Agreement and</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payments permitted pursuant to Section 3.7 (or from and after the Amended and Restated Disbursement Agreement Effective Date, the first proviso of Section 6.7) of the Disbursement Agreement; and</w:t>
      </w:r>
    </w:p>
    <w:p>
      <w:pPr>
        <w:spacing w:after="0" w:line="124" w:lineRule="exact"/>
        <w:rPr>
          <w:rFonts w:ascii="Arial" w:cs="Arial" w:eastAsia="Arial" w:hAnsi="Arial"/>
          <w:sz w:val="18"/>
          <w:szCs w:val="18"/>
          <w:color w:val="auto"/>
        </w:rPr>
      </w:pPr>
    </w:p>
    <w:p>
      <w:pPr>
        <w:ind w:right="500" w:firstLine="464"/>
        <w:spacing w:after="0" w:line="332" w:lineRule="auto"/>
        <w:tabs>
          <w:tab w:leader="none" w:pos="70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any Loan Party may make Restricted Payments consisting of any portion of the Golf Course Collateral so long as (i) the Disposition of such Golf Course Collateral is permitted pursuant to Section 7.5(k) or (ii) the Lien on such Golf Course Collateral has been released pursuant to Section 10.22.</w:t>
      </w:r>
    </w:p>
    <w:p>
      <w:pPr>
        <w:spacing w:after="0" w:line="7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Limitation on Capital Expenditures</w:t>
      </w:r>
      <w:r>
        <w:rPr>
          <w:rFonts w:ascii="Arial" w:cs="Arial" w:eastAsia="Arial" w:hAnsi="Arial"/>
          <w:sz w:val="18"/>
          <w:szCs w:val="18"/>
          <w:color w:val="auto"/>
        </w:rPr>
        <w:t>. Make or incur Capital Expenditures in any Fiscal Year indicated below in an aggregate amount among all Loan Parties in excess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80" w:right="239" w:bottom="1440" w:gutter="0" w:footer="0" w:header="0"/>
        </w:sectPr>
      </w:pPr>
    </w:p>
    <w:bookmarkStart w:id="185" w:name="page186"/>
    <w:bookmarkEnd w:id="18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corresponding amount set forth below opposite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other than Capital Expenditures (x) necessary to keep all associated Property and systems reasonably related to the operation of the Golf Course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 (A) $3,000,000 during the period from the Phase I Opening Date through the 18 month anniversary thereof and (B) $5,000,000 in any 12 month period thereafter and (ii) other than Capital Expenditures (x) necessary or advisable to keep all associated Property and systems reasonably related to the operation of the Aircraft in good and working order and condition,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3800" w:type="dxa"/>
            <w:vAlign w:val="bottom"/>
            <w:gridSpan w:val="3"/>
          </w:tcPr>
          <w:p>
            <w:pPr>
              <w:ind w:left="1920"/>
              <w:spacing w:after="0"/>
              <w:rPr>
                <w:sz w:val="20"/>
                <w:szCs w:val="20"/>
                <w:color w:val="auto"/>
              </w:rPr>
            </w:pPr>
            <w:r>
              <w:rPr>
                <w:rFonts w:ascii="Arial" w:cs="Arial" w:eastAsia="Arial" w:hAnsi="Arial"/>
                <w:sz w:val="14"/>
                <w:szCs w:val="14"/>
                <w:b w:val="1"/>
                <w:bCs w:val="1"/>
                <w:color w:val="auto"/>
                <w:w w:val="89"/>
              </w:rPr>
              <w:t>Maximum Capital Expenditures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2006</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2007</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2008</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2009 and each Fiscal Year thereafter</w:t>
            </w:r>
          </w:p>
        </w:tc>
        <w:tc>
          <w:tcPr>
            <w:tcW w:w="24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the foregoing, (a) the amounts referred to above shall be increased from time to time by the amount of cash proceeds received by the Loan Parties as equity capital contributions from Wynn Resorts (or another Affiliate to the extent acting as an intermediary for purposes of contributing equity capital contributions from Wynn Resorts to a Loan Party for application to Capital Expenditures) but only to the extent such equity capital contribution proceeds are contributed and so applied for Capital Expenditures (other than the Additional Entertainment Facility and/or the Retail Facility) during the relevant Fiscal Year and (b) if any amount referred to above (as increased pursuant to clause (a) above) is not expended in the Fiscal Year for which it is permitted, 100% of any such non-expended amounts (the “</w:t>
      </w:r>
      <w:r>
        <w:rPr>
          <w:rFonts w:ascii="Arial" w:cs="Arial" w:eastAsia="Arial" w:hAnsi="Arial"/>
          <w:sz w:val="16"/>
          <w:szCs w:val="16"/>
          <w:u w:val="single" w:color="auto"/>
          <w:color w:val="auto"/>
        </w:rPr>
        <w:t>Carryover Amount</w:t>
      </w:r>
      <w:r>
        <w:rPr>
          <w:rFonts w:ascii="Arial" w:cs="Arial" w:eastAsia="Arial" w:hAnsi="Arial"/>
          <w:sz w:val="16"/>
          <w:szCs w:val="16"/>
          <w:color w:val="auto"/>
        </w:rPr>
        <w:t xml:space="preserve">”) may be carried over for expenditure in the next succeeding Fiscal Year (with amounts expended in any Fiscal Year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against the Carryover Amount (if any)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against amounts set forth above in respect of such Fiscal Year).</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Limitation on Investments</w:t>
      </w:r>
      <w:r>
        <w:rPr>
          <w:rFonts w:ascii="Arial" w:cs="Arial" w:eastAsia="Arial" w:hAnsi="Arial"/>
          <w:sz w:val="18"/>
          <w:szCs w:val="18"/>
          <w:color w:val="auto"/>
        </w:rPr>
        <w:t>. Make any advance (other than deposits with financial institutions available for withdrawal on demand, prepaid expenses and similar items), loan, extension of credit (by way of guaranty or otherwise) or capital contribution to, or purchase any Capital Stock, bonds, notes, debentures or other debt securities of, purchase all or substantially all of the assets constituting the business of a division, branch or other unit operation from, or make any other investment in, any other Person (all of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80" w:right="239" w:bottom="1440" w:gutter="0" w:footer="0" w:header="0"/>
        </w:sectPr>
      </w:pPr>
    </w:p>
    <w:bookmarkStart w:id="186" w:name="page187"/>
    <w:bookmarkEnd w:id="186"/>
    <w:p>
      <w:pPr>
        <w:ind w:left="-20" w:right="620" w:firstLine="464"/>
        <w:spacing w:after="0" w:line="268" w:lineRule="auto"/>
        <w:tabs>
          <w:tab w:leader="none" w:pos="67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extensions of trade credit in the ordinary course of business (including, without limitation, advances to patrons of the Project’s casino operation consistent with ordinary course gaming operations);</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57" w:lineRule="exact"/>
        <w:rPr>
          <w:rFonts w:ascii="Arial" w:cs="Arial" w:eastAsia="Arial" w:hAnsi="Arial"/>
          <w:sz w:val="18"/>
          <w:szCs w:val="18"/>
          <w:color w:val="auto"/>
        </w:rPr>
      </w:pPr>
    </w:p>
    <w:p>
      <w:pPr>
        <w:ind w:left="680" w:hanging="236"/>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permitted by Sections 7.2(b), 7.2(c), 7.2(d) and 7.2(e);</w:t>
      </w:r>
    </w:p>
    <w:p>
      <w:pPr>
        <w:spacing w:after="0" w:line="157" w:lineRule="exact"/>
        <w:rPr>
          <w:rFonts w:ascii="Arial" w:cs="Arial" w:eastAsia="Arial" w:hAnsi="Arial"/>
          <w:sz w:val="18"/>
          <w:szCs w:val="18"/>
          <w:color w:val="auto"/>
        </w:rPr>
      </w:pPr>
    </w:p>
    <w:p>
      <w:pPr>
        <w:ind w:left="-20" w:right="360" w:firstLine="464"/>
        <w:spacing w:after="0" w:line="332" w:lineRule="auto"/>
        <w:tabs>
          <w:tab w:leader="none" w:pos="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loans and advances to employees of the Loan Parties in the ordinary course of business (including, without limitation, for travel, entertainment and relocation expenses) in an aggregate amount for all Loan Parties not to exceed $5,000,000 at any one time outstanding;</w:t>
      </w:r>
    </w:p>
    <w:p>
      <w:pPr>
        <w:spacing w:after="0" w:line="71" w:lineRule="exact"/>
        <w:rPr>
          <w:rFonts w:ascii="Arial" w:cs="Arial" w:eastAsia="Arial" w:hAnsi="Arial"/>
          <w:sz w:val="16"/>
          <w:szCs w:val="16"/>
          <w:color w:val="auto"/>
        </w:rPr>
      </w:pPr>
    </w:p>
    <w:p>
      <w:pPr>
        <w:ind w:left="-20" w:firstLine="464"/>
        <w:spacing w:after="0" w:line="268" w:lineRule="auto"/>
        <w:tabs>
          <w:tab w:leader="none" w:pos="67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by any Loan Party in the Borrower or any other Loan Party (other than Capital Corp. or Wynn Golf (except with respect to Investments, the proceeds of which are necessary for the corporate maintenance of Capital Corp. or Wynn Golf));</w:t>
      </w:r>
    </w:p>
    <w:p>
      <w:pPr>
        <w:spacing w:after="0" w:line="118" w:lineRule="exact"/>
        <w:rPr>
          <w:rFonts w:ascii="Arial" w:cs="Arial" w:eastAsia="Arial" w:hAnsi="Arial"/>
          <w:sz w:val="18"/>
          <w:szCs w:val="18"/>
          <w:color w:val="auto"/>
        </w:rPr>
      </w:pPr>
    </w:p>
    <w:p>
      <w:pPr>
        <w:ind w:left="660" w:hanging="216"/>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Investments consisting of securities received in settlement of debt created in the ordinary course of business or in satisfaction of judgments;</w:t>
      </w:r>
    </w:p>
    <w:p>
      <w:pPr>
        <w:spacing w:after="0" w:line="180" w:lineRule="exact"/>
        <w:rPr>
          <w:rFonts w:ascii="Arial" w:cs="Arial" w:eastAsia="Arial" w:hAnsi="Arial"/>
          <w:sz w:val="16"/>
          <w:szCs w:val="16"/>
          <w:color w:val="auto"/>
        </w:rPr>
      </w:pPr>
    </w:p>
    <w:p>
      <w:pPr>
        <w:ind w:left="700" w:hanging="25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capital contributions in connection with and in furtherance of the formation of new Subsidiaries in accordance with Section 7.17;</w:t>
      </w:r>
    </w:p>
    <w:p>
      <w:pPr>
        <w:spacing w:after="0" w:line="157" w:lineRule="exact"/>
        <w:rPr>
          <w:rFonts w:ascii="Arial" w:cs="Arial" w:eastAsia="Arial" w:hAnsi="Arial"/>
          <w:sz w:val="18"/>
          <w:szCs w:val="18"/>
          <w:color w:val="auto"/>
        </w:rPr>
      </w:pPr>
    </w:p>
    <w:p>
      <w:pPr>
        <w:ind w:left="-20" w:right="60" w:firstLine="464"/>
        <w:spacing w:after="0" w:line="290" w:lineRule="auto"/>
        <w:tabs>
          <w:tab w:leader="none" w:pos="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to the extent constituting Investments, (i) any Loan Party may consummate a transaction permitted pursuant to Section 7.4, (ii) any Loan Party may make Dispositions permitted pursuant to Section 7.5 (including, without limitation, the assignment of gaming debts evidenced by a credit instrument, including what are commonly referred to as “markers,” to an Affiliate of the Borrower for the purpose of collecting amounts outstanding under such gaming debts or “markers” due to the Borrower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the Borrower within 30 days of receipt of payment of such collected amounts;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 (iii) any Loan Party may make Restricted Payments permitted pursuant to Section 7.8 and (iv) any Loan Party may take actions permitted pursuant to Section 7.10;</w:t>
      </w:r>
    </w:p>
    <w:p>
      <w:pPr>
        <w:spacing w:after="0" w:line="104" w:lineRule="exact"/>
        <w:rPr>
          <w:rFonts w:ascii="Arial" w:cs="Arial" w:eastAsia="Arial" w:hAnsi="Arial"/>
          <w:sz w:val="16"/>
          <w:szCs w:val="16"/>
          <w:color w:val="auto"/>
        </w:rPr>
      </w:pPr>
    </w:p>
    <w:p>
      <w:pPr>
        <w:ind w:left="660" w:hanging="21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consisting of pledges or deposits made in the ordinary course of business;</w:t>
      </w:r>
    </w:p>
    <w:p>
      <w:pPr>
        <w:spacing w:after="0" w:line="157" w:lineRule="exact"/>
        <w:rPr>
          <w:rFonts w:ascii="Arial" w:cs="Arial" w:eastAsia="Arial" w:hAnsi="Arial"/>
          <w:sz w:val="18"/>
          <w:szCs w:val="18"/>
          <w:color w:val="auto"/>
        </w:rPr>
      </w:pPr>
    </w:p>
    <w:p>
      <w:pPr>
        <w:ind w:left="660" w:hanging="21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consisting of Hedge Agreements permitted by Section 7.18;</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Investments consisting of debt securities and other non-cash consideration received as consideration for a Disposition permitted by Section 7.5;</w:t>
      </w:r>
    </w:p>
    <w:p>
      <w:pPr>
        <w:spacing w:after="0" w:line="180" w:lineRule="exact"/>
        <w:rPr>
          <w:rFonts w:ascii="Arial" w:cs="Arial" w:eastAsia="Arial" w:hAnsi="Arial"/>
          <w:sz w:val="16"/>
          <w:szCs w:val="16"/>
          <w:color w:val="auto"/>
        </w:rPr>
      </w:pPr>
    </w:p>
    <w:p>
      <w:pPr>
        <w:ind w:left="660" w:hanging="21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Macau Loan;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60" w:top="280" w:right="259" w:bottom="1440" w:gutter="0" w:footer="0" w:header="0"/>
        </w:sectPr>
      </w:pPr>
    </w:p>
    <w:bookmarkStart w:id="187" w:name="page188"/>
    <w:bookmarkEnd w:id="187"/>
    <w:p>
      <w:pPr>
        <w:ind w:left="760" w:hanging="296"/>
        <w:spacing w:after="0"/>
        <w:tabs>
          <w:tab w:leader="none" w:pos="7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constituting Investments, any Loan Party’s beneficial ownership interests in a trust that owns the Aircraft;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Investments in joint ventures that solely provide retail services at the Project so long as (i) a Loan Party owns 50% of each such joint venture and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investments do not exceed $10,000,000 at any time outstanding;</w:t>
      </w:r>
    </w:p>
    <w:p>
      <w:pPr>
        <w:spacing w:after="0" w:line="151" w:lineRule="exact"/>
        <w:rPr>
          <w:rFonts w:ascii="Arial" w:cs="Arial" w:eastAsia="Arial" w:hAnsi="Arial"/>
          <w:sz w:val="18"/>
          <w:szCs w:val="18"/>
          <w:color w:val="auto"/>
        </w:rPr>
      </w:pPr>
    </w:p>
    <w:p>
      <w:pPr>
        <w:ind w:left="720" w:hanging="256"/>
        <w:spacing w:after="0"/>
        <w:tabs>
          <w:tab w:leader="none" w:pos="7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Investments by the Borrower in the Completion Guarantor as expressly permitted under the Disbursement Agreement; and</w:t>
      </w:r>
    </w:p>
    <w:p>
      <w:pPr>
        <w:spacing w:after="0" w:line="157" w:lineRule="exact"/>
        <w:rPr>
          <w:rFonts w:ascii="Arial" w:cs="Arial" w:eastAsia="Arial" w:hAnsi="Arial"/>
          <w:sz w:val="18"/>
          <w:szCs w:val="18"/>
          <w:color w:val="auto"/>
        </w:rPr>
      </w:pPr>
    </w:p>
    <w:p>
      <w:pPr>
        <w:ind w:right="80" w:firstLine="464"/>
        <w:spacing w:after="0" w:line="259" w:lineRule="auto"/>
        <w:tabs>
          <w:tab w:leader="none" w:pos="70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addition to Investments otherwise expressly permitted by this Section 7.8, so long as no Default or Event of Default shall have occurred and be continuing at the time such Investment is made or would result therefrom, Investments by the Loan Parties in an aggregate amount (valued at cost) not to exceed $20,000,000 at any time outstanding.</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Limitation on Optional Payments and Modifications of Governing Documents</w:t>
      </w:r>
      <w:r>
        <w:rPr>
          <w:rFonts w:ascii="Arial" w:cs="Arial" w:eastAsia="Arial" w:hAnsi="Arial"/>
          <w:sz w:val="16"/>
          <w:szCs w:val="16"/>
          <w:color w:val="auto"/>
        </w:rPr>
        <w:t>. (a) Make or make a binding offer to make any optional or voluntary payment, prepayment, repurchase or redemption of, or otherwise voluntarily or optionally defease, any Indebtedness that is either subordinate or junior in right of payment to the Obligations (including any Subordinated Debt),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(b) make or make a binding offer to make any optional or voluntary payment, prepayment, repurchase or redemption of, or otherwise voluntarily or optionally defease the 2014 Notes unless at such time no Default or Event of Default shall have occurred and be continuing and the Available Revolving Credit Commitment immediately prior to and after such actions shall be no less than $100,000,000, (c) amend or modify, or permit the amendment or modification of its Governing Documents in any manner materially adverse to the Lenders or (d) permit the Completion Guarantor to amend, modify or otherwise change the provisions of its operating agreement relating to “conduct and separateness”.</w:t>
      </w:r>
    </w:p>
    <w:p>
      <w:pPr>
        <w:spacing w:after="0" w:line="10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Limitation on Transactions with Affiliates</w:t>
      </w:r>
      <w:r>
        <w:rPr>
          <w:rFonts w:ascii="Arial" w:cs="Arial" w:eastAsia="Arial" w:hAnsi="Arial"/>
          <w:sz w:val="16"/>
          <w:szCs w:val="16"/>
          <w:color w:val="auto"/>
        </w:rPr>
        <w:t>. Enter into any transaction, including, without limitation, any purchase, sale, lease or exchange of Property, the rendering of any service or the payment of any management, advisory or similar fees, with any Affiliate (other than such transactions solely between or among Loan Parties (other than any such transactions providing benefit to Capital Corp. or Wynn Golf)) unless such transaction is:</w:t>
      </w:r>
    </w:p>
    <w:p>
      <w:pPr>
        <w:spacing w:after="0" w:line="93" w:lineRule="exact"/>
        <w:rPr>
          <w:sz w:val="20"/>
          <w:szCs w:val="20"/>
          <w:color w:val="auto"/>
        </w:rPr>
      </w:pPr>
    </w:p>
    <w:p>
      <w:pPr>
        <w:ind w:firstLine="464"/>
        <w:spacing w:after="0" w:line="291"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on terms that are not less favorable to that Loan Party than those that might be obtained at the time in a comparable arm’s length transaction with Persons who are not Affiliates of such Loan Party and the applicable Loan Party has delivered to the Administrative Agent prior to the consummation of any such transaction (1) with respect to any transaction or series of related transactions involving aggregate consideration in excess of $10,000,000, a resolution of the Board of Directors of the applicable Loan Party certifying that such transaction or series of related transactions complies with this Section 7.10 and that such transaction or series of related transactions has been approved by a majority of the disinterested members of the Board of Directors of the applicable Loan Party, to the extent there are any such disinterested members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280" w:right="27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Board of Directors and (2) with respect to any such transaction or series of related transactions that involves aggregate consideration in excess of</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$25,000,000, an opinion as to the fairness to the applicable Loan Party at the time such transaction or series of related transactions is entered into from a financial point of view issued by an accounting, appraisal or investment banking firm of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such case shall such a transaction or series of related transactions consist of, contain, or provide for the payment of (i) Affiliated Overhead Expenses or (ii) any fee, profit or similar component benefiting any Loan Party or Affiliate of a Loan Party (other than a Loan Party other than Capital Corp. or Wynn Golf);</w:t>
      </w:r>
    </w:p>
    <w:p>
      <w:pPr>
        <w:spacing w:after="0" w:line="102" w:lineRule="exact"/>
        <w:rPr>
          <w:sz w:val="20"/>
          <w:szCs w:val="20"/>
          <w:color w:val="auto"/>
        </w:rPr>
      </w:pPr>
    </w:p>
    <w:p>
      <w:pPr>
        <w:ind w:right="20" w:firstLine="464"/>
        <w:spacing w:after="0" w:line="259"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Disposition permitted pursuant to Section 7.5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requirements of subsection (a) above shall apply to leases of the Project by the Borrower permitted pursuant to Section 7.5(f) (other than the Dealership Lease Agreement) and Dispositions permitted pursuant to Section 7.5(b)), an Investment permitted pursuant to Section 7.8 or a Restricted Payment permitted pursuant to Section 7.6;</w:t>
      </w:r>
    </w:p>
    <w:p>
      <w:pPr>
        <w:spacing w:after="0" w:line="126" w:lineRule="exact"/>
        <w:rPr>
          <w:rFonts w:ascii="Arial" w:cs="Arial" w:eastAsia="Arial" w:hAnsi="Arial"/>
          <w:sz w:val="18"/>
          <w:szCs w:val="18"/>
          <w:color w:val="auto"/>
        </w:rPr>
      </w:pPr>
    </w:p>
    <w:p>
      <w:pPr>
        <w:ind w:firstLine="464"/>
        <w:spacing w:after="0" w:line="256"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reimbursement by the Borrower and the other Loan Parties to Wynn Resorts of Allocable Overhead to the extent incurred by Wynn Resorts;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Allocable Overhead reimbursable by the Loan Parties pursuant to this Section 7.10(c) during any 12-month period shall not exceed, in the aggregate, 2.00% of Net Revenues for the period of four full consecutive fiscal quarters of the Borrower most recently ended prior to the commencement of such 12-month period;</w:t>
      </w:r>
    </w:p>
    <w:p>
      <w:pPr>
        <w:spacing w:after="0" w:line="129"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expressly contemplated by the Affiliate Agreements (but, with respect to the Management Agreement, only to the extent (i) not related to the use of any aircraft (including the Aircraft) (such use being governed pursuant to Section 7.10(f)) or (ii) payments thereunder do not constitute Management Fees (payments of such amounts being governed pursuant to Section 7.22)) and payment of Management Fees as permitted by Section 7.22;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amendments, modifications or supplements thereto after the Closing Date shall comply with Section 7.10(a);</w:t>
      </w:r>
    </w:p>
    <w:p>
      <w:pPr>
        <w:spacing w:after="0" w:line="99" w:lineRule="exact"/>
        <w:rPr>
          <w:rFonts w:ascii="Arial" w:cs="Arial" w:eastAsia="Arial" w:hAnsi="Arial"/>
          <w:sz w:val="16"/>
          <w:szCs w:val="16"/>
          <w:color w:val="auto"/>
        </w:rPr>
      </w:pPr>
    </w:p>
    <w:p>
      <w:pPr>
        <w:ind w:left="700" w:hanging="236"/>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of Project Costs as permitted pursuant to the Disbursement Agreement;</w:t>
      </w:r>
    </w:p>
    <w:p>
      <w:pPr>
        <w:spacing w:after="0" w:line="157" w:lineRule="exact"/>
        <w:rPr>
          <w:rFonts w:ascii="Arial" w:cs="Arial" w:eastAsia="Arial" w:hAnsi="Arial"/>
          <w:sz w:val="18"/>
          <w:szCs w:val="18"/>
          <w:color w:val="auto"/>
        </w:rPr>
      </w:pPr>
    </w:p>
    <w:p>
      <w:pPr>
        <w:ind w:right="80" w:firstLine="464"/>
        <w:spacing w:after="0" w:line="291" w:lineRule="auto"/>
        <w:tabs>
          <w:tab w:leader="none" w:pos="67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associated with the use of any aircraft (including the Aircraft) for any purpose not reasonably related to the Project or the Project-related Permitted Businesses of the Loan Parties, in which case either (i) if such use is by management of Wynn Resorts or any of its Subsidiaries (other than any Loan Party), the applicable Loan Party shall be reimbursed in an amount determined pursuant to the Standard Industry Fare Level formula, as described in Treasury Regulation Section 1.61-21(g) or (ii) the applicable Loan Party shall be reimbursed promptly for all variable costs and expenses (including, without limitation, fuel costs, personnel costs, overhead and similar operating costs and expenses but in no event costs or expenses related to the acquisition, maintenance or repair of any such aircraft or any fixed assets related thereto) incurred by such Loan Party in connection with such use;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associated with an employment agreement entered into by any Loan Party with a Person in the ordinary course of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80" w:right="259" w:bottom="1440" w:gutter="0" w:footer="0" w:header="0"/>
        </w:sectPr>
      </w:pPr>
    </w:p>
    <w:bookmarkStart w:id="189" w:name="page190"/>
    <w:bookmarkEnd w:id="189"/>
    <w:p>
      <w:pPr>
        <w:ind w:right="20" w:firstLine="464"/>
        <w:spacing w:after="0" w:line="259"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not constituting Allocable Overhead or Management Fees, the payment of reasonable directors’/managers’ fees to directors and managers of any Loan Party or the Completion Guarantor, and customary indemnification and insurance arrangements in favor of such directors and managers, in each case in the ordinary course of business;</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issuance by the Borrower and/or Capital Corp. of the exchange notes contemplated by the 2014 Notes Indenture as of the Closing Date;</w:t>
      </w:r>
    </w:p>
    <w:p>
      <w:pPr>
        <w:spacing w:after="0" w:line="180" w:lineRule="exact"/>
        <w:rPr>
          <w:rFonts w:ascii="Arial" w:cs="Arial" w:eastAsia="Arial" w:hAnsi="Arial"/>
          <w:sz w:val="16"/>
          <w:szCs w:val="16"/>
          <w:color w:val="auto"/>
        </w:rPr>
      </w:pPr>
    </w:p>
    <w:p>
      <w:pPr>
        <w:ind w:left="680" w:hanging="216"/>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Disposition or issuance by any Loan Party of its Capital Stock permitted pursuant to Section 7.5;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transfer of funds between the Borrower and the Completion Guarantor as contemplated by the Disbursement Agreement.</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Limitation on Sales and Leasebacks</w:t>
      </w:r>
      <w:r>
        <w:rPr>
          <w:rFonts w:ascii="Arial" w:cs="Arial" w:eastAsia="Arial" w:hAnsi="Arial"/>
          <w:sz w:val="18"/>
          <w:szCs w:val="18"/>
          <w:color w:val="auto"/>
        </w:rPr>
        <w:t>. Enter into any arrangement with any Person providing for the leasing by any Loan Party of Property which has been or is to be sold or transferred by any Loan Party to such Person or to any other Person to whom funds have been or are to be advanced by such Person on the security of such Property or rental obligations of any Loan Party.</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Limitation on Changes in Fiscal Periods</w:t>
      </w:r>
      <w:r>
        <w:rPr>
          <w:rFonts w:ascii="Arial" w:cs="Arial" w:eastAsia="Arial" w:hAnsi="Arial"/>
          <w:sz w:val="18"/>
          <w:szCs w:val="18"/>
          <w:color w:val="auto"/>
        </w:rPr>
        <w:t>. Permit the fiscal year of any Loan Party to end on a day other than December 31 or change any Loan Party’s method of determining fiscal quarters.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Limitation on Negative Pledge Clauses</w:t>
      </w:r>
      <w:r>
        <w:rPr>
          <w:rFonts w:ascii="Arial" w:cs="Arial" w:eastAsia="Arial" w:hAnsi="Arial"/>
          <w:sz w:val="15"/>
          <w:szCs w:val="15"/>
          <w:color w:val="auto"/>
        </w:rPr>
        <w:t>. Enter into or suffer to exist or become effective any agreement that prohibits or limits the ability of a Loan Party to create, incur, assume or suffer to exist any Lien upon any of its Property or revenues, whether now owned or hereafter acquired, to secure the Obligations other than (a) this Agreement and the other Financing Agreements, (b) any agreements governing any Liens permitted pursuant to Sections 7.3(d), 7.3(f), 7.3(s),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7.3(u), 7.3(v) and 7.3(x) or Capital Lease Obligations otherwise permitted hereby (in which case, any prohibition or limitation shall only be effective against the Property financed thereby or subject to such Lien and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agreements governing Liens permitted pursuant to Section 7.3(s), the principal amount of Indebtedness thereunder shall exceed 75% of the original purchase price of the assets financed thereby, (c) any agreements governing Indebtedness described in Section 7.2(c) secured by a Lien on the Aircraft permitted pursuant to Section 7.3(j) (in which case any such prohibition or limitation shall only be effective against the Aircraft and proceeds thereof), (d) to the extent the Macau Loan was made directly to Wynn Macau, any agreements governing the Macau Loan (in which case, any such prohibition or limitation shall only be effective against the Macau Loan and proceeds thereof), (e) customary nonassignment provisions contained in leases, licenses and similar agreements and other contracts (in each case other than those with respect to Real Estate (other than Real Estate excluded from the Collateral pursuant to Section 6.10(c)) and so long as such restrictions are limited to such leases, licenses and similar agreements or other contracts, or, in the case of leases, licenses and similar agreements, the Property subject thereto) which, taken as a whole, are not material to the business and operations of the Loan Parties, (f) any agreements governing the 2010 Notes Satisfaction Proceeds, (g) any agreements governing any Excluded Assets or Released Assets (in which case any prohibition or limitation shall only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80" w:right="259" w:bottom="1440" w:gutter="0" w:footer="0" w:header="0"/>
        </w:sectPr>
      </w:pPr>
    </w:p>
    <w:bookmarkStart w:id="190" w:name="page191"/>
    <w:bookmarkEnd w:id="19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against such Excluded Assets or Released Assets applicable thereto and proceeds thereof) and (h) as required by applicable law or any applicable rule or order, including those of any Nevada Gaming Authority.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Limitation on Restrictions on Subsidiary Distributions, etc</w:t>
      </w:r>
      <w:r>
        <w:rPr>
          <w:rFonts w:ascii="Arial" w:cs="Arial" w:eastAsia="Arial" w:hAnsi="Arial"/>
          <w:sz w:val="16"/>
          <w:szCs w:val="16"/>
          <w:color w:val="auto"/>
        </w:rPr>
        <w:t>. Enter into or suffer to exist or become effective any consensual encumbrance or restriction on the ability of any Loan Party to (a) make Restricted Payments in respect of any Capital Stock of such Loan Party held by, or pay or subordinate any Indebtedness owed to, any other Loan Party, (b) make Investments in any other Loan Party or (c) transfer any of its assets to any other Loan Party, except for such encumbrances or restrictions existing under or by reason of (i) any restrictions existing under the Loan Documents, (ii) any restrictions under the Financing Agreements, (iii) as required by applicable law or any applicable rule or order, including those of any Nevada Gaming Authority, (iv) any restrictions imposed pursuant to an agreement that has been entered into in connection with the Disposition of all or substantially all of the Capital Stock or Property of a Loan Party or the Disposition of Property covered by such restriction, (v) any restrictions imposed with respect to any Property subject to a Lien permitted in accordance with Section 7.3 pursuant to an agreement that has been entered into in connection with the incurrence of such Liens so long as such restrictions relate solely to the Property subject to such Liens and (vi) customary nonassignment provisions in leases, licenses and similar agreements and other contracts which, taken as a whole, are not material to the business and operations of the Loan Parties.</w:t>
      </w:r>
    </w:p>
    <w:p>
      <w:pPr>
        <w:spacing w:after="0" w:line="10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Limitation on Lines of Business</w:t>
      </w:r>
      <w:r>
        <w:rPr>
          <w:rFonts w:ascii="Arial" w:cs="Arial" w:eastAsia="Arial" w:hAnsi="Arial"/>
          <w:sz w:val="16"/>
          <w:szCs w:val="16"/>
          <w:color w:val="auto"/>
        </w:rPr>
        <w:t xml:space="preserve">. Enter into any business or investment activities, whether directly or indirectly, other than Permitted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Capital Corp. shall not hold any material Property, incur any Indebtedness or become liable for any material obligations or engage in any business activities (other than as co-obligor or guarantor with respect to the Financing Agreements) or have any Subsidiaries and (b) Wynn Golf shall not hold any material Property other than the Golf Course Land or engage in any business activities other than those pursuant to the Golf Course Lease.</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Restrictions on Changes</w:t>
      </w:r>
      <w:r>
        <w:rPr>
          <w:rFonts w:ascii="Arial" w:cs="Arial" w:eastAsia="Arial" w:hAnsi="Arial"/>
          <w:sz w:val="18"/>
          <w:szCs w:val="18"/>
          <w:color w:val="auto"/>
        </w:rPr>
        <w:t>. (a) Agree to any amendment to, assignment or termination of, or waive any of its rights under, any Permit or Material Contract without in each case obtaining the prior written consent of the Required Lenders if in any such case such amendment, assignment, termination or waiver could reasonably be expected to have a Material Adverse Effect (taking into consideration any viable replacements or substitutions therefor at the time such determination is made).</w:t>
      </w:r>
    </w:p>
    <w:p>
      <w:pPr>
        <w:spacing w:after="0" w:line="130" w:lineRule="exact"/>
        <w:rPr>
          <w:sz w:val="20"/>
          <w:szCs w:val="20"/>
          <w:color w:val="auto"/>
        </w:rPr>
      </w:pPr>
    </w:p>
    <w:p>
      <w:pPr>
        <w:ind w:right="80" w:firstLine="464"/>
        <w:spacing w:after="0" w:line="291" w:lineRule="auto"/>
        <w:tabs>
          <w:tab w:leader="none" w:pos="70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in connection with a full redemption or other repayment under any Financing Agreements (other than the Loan Documents) with Permitted Refinancing Indebtedness, amend or otherwise change the terms of any Financing Agreements (other than the Loan Documents) or make any payment consistent with an amendment thereof or change thereto (i) if the effect of such amendment or change is to increase the interest rate or fees on the Indebtedness evidenced thereby, change to earlier or more frequent dates any dates upon which payments of principal or interest are due thereon (including, without limitation, changes to, or new additions of, mandatory prepayment provisions) or (ii) if the effect of such amendment or change, together with all other amendments and changes previously made, is to materially increase the obligations of the obligors thereunder or to confer any additional rights on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91" w:name="page192"/>
    <w:bookmarkEnd w:id="19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holders of the Indebtedness or obligations evidenced thereby (or a trustee or other representative on their behalf) which could reasonably be expected to be materially adverse to the Loan Parties (taken as a whole) or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may amend the terms of any other Financing Agreement to increase the principal amount thereof if such increase is otherwise permitted by this Agreement.</w:t>
      </w:r>
    </w:p>
    <w:p>
      <w:pPr>
        <w:spacing w:after="0" w:line="12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Limitation on Formation and Acquisition of Subsidiaries and Purchase of Capital Stock</w:t>
      </w:r>
      <w:r>
        <w:rPr>
          <w:rFonts w:ascii="Arial" w:cs="Arial" w:eastAsia="Arial" w:hAnsi="Arial"/>
          <w:sz w:val="16"/>
          <w:szCs w:val="16"/>
          <w:color w:val="auto"/>
        </w:rPr>
        <w:t xml:space="preserve">. Form, create or acquire any Subsidiary, except the Borrower and its Subsidiaries may form, create or acquire new Domestic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(a) any such new Subsidiary shall be a Wholly Owned Subsidiary of the Borrower and (b) any such new Subsidiary shall become a Loan Party hereunder and otherwise comply with the requirements of Section 6.10.</w:t>
      </w:r>
    </w:p>
    <w:p>
      <w:pPr>
        <w:spacing w:after="0" w:line="9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Limitation on Hedge Agreements</w:t>
      </w:r>
      <w:r>
        <w:rPr>
          <w:rFonts w:ascii="Arial" w:cs="Arial" w:eastAsia="Arial" w:hAnsi="Arial"/>
          <w:sz w:val="18"/>
          <w:szCs w:val="18"/>
          <w:color w:val="auto"/>
        </w:rPr>
        <w:t>. Enter into any Hedge Agreement other than Hedge Agreements entered into in the ordinary course of business, and not for speculative purposes, and to protect against changes in interest rates, foreign exchange rates or commodity prices (with respect to commodities utilized by any Loan Party in a Permitted Business, including natural gas).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7.19 </w:t>
      </w:r>
      <w:r>
        <w:rPr>
          <w:rFonts w:ascii="Arial" w:cs="Arial" w:eastAsia="Arial" w:hAnsi="Arial"/>
          <w:sz w:val="16"/>
          <w:szCs w:val="16"/>
          <w:u w:val="single" w:color="auto"/>
          <w:color w:val="auto"/>
        </w:rPr>
        <w:t>Limitation on Sale or Discount of Receivables</w:t>
      </w:r>
      <w:r>
        <w:rPr>
          <w:rFonts w:ascii="Arial" w:cs="Arial" w:eastAsia="Arial" w:hAnsi="Arial"/>
          <w:sz w:val="16"/>
          <w:szCs w:val="16"/>
          <w:color w:val="auto"/>
        </w:rPr>
        <w:t>. Except as permitted pursuant to Section 7.5(b), sell with recourse, or discount or otherwise sell for less than the face value thereof, any of its notes or accounts receivable other than an assignment for purposes of collection in the ordinary course of business.</w:t>
      </w:r>
    </w:p>
    <w:p>
      <w:pPr>
        <w:spacing w:after="0" w:line="7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 xml:space="preserve">7.20 </w:t>
      </w:r>
      <w:r>
        <w:rPr>
          <w:rFonts w:ascii="Arial" w:cs="Arial" w:eastAsia="Arial" w:hAnsi="Arial"/>
          <w:sz w:val="15"/>
          <w:szCs w:val="15"/>
          <w:u w:val="single" w:color="auto"/>
          <w:color w:val="auto"/>
        </w:rPr>
        <w:t>Limitation on Zoning and Contract Changes and Compliance</w:t>
      </w:r>
      <w:r>
        <w:rPr>
          <w:rFonts w:ascii="Arial" w:cs="Arial" w:eastAsia="Arial" w:hAnsi="Arial"/>
          <w:sz w:val="15"/>
          <w:szCs w:val="15"/>
          <w:color w:val="auto"/>
        </w:rPr>
        <w:t>. Initiate, consent to or acquiesce to (a) any zoning downgrade of the Mortgaged Properties or seek any material variance under any existing zoning ordinance except, in each case, to the extent such downgrade or variance could not reasonably be expected to materially and adversely affect the occupancy, use or operation of all or any material portion of the Site, (b) 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w:t>
      </w:r>
    </w:p>
    <w:p>
      <w:pPr>
        <w:spacing w:after="0" w:line="2" w:lineRule="exact"/>
        <w:rPr>
          <w:sz w:val="20"/>
          <w:szCs w:val="20"/>
          <w:color w:val="auto"/>
        </w:rPr>
      </w:pPr>
    </w:p>
    <w:p>
      <w:pPr>
        <w:ind w:right="320" w:firstLine="8"/>
        <w:spacing w:after="0" w:line="261" w:lineRule="auto"/>
        <w:tabs>
          <w:tab w:leader="none" w:pos="2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change in any laws, requirements of Governmental Authorities or obligations created by private contracts which now or hereafter could reasonably be expected to materially and adversely affect the occupancy, use or operation of all or any material portion of the Site.</w:t>
      </w:r>
    </w:p>
    <w:p>
      <w:pPr>
        <w:spacing w:after="0" w:line="12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No Joint Assessment; Separate Lots</w:t>
      </w:r>
      <w:r>
        <w:rPr>
          <w:rFonts w:ascii="Arial" w:cs="Arial" w:eastAsia="Arial" w:hAnsi="Arial"/>
          <w:sz w:val="18"/>
          <w:szCs w:val="18"/>
          <w:color w:val="auto"/>
        </w:rPr>
        <w:t>. Suffer, permit or initiate the joint assessment of any Mortgaged Property with any other real property constituting a separate tax lot.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Restrictions on Payments of Management Fees</w:t>
      </w:r>
      <w:r>
        <w:rPr>
          <w:rFonts w:ascii="Arial" w:cs="Arial" w:eastAsia="Arial" w:hAnsi="Arial"/>
          <w:sz w:val="18"/>
          <w:szCs w:val="18"/>
          <w:color w:val="auto"/>
        </w:rPr>
        <w:t>. Pay to Wynn Resorts any Management Fees unless:</w:t>
      </w:r>
    </w:p>
    <w:p>
      <w:pPr>
        <w:spacing w:after="0" w:line="158" w:lineRule="exact"/>
        <w:rPr>
          <w:sz w:val="20"/>
          <w:szCs w:val="20"/>
          <w:color w:val="auto"/>
        </w:rPr>
      </w:pPr>
    </w:p>
    <w:p>
      <w:pPr>
        <w:ind w:right="320" w:firstLine="464"/>
        <w:spacing w:after="0" w:line="268"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such payment and no Material Adverse Effect shall have occurred and be continuing or would result from such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80" w:right="259" w:bottom="1440" w:gutter="0" w:footer="0" w:header="0"/>
        </w:sectPr>
      </w:pPr>
    </w:p>
    <w:bookmarkStart w:id="192" w:name="page193"/>
    <w:bookmarkEnd w:id="192"/>
    <w:p>
      <w:pPr>
        <w:jc w:val="both"/>
        <w:ind w:right="280" w:firstLine="464"/>
        <w:spacing w:after="0" w:line="298" w:lineRule="auto"/>
        <w:tabs>
          <w:tab w:leader="none" w:pos="7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Consolidated Leverage Ratio (calculated in accordance with Section 1.3(b)) for the period of four full consecutive fiscal quarters ending on the Quarterly Date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99"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Management Fees in the aggregate do not exceed, during any 12-month period, 1.5% of the Net Revenues for the period of four full consecutive fiscal quarters of the Borrower most recently ended prior to the commencement of such 12-month period.</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subsections (a), (b) and (c) of this Section 7.22 and not prohibited by the Management Fee Subordination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7.23 </w:t>
      </w:r>
      <w:r>
        <w:rPr>
          <w:rFonts w:ascii="Arial" w:cs="Arial" w:eastAsia="Arial" w:hAnsi="Arial"/>
          <w:sz w:val="16"/>
          <w:szCs w:val="16"/>
          <w:u w:val="single" w:color="auto"/>
          <w:color w:val="auto"/>
        </w:rPr>
        <w:t>Project Costs for the Phase II Project</w:t>
      </w:r>
      <w:r>
        <w:rPr>
          <w:rFonts w:ascii="Arial" w:cs="Arial" w:eastAsia="Arial" w:hAnsi="Arial"/>
          <w:sz w:val="16"/>
          <w:szCs w:val="16"/>
          <w:color w:val="auto"/>
        </w:rPr>
        <w:t>. Permit expenditures with respect to Project Costs for the Phase II Project in excess of the sum of</w:t>
      </w:r>
    </w:p>
    <w:p>
      <w:pPr>
        <w:spacing w:after="0" w:line="38" w:lineRule="exact"/>
        <w:rPr>
          <w:sz w:val="20"/>
          <w:szCs w:val="20"/>
          <w:color w:val="auto"/>
        </w:rPr>
      </w:pPr>
    </w:p>
    <w:p>
      <w:pPr>
        <w:ind w:right="20" w:firstLine="8"/>
        <w:spacing w:after="0" w:line="286" w:lineRule="auto"/>
        <w:tabs>
          <w:tab w:leader="none" w:pos="23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$1,740,000,000, (b) the Additional Phase II Project Cost Amount and (c) the excess of (A) the sum of (x) any cash equity contributions made by Mr. Wynn, Wynn Resorts or any of their Affiliates (other than the Borrower or any other Loan Party) to the Borrower to the extent allocated and applied to Project Costs for the Phase II Project and (y) without duplication to clause (x) above, any amounts paid or otherwise contributed to the Borrower by Wynn Resorts pursuant to a commitment described in clause (viii) (or, after the Amended and Restated Disbursement Agreement Effective Date, clause (v)) of the definition of “Available Funds” set forth in the Disbursement Agreement that are applied to Project Costs for the Phase II Project over (B) the excess of (x) $75,000,000 over (y) without duplication to amounts applied against clause (b) above, the aggregate amount of Excess Cash Flow for calendar quarters of the Borrower ending after the Amended and Restated Effective Date that is both in excess of the amount included under the column “Excess Cash Flow” for the applicable calendar quarter in the Projected Excess Cash Flow Schedule (as defined in the Disbursement Agreement) (such stated amount of Excess Cash Flow for any calendar quarter, the “</w:t>
      </w:r>
      <w:r>
        <w:rPr>
          <w:rFonts w:ascii="Arial" w:cs="Arial" w:eastAsia="Arial" w:hAnsi="Arial"/>
          <w:sz w:val="16"/>
          <w:szCs w:val="16"/>
          <w:u w:val="single" w:color="auto"/>
          <w:color w:val="auto"/>
        </w:rPr>
        <w:t>Quarterly Stated Excess Cash Flow Amount</w:t>
      </w:r>
      <w:r>
        <w:rPr>
          <w:rFonts w:ascii="Arial" w:cs="Arial" w:eastAsia="Arial" w:hAnsi="Arial"/>
          <w:sz w:val="16"/>
          <w:szCs w:val="16"/>
          <w:color w:val="auto"/>
        </w:rPr>
        <w:t>”) and, together with the Quarterly Stated Excess Cash Flow Amount, applied to Project Costs for the Phase II Project. For purposes of this Section 7.23, any proceeds of the 2014 Notes applied on the Closing Date in order to consummate the Refinancing Transaction shall not be deemed expended in furtherance of Project Costs with respect to the Phase II Project.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7.24 </w:t>
      </w:r>
      <w:r>
        <w:rPr>
          <w:rFonts w:ascii="Arial" w:cs="Arial" w:eastAsia="Arial" w:hAnsi="Arial"/>
          <w:sz w:val="16"/>
          <w:szCs w:val="16"/>
          <w:u w:val="single" w:color="auto"/>
          <w:color w:val="auto"/>
        </w:rPr>
        <w:t>Permitted Activities of Wynn Resorts Holdings</w:t>
      </w:r>
      <w:r>
        <w:rPr>
          <w:rFonts w:ascii="Arial" w:cs="Arial" w:eastAsia="Arial" w:hAnsi="Arial"/>
          <w:sz w:val="16"/>
          <w:szCs w:val="16"/>
          <w:color w:val="auto"/>
        </w:rPr>
        <w:t>. Permit Wynn Resorts Holdings to (a) engage in any business or activity or own any assets other than</w:t>
      </w:r>
    </w:p>
    <w:p>
      <w:pPr>
        <w:spacing w:after="0" w:line="38" w:lineRule="exact"/>
        <w:rPr>
          <w:sz w:val="20"/>
          <w:szCs w:val="20"/>
          <w:color w:val="auto"/>
        </w:rPr>
      </w:pPr>
    </w:p>
    <w:p>
      <w:pPr>
        <w:ind w:firstLine="8"/>
        <w:spacing w:after="0" w:line="295" w:lineRule="auto"/>
        <w:tabs>
          <w:tab w:leader="none" w:pos="21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holding 100% of the Capital Stock of the Borrower and performing activities incidental thereto (including making dividends to Wynn Resorts with the proceeds of Restricted Payments received by it from the Borrower in accordance with the Loan Documents) and (ii) activities associated with or incidental to any Intellectual Property it may hold from time to time, including pursuant to the Wynn IP Agreement, (b) sell or otherwise Dispose of any Capital Stock of the Borrower or (c) fail to hold itself out to the public as a legal entity separate and distinct from all other Persons;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280" w:right="299" w:bottom="1440" w:gutter="0" w:footer="0" w:header="0"/>
        </w:sectPr>
      </w:pPr>
    </w:p>
    <w:bookmarkStart w:id="193" w:name="page194"/>
    <w:bookmarkEnd w:id="193"/>
    <w:p>
      <w:pPr>
        <w:ind w:right="20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color w:val="auto"/>
        </w:rPr>
        <w:t xml:space="preserve"> that nothing in this Section 7.24 shall restrict or prohibit Wynn Resorts Holdings from Disposing of any of its Property other than the Capital Stock of the Borrower.</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7.25 </w:t>
      </w:r>
      <w:r>
        <w:rPr>
          <w:rFonts w:ascii="Arial" w:cs="Arial" w:eastAsia="Arial" w:hAnsi="Arial"/>
          <w:sz w:val="16"/>
          <w:szCs w:val="16"/>
          <w:u w:val="single" w:color="auto"/>
          <w:color w:val="auto"/>
        </w:rPr>
        <w:t>Limitation on Golf Course Land and Golf Course Development</w:t>
      </w:r>
      <w:r>
        <w:rPr>
          <w:rFonts w:ascii="Arial" w:cs="Arial" w:eastAsia="Arial" w:hAnsi="Arial"/>
          <w:sz w:val="16"/>
          <w:szCs w:val="16"/>
          <w:color w:val="auto"/>
        </w:rPr>
        <w:t>. At any time prior to the Disposition of any of the Golf Course Collateral in accordance with Section 7.5(k) or release of the Golf Course Collateral in accordance with Section 10.22 (i) construct upon, develop or improve, or permit to be constructed upon, developed or improved, the Golf Course Land in any material respect, including any excavation or site work on the Golf Course Land, (ii) enter into, or permit to be entered into, any contract or agreement for such construction, development or improvement, or for any materials, supplies or labor necessary in connection with such construction, development or improvement (other than a contract or agreement that is conditional upon the Disposition of the Golf Course Land in accordance with Section 7.5(k)) or (iii) incur any Indebtedness, the proceeds of which are expected to be used, or are used, for the construction, development or improvement of the Golf Course Land, except:</w:t>
      </w:r>
    </w:p>
    <w:p>
      <w:pPr>
        <w:spacing w:after="0" w:line="105" w:lineRule="exact"/>
        <w:rPr>
          <w:sz w:val="20"/>
          <w:szCs w:val="20"/>
          <w:color w:val="auto"/>
        </w:rPr>
      </w:pPr>
    </w:p>
    <w:p>
      <w:pPr>
        <w:ind w:right="10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118"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modifications and/or reconfigurations of the Golf Course either (x) in connection with and in furtherance of the Disposition of the Wynn Home Site Land or the Home Site Land in accordance with Sections 7.5(j) and 7.5(l) or (y) desirable, in the reasonable opinion of the Borrower, in order to enhance or improve the Golf Course;</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use and operation of the Golf Course on the Golf Course Land consistent with the Golf Course Lease; and</w:t>
      </w:r>
    </w:p>
    <w:p>
      <w:pPr>
        <w:spacing w:after="0" w:line="157"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of loss or damage to the Golf Course Land or improvements thereon or any Event of Eminent Domain, the repair and restoration of such Property in accordance with Section 2.24.</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7.26 </w:t>
      </w:r>
      <w:r>
        <w:rPr>
          <w:rFonts w:ascii="Arial" w:cs="Arial" w:eastAsia="Arial" w:hAnsi="Arial"/>
          <w:sz w:val="16"/>
          <w:szCs w:val="16"/>
          <w:u w:val="single" w:color="auto"/>
          <w:color w:val="auto"/>
        </w:rPr>
        <w:t>Acquisition of Real Property</w:t>
      </w:r>
      <w:r>
        <w:rPr>
          <w:rFonts w:ascii="Arial" w:cs="Arial" w:eastAsia="Arial" w:hAnsi="Arial"/>
          <w:sz w:val="16"/>
          <w:szCs w:val="16"/>
          <w:color w:val="auto"/>
        </w:rPr>
        <w:t>. Acquire a fee, easement or other interest in any real property (including, without limitation, any lease of real property, but excluding (x) the acquisition (but not the exercise) of any options to acquire any such interests in real property and (y) the transactions contemplated by the Golf Course Lease and any other leasehold interests acquired by a Loan Party over real property already subject to the Lien of the Mortgages) unless (a) the Borrower or an applicable other Loan Party shall have delivered to the Administrative Agent a Phase I Report with respect to such real property along with a corresponding reliance letter from an environmental consultant reasonably satisfactory to the Administrative Agent 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94" w:name="page195"/>
    <w:bookmarkEnd w:id="19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 relevant other Loan Parties and the Lenders from any and all damages or other liabilities relating to or arising from Hazardous Substances then in, on or under such real property or otherwise caused by or attributable to such indemnitor.</w:t>
      </w:r>
    </w:p>
    <w:p>
      <w:pPr>
        <w:spacing w:after="0" w:line="13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7.27 </w:t>
      </w:r>
      <w:r>
        <w:rPr>
          <w:rFonts w:ascii="Arial" w:cs="Arial" w:eastAsia="Arial" w:hAnsi="Arial"/>
          <w:sz w:val="18"/>
          <w:szCs w:val="18"/>
          <w:u w:val="single" w:color="auto"/>
          <w:color w:val="auto"/>
        </w:rPr>
        <w:t>Project Liquidity Reserve Account</w:t>
      </w:r>
      <w:r>
        <w:rPr>
          <w:rFonts w:ascii="Arial" w:cs="Arial" w:eastAsia="Arial" w:hAnsi="Arial"/>
          <w:sz w:val="18"/>
          <w:szCs w:val="18"/>
          <w:color w:val="auto"/>
        </w:rPr>
        <w:t xml:space="preserve">. Utilize, apply or otherwise withdraw any amounts on deposit in the Project Liquidity Reserve Account prior to the Phase I Final Completion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cash and cash equivalents or other funds (including proceeds of Revolving Loans or other Indebtedness permitted pursuant to Section 7.2) are not available to the Borrower or otherwise sufficient to pay Bank Debt Service or 2014 Notes Debt Service as the same become due and payable (such circumstance to be certified in writing to the Administrative Agent by a Responsible Officer of the Borrower), the Borrower may apply amounts on deposit in the Project Liquidity Reserve Account to pay Bank Debt Service and/or 2014 Notes Debt Service (pro rata according to such amounts then due and owing);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from and after the Phase I Final Completion Date, any amounts in the Project Liquidity Reserve Account shall be released to the Borrower.</w:t>
      </w:r>
    </w:p>
    <w:p>
      <w:pPr>
        <w:spacing w:after="0" w:line="134"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 xml:space="preserve">7.28 </w:t>
      </w:r>
      <w:r>
        <w:rPr>
          <w:rFonts w:ascii="Arial" w:cs="Arial" w:eastAsia="Arial" w:hAnsi="Arial"/>
          <w:sz w:val="15"/>
          <w:szCs w:val="15"/>
          <w:u w:val="single" w:color="auto"/>
          <w:color w:val="auto"/>
        </w:rPr>
        <w:t>Golf Course Lease Termination</w:t>
      </w:r>
      <w:r>
        <w:rPr>
          <w:rFonts w:ascii="Arial" w:cs="Arial" w:eastAsia="Arial" w:hAnsi="Arial"/>
          <w:sz w:val="15"/>
          <w:szCs w:val="15"/>
          <w:color w:val="auto"/>
        </w:rPr>
        <w:t>. Terminate or permit the termination of, or reduce or permit the reduction of the Real Estate or other Property covered by, the Golf Course Lease until such time as the Golf Course Land is Disposed of in accordance with Section 7.5(k) or the Golf Course Collateral is otherwise released in accordance with Section 10.22 (</w:t>
      </w:r>
      <w:r>
        <w:rPr>
          <w:rFonts w:ascii="Arial" w:cs="Arial" w:eastAsia="Arial" w:hAnsi="Arial"/>
          <w:sz w:val="15"/>
          <w:szCs w:val="15"/>
          <w:u w:val="single" w:color="auto"/>
          <w:color w:val="auto"/>
        </w:rPr>
        <w:t>provided</w:t>
      </w:r>
      <w:r>
        <w:rPr>
          <w:rFonts w:ascii="Arial" w:cs="Arial" w:eastAsia="Arial" w:hAnsi="Arial"/>
          <w:sz w:val="15"/>
          <w:szCs w:val="15"/>
          <w:color w:val="auto"/>
        </w:rPr>
        <w:t>, that the Real Estate or other Property subject to the Golf Course Lease may be reduced in connection with</w:t>
      </w:r>
    </w:p>
    <w:p>
      <w:pPr>
        <w:spacing w:after="0" w:line="1" w:lineRule="exact"/>
        <w:rPr>
          <w:sz w:val="20"/>
          <w:szCs w:val="20"/>
          <w:color w:val="auto"/>
        </w:rPr>
      </w:pPr>
    </w:p>
    <w:p>
      <w:pPr>
        <w:jc w:val="both"/>
        <w:ind w:right="140" w:firstLine="8"/>
        <w:spacing w:after="0" w:line="254" w:lineRule="auto"/>
        <w:tabs>
          <w:tab w:leader="none" w:pos="23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Disposition of the Wynn Home Site Land pursuant to Section 7.5(j) or the Disposition of the Home Site Land in accordance with Section 7.5(l), in either case so long as such reduction is only with respect to such Real Estate or other Property being Disposed of pursuant to such Disposition, (b) any event of loss or damage or Event of Eminent Domain so long as there is no breach or default of the provisions of Section 2.24 applicable thereto and (c) any Liens permitted pursuant to Section 7.3(e)).</w:t>
      </w:r>
    </w:p>
    <w:p>
      <w:pPr>
        <w:spacing w:after="0" w:line="13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8. EVENTS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58" w:lineRule="exact"/>
        <w:rPr>
          <w:sz w:val="20"/>
          <w:szCs w:val="20"/>
          <w:color w:val="auto"/>
        </w:rPr>
      </w:pPr>
    </w:p>
    <w:p>
      <w:pPr>
        <w:ind w:right="20" w:firstLine="464"/>
        <w:spacing w:after="0" w:line="286" w:lineRule="auto"/>
        <w:tabs>
          <w:tab w:leader="none" w:pos="69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 The Borrower shall fail to pay any principal of any Loan when due in accordance with the terms hereof; or (ii) the Borrower shall fail to pay any principal of any Reimbursement Obligation within two Business Days after such Reimbursement Obligation becomes due in accordance with the terms hereof; or</w:t>
      </w:r>
    </w:p>
    <w:p>
      <w:pPr>
        <w:ind w:right="120" w:firstLine="8"/>
        <w:spacing w:after="0" w:line="255" w:lineRule="auto"/>
        <w:tabs>
          <w:tab w:leader="none" w:pos="30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Reimbursement Obligation or any Loan Party shall fail to pay any other Obligation payable hereunder or under any other Loan Document within five days after any such interest or other amount under this clause (iii) becomes due in accordance with the terms 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280" w:right="259" w:bottom="1440" w:gutter="0" w:footer="0" w:header="0"/>
        </w:sectPr>
      </w:pPr>
    </w:p>
    <w:bookmarkStart w:id="195" w:name="page196"/>
    <w:bookmarkEnd w:id="195"/>
    <w:p>
      <w:pPr>
        <w:ind w:right="50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8"/>
          <w:szCs w:val="18"/>
          <w:color w:val="auto"/>
        </w:rPr>
        <w:t>,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118" w:lineRule="exact"/>
        <w:rPr>
          <w:sz w:val="20"/>
          <w:szCs w:val="20"/>
          <w:color w:val="auto"/>
        </w:rPr>
      </w:pPr>
    </w:p>
    <w:p>
      <w:pPr>
        <w:ind w:right="140" w:firstLine="464"/>
        <w:spacing w:after="0" w:line="294" w:lineRule="auto"/>
        <w:tabs>
          <w:tab w:leader="none" w:pos="70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Wynn Resorts Holdings,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inaccuracy of any representation or warranty contained only in the Disbursement Agreement shall constitute an Event of Default hereunder only to the extent such inaccuracy constitutes a Disbursement Agreement Event of Default; or</w:t>
      </w:r>
    </w:p>
    <w:p>
      <w:pPr>
        <w:spacing w:after="0" w:line="102" w:lineRule="exact"/>
        <w:rPr>
          <w:rFonts w:ascii="Arial" w:cs="Arial" w:eastAsia="Arial" w:hAnsi="Arial"/>
          <w:sz w:val="16"/>
          <w:szCs w:val="16"/>
          <w:color w:val="auto"/>
        </w:rPr>
      </w:pPr>
    </w:p>
    <w:p>
      <w:pPr>
        <w:ind w:firstLine="464"/>
        <w:spacing w:after="0" w:line="294" w:lineRule="auto"/>
        <w:tabs>
          <w:tab w:leader="none" w:pos="69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 Any Loan Party shall default in the observance or performance of any covenant or agreement contained in Section 6.2(m), Section 6.4(a) or Section 7 hereof, (ii) the Completion Guarantor shall default in the observance or performance of any covenant or agreement contained in the Completion Guaranty, (iii) an “Event of Default” under and as defined in any Mortgage shall have occurred and be continuing, (iv) a Disbursement Agreement Event of Default shall have occurred and be continuing or (v) any Loan Party shall fail to at all times maintain in full force and effect the insurance policies and programs required by Section 6.5(d) (except for automobile, workers compensation, pollution liability and design errors and omissions insurance); or</w:t>
      </w:r>
    </w:p>
    <w:p>
      <w:pPr>
        <w:spacing w:after="0" w:line="102" w:lineRule="exact"/>
        <w:rPr>
          <w:rFonts w:ascii="Arial" w:cs="Arial" w:eastAsia="Arial" w:hAnsi="Arial"/>
          <w:sz w:val="16"/>
          <w:szCs w:val="16"/>
          <w:color w:val="auto"/>
        </w:rPr>
      </w:pPr>
    </w:p>
    <w:p>
      <w:pPr>
        <w:ind w:right="120" w:firstLine="464"/>
        <w:spacing w:after="0" w:line="291" w:lineRule="auto"/>
        <w:tabs>
          <w:tab w:leader="none" w:pos="70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Wynn Resorts Holdings or any Loan Party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 (i) the Borrower or any other Loan Party becoming aware of such default or (ii) receipt by the Borrower or any other Loan Party of written notice from the Administrative Agent or any Lender of such default;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perform or comply with any such provision of the Disbursement Agreement shall constitute an Event of Default hereunder only to the extent such failure to perform or to comply constitutes a Disbursement Agreement Event of Default; or</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Borrower or any other Loan Party shall (i) default in making any payment of any principal of or interest on any Indebtedness (other than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Indebtedness referred in Section 8(a)) beyond the period of grace, if any, provided in the instrument or agreement under which such Indebtedness was created; or</w:t>
      </w:r>
    </w:p>
    <w:p>
      <w:pPr>
        <w:spacing w:after="0" w:line="43" w:lineRule="exact"/>
        <w:rPr>
          <w:rFonts w:ascii="Arial" w:cs="Arial" w:eastAsia="Arial" w:hAnsi="Arial"/>
          <w:sz w:val="16"/>
          <w:szCs w:val="16"/>
          <w:color w:val="auto"/>
        </w:rPr>
      </w:pPr>
    </w:p>
    <w:p>
      <w:pPr>
        <w:ind w:right="20" w:firstLine="8"/>
        <w:spacing w:after="0" w:line="288" w:lineRule="auto"/>
        <w:tabs>
          <w:tab w:leader="none" w:pos="2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and after the expiration of all grace and cure periods related thereto immediately such Indebtedness to become due prior to its stated maturity or (in the case of any such Indebtedness constituting a Guarantee Obligation) to become payable;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default, event or condition described in subsection (i) or (ii) of this subsection (e) shall not at any time constitute an Event of Default unless, at such time, one or more defaults, events or conditions of the type described in subsections (i) and (ii) of this subsection (e) shall have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80" w:right="239" w:bottom="1440" w:gutter="0" w:footer="0" w:header="0"/>
        </w:sectPr>
      </w:pPr>
    </w:p>
    <w:bookmarkStart w:id="196" w:name="page197"/>
    <w:bookmarkEnd w:id="19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occurred and be continuing with respect to Indebtedness the outstanding principal amount of which exceeds in the aggregate $30,000,000;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clause (ii) above shall not apply to (A) Indebtedness that becomes due solely as a result of the voluntary sale or transfer of property or assets or as a result of a mandatory prepayment or a regularly scheduled repayment or (B) prepayments that become due as a result of any incurrence of Indebtedness (in each case to the extent such sale, transfer or incurrence is permitted by the terms of such Indebtedness); or</w:t>
      </w:r>
    </w:p>
    <w:p>
      <w:pPr>
        <w:spacing w:after="0" w:line="99" w:lineRule="exact"/>
        <w:rPr>
          <w:sz w:val="20"/>
          <w:szCs w:val="20"/>
          <w:color w:val="auto"/>
        </w:rPr>
      </w:pPr>
    </w:p>
    <w:p>
      <w:pPr>
        <w:ind w:left="680" w:hanging="216"/>
        <w:spacing w:after="0"/>
        <w:tabs>
          <w:tab w:leader="none" w:pos="6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 Wynn Resorts Holdings, the Completion Guarantor, the Borrower or any other Loan Party shall commence any case, proceeding or other action</w:t>
      </w:r>
    </w:p>
    <w:p>
      <w:pPr>
        <w:spacing w:after="0" w:line="38" w:lineRule="exact"/>
        <w:rPr>
          <w:rFonts w:ascii="Arial" w:cs="Arial" w:eastAsia="Arial" w:hAnsi="Arial"/>
          <w:sz w:val="16"/>
          <w:szCs w:val="16"/>
          <w:color w:val="auto"/>
        </w:rPr>
      </w:pPr>
    </w:p>
    <w:p>
      <w:pPr>
        <w:ind w:firstLine="8"/>
        <w:spacing w:after="0" w:line="285" w:lineRule="auto"/>
        <w:tabs>
          <w:tab w:leader="none" w:pos="2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Holdings, the Completion Guarantor, the Borrower or any other Loan Party shall make a general assignment for the benefit of its creditors; or (ii) there shall be commenced against Wynn Resorts Holdings, the Completion Guarantor, the Borrower or any other Loan Party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Wynn Resorts Holdings,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Holdings, the Completion Guarantor, the Borrower or any other Loan Party shall take any action in furtherance of, or indicating its consent to, approval of, or acquiescence in, any of the acts set forth in subsection (i), (ii), or (iii) above; or (v) Wynn Resorts Holdings, the Completion Guarantor, the Borrower or any other Loan Party shall generally not, or shall admit in writing its inability to, pay its debts as they become due; or</w:t>
      </w:r>
    </w:p>
    <w:p>
      <w:pPr>
        <w:spacing w:after="0" w:line="111" w:lineRule="exact"/>
        <w:rPr>
          <w:rFonts w:ascii="Arial" w:cs="Arial" w:eastAsia="Arial" w:hAnsi="Arial"/>
          <w:sz w:val="16"/>
          <w:szCs w:val="16"/>
          <w:color w:val="auto"/>
        </w:rPr>
      </w:pPr>
    </w:p>
    <w:p>
      <w:pPr>
        <w:ind w:left="720" w:hanging="256"/>
        <w:spacing w:after="0"/>
        <w:tabs>
          <w:tab w:leader="none" w:pos="7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Plan,</w:t>
      </w:r>
    </w:p>
    <w:p>
      <w:pPr>
        <w:spacing w:after="0" w:line="38" w:lineRule="exact"/>
        <w:rPr>
          <w:sz w:val="20"/>
          <w:szCs w:val="20"/>
          <w:color w:val="auto"/>
        </w:rPr>
      </w:pPr>
    </w:p>
    <w:p>
      <w:pPr>
        <w:ind w:right="100" w:firstLine="8"/>
        <w:spacing w:after="0" w:line="281" w:lineRule="auto"/>
        <w:tabs>
          <w:tab w:leader="none" w:pos="25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likely to result in the termination of such Plan for purposes of Title IV of ERISA, (iv) any Single Employer Plan shall terminate for purposes of Title IV of ERISA other than in a standard termination under Section 4041(b) of ERISA,</w:t>
      </w:r>
    </w:p>
    <w:p>
      <w:pPr>
        <w:spacing w:after="0" w:line="3" w:lineRule="exact"/>
        <w:rPr>
          <w:rFonts w:ascii="Arial" w:cs="Arial" w:eastAsia="Arial" w:hAnsi="Arial"/>
          <w:sz w:val="16"/>
          <w:szCs w:val="16"/>
          <w:color w:val="auto"/>
        </w:rPr>
      </w:pPr>
    </w:p>
    <w:p>
      <w:pPr>
        <w:ind w:right="100" w:firstLine="8"/>
        <w:spacing w:after="0" w:line="302" w:lineRule="auto"/>
        <w:tabs>
          <w:tab w:leader="none" w:pos="2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Loan Party or any Commonly Controlled Entity shall, or is reasonably likely to, incur any liability in connection with a withdrawal from, or the Insolvency or Reorganization of, a Multiemployer Plan or (vi) any Loan Party, or any of their Subsidiaries or any Commonly Controlled Entity shall be required to make during any Fiscal Year payments pursuant to any employee welfare benefit plan (as defined in Section 3(1) of ERISA) that provides benefits to</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280" w:right="279" w:bottom="1440" w:gutter="0" w:footer="0" w:header="0"/>
        </w:sectPr>
      </w:pPr>
    </w:p>
    <w:bookmarkStart w:id="197" w:name="page198"/>
    <w:bookmarkEnd w:id="197"/>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127" w:lineRule="exact"/>
        <w:rPr>
          <w:sz w:val="20"/>
          <w:szCs w:val="20"/>
          <w:color w:val="auto"/>
        </w:rPr>
      </w:pPr>
    </w:p>
    <w:p>
      <w:pPr>
        <w:ind w:right="60" w:firstLine="464"/>
        <w:spacing w:after="0" w:line="256"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any Loan Party involving for the Loan Parties, taken as a whole, a liability (to the extent not paid or adequately covered by insurance as to which the relevant insurance company has acknowledged coverage) of $30,000,000 or more, and enough of such judgments or decrees shall not have been vacated, discharged, stayed or bonded pending appeal within 60 days from the entry thereof to reduce the aggregate liability therefor below $30,000,000; or</w:t>
      </w:r>
    </w:p>
    <w:p>
      <w:pPr>
        <w:spacing w:after="0" w:line="129" w:lineRule="exact"/>
        <w:rPr>
          <w:rFonts w:ascii="Arial" w:cs="Arial" w:eastAsia="Arial" w:hAnsi="Arial"/>
          <w:sz w:val="18"/>
          <w:szCs w:val="18"/>
          <w:color w:val="auto"/>
        </w:rPr>
      </w:pPr>
    </w:p>
    <w:p>
      <w:pPr>
        <w:ind w:right="160" w:firstLine="464"/>
        <w:spacing w:after="0" w:line="294" w:lineRule="auto"/>
        <w:tabs>
          <w:tab w:leader="none" w:pos="6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of the Security Documents or the guarantee contained in Section 2 of the Guarantee shall cease, for any reason (other than pursuant to the terms thereof), to be in full force and effect, or any Loan Party shall so assert or shall assert that any provision of any Loan Document is not in full force and effect, or any Lien created by any of the Security Documents shall cease to be enforceable and of the same effect and priority purported to be created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that no default, event or condition described in this paragraph (i) with respect to any Security Document existing solely as a result of any action or failure to act on the part of a party to any such Security Document other than a Loan Party shall constitute a Default or Event of Default; or</w:t>
      </w:r>
    </w:p>
    <w:p>
      <w:pPr>
        <w:spacing w:after="0" w:line="102" w:lineRule="exact"/>
        <w:rPr>
          <w:rFonts w:ascii="Arial" w:cs="Arial" w:eastAsia="Arial" w:hAnsi="Arial"/>
          <w:sz w:val="16"/>
          <w:szCs w:val="16"/>
          <w:color w:val="auto"/>
        </w:rPr>
      </w:pPr>
    </w:p>
    <w:p>
      <w:pPr>
        <w:ind w:firstLine="464"/>
        <w:spacing w:after="0" w:line="285" w:lineRule="auto"/>
        <w:tabs>
          <w:tab w:leader="none" w:pos="6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of the Operative Documents shall terminate or be terminated or canceled, become invalid or illegal or otherwise cease to be in full force and effect prior to its stated expiration date or the Borrower, any other Loan Party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occurrence of any of the foregoing events with respect to any Project Document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written notice from the Administrative Agent or any Lender of such occurrence;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five (5) Business Days after) the Borrower or any Loan Party becoming aware of, or receiving notice of, such occurrence that the relevant Loan Party intends to replace such Project Document and (x) within sixty (60) days of such occurrence, such Loan Party obtains a replacement obligor or obligors for the affected party, (y) within sixty (60) days of such occurrence, such Loan Party enters into a replacement Project Document on terms no less beneficial to such Loan Party and the Secured Parties in any material respect than the Project Document being replaced;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280" w:right="259" w:bottom="1440" w:gutter="0" w:footer="0" w:header="0"/>
        </w:sectPr>
      </w:pPr>
    </w:p>
    <w:bookmarkStart w:id="198" w:name="page199"/>
    <w:bookmarkEnd w:id="19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Project Document and the time required to implement such replacement, has not had and could not reasonably be expected to have a Material Adverse Effect;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breach, default or termination under any Construction Agreement shall constitute an Event of Default hereunder only to the extent such breach, default or termination constitutes a Disbursement Agreement Event of Default; or</w:t>
      </w:r>
    </w:p>
    <w:p>
      <w:pPr>
        <w:spacing w:after="0" w:line="127" w:lineRule="exact"/>
        <w:rPr>
          <w:sz w:val="20"/>
          <w:szCs w:val="20"/>
          <w:color w:val="auto"/>
        </w:rPr>
      </w:pPr>
    </w:p>
    <w:p>
      <w:pPr>
        <w:ind w:right="140" w:firstLine="464"/>
        <w:spacing w:after="0" w:line="306" w:lineRule="auto"/>
        <w:tabs>
          <w:tab w:leader="none" w:pos="70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obligor on the Macau Loan fails to pay any principal or interest when due in accordance with the terms thereof (after the expiration of any related notice, grace or cure periods except where such failure to pay arises as a result of any payment blockage, subordination or similar restriction on such payment under any documents or other agreements to which the Macau Loan is effectively subordinated); or</w:t>
      </w:r>
    </w:p>
    <w:p>
      <w:pPr>
        <w:spacing w:after="0" w:line="93" w:lineRule="exact"/>
        <w:rPr>
          <w:rFonts w:ascii="Arial" w:cs="Arial" w:eastAsia="Arial" w:hAnsi="Arial"/>
          <w:sz w:val="16"/>
          <w:szCs w:val="16"/>
          <w:color w:val="auto"/>
        </w:rPr>
      </w:pPr>
    </w:p>
    <w:p>
      <w:pPr>
        <w:ind w:left="680" w:hanging="216"/>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157" w:lineRule="exact"/>
        <w:rPr>
          <w:rFonts w:ascii="Arial" w:cs="Arial" w:eastAsia="Arial" w:hAnsi="Arial"/>
          <w:sz w:val="18"/>
          <w:szCs w:val="18"/>
          <w:color w:val="auto"/>
        </w:rPr>
      </w:pPr>
    </w:p>
    <w:p>
      <w:pPr>
        <w:ind w:right="140" w:firstLine="464"/>
        <w:spacing w:after="0" w:line="259" w:lineRule="auto"/>
        <w:tabs>
          <w:tab w:leader="none" w:pos="75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Subordinated Debt or the Management Fees payable under the Management Agreement shall cease, for any reason, to be validly 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126" w:lineRule="exact"/>
        <w:rPr>
          <w:rFonts w:ascii="Arial" w:cs="Arial" w:eastAsia="Arial" w:hAnsi="Arial"/>
          <w:sz w:val="18"/>
          <w:szCs w:val="18"/>
          <w:color w:val="auto"/>
        </w:rPr>
      </w:pPr>
    </w:p>
    <w:p>
      <w:pPr>
        <w:ind w:right="520" w:firstLine="464"/>
        <w:spacing w:after="0" w:line="332" w:lineRule="auto"/>
        <w:tabs>
          <w:tab w:leader="none" w:pos="70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License Revocation that continues for three consecutive Business Days affecting gaming operations accounting for five percent or more of the consolidated gross revenues (calculated in accordance with GAAP) of the Borrower related to gaming operations; or</w:t>
      </w:r>
    </w:p>
    <w:p>
      <w:pPr>
        <w:spacing w:after="0" w:line="71" w:lineRule="exact"/>
        <w:rPr>
          <w:rFonts w:ascii="Arial" w:cs="Arial" w:eastAsia="Arial" w:hAnsi="Arial"/>
          <w:sz w:val="16"/>
          <w:szCs w:val="16"/>
          <w:color w:val="auto"/>
        </w:rPr>
      </w:pPr>
    </w:p>
    <w:p>
      <w:pPr>
        <w:ind w:right="80" w:firstLine="464"/>
        <w:spacing w:after="0" w:line="255" w:lineRule="auto"/>
        <w:tabs>
          <w:tab w:leader="none" w:pos="7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Wynn Resorts Holdings takes any actions in violation of Section 7.24;</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then, and in any such event, (A) if such event is an Event of Default specified in subsection (i) or (ii) of paragraph (f) above with respect to Wynn Resorts Holdings or any Loan Party, automatically the Commitments shall immediately terminate and the Loans hereunder (with accrued interest thereon) and all other Obligations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respective Facility, the Administrative Agent may, or upon the request of the Required Facility Lenders for the respective Facility, the Administrative Agent shall, by notice to the Borrower, declare the Revolving Credit Commitments, the New Term Loan Commitments, and/or the Term B Loan Commitments, as the case may be, to be terminated forthwith, whereupon the applicable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80" w:right="259" w:bottom="1440" w:gutter="0" w:footer="0" w:header="0"/>
        </w:sectPr>
      </w:pPr>
    </w:p>
    <w:bookmarkStart w:id="199" w:name="page200"/>
    <w:bookmarkEnd w:id="19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Obligations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the UCC and securing any required Nevada Gaming Approvals), including, without limitation, the Security Agreement and the Mortgages, or otherwise available under applicable law, in equity or otherwise, including, without limitation, the right to (I) enter into possession of the Project and perform any and all work and labor necessary to complete the Project or to operate and maintain the Project and (II) set off and apply all monies on deposit in any Account or any amounts paid under the 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in immediately available funds equal to the aggregate then undrawn and unexpired amount of such Letters of Credit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After all such Letters of Credit shall have expired or been fully drawn upon, all Reimbursement Obligations shall have been satisfied and all other Obligations of the Loan Parties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 Anything in this Section 8 to the contrary notwithstanding, the Administrative Agent shall, at the request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280" w:right="259" w:bottom="1440" w:gutter="0" w:footer="0" w:header="0"/>
        </w:sectPr>
      </w:pPr>
    </w:p>
    <w:bookmarkStart w:id="200" w:name="page201"/>
    <w:bookmarkEnd w:id="200"/>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Lenders, rescind and annul any acceleration of the Loans and the termination of the Commitments by written instrument filed with the Borrower. Upon any such rescission and annulment, the Administrative Agent shall promptly return to the Borrower any cash collateral delivered pursuant to this paragraph.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 THE AGENTS; THE ARRANGERS; THE MANAGERS</w:t>
      </w:r>
    </w:p>
    <w:p>
      <w:pPr>
        <w:spacing w:after="0" w:line="15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the Agents as the agents of such Lender under this Agreement and the other 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0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Each Agent, with respect to the Initial Lending Institution Provisions, each Initial Lending Institution or, with respect to Section 7.23 or the Disbursement Agreement, each Arranger, may execute any of its duties under this Agreement and the other Loan Documents by or through agents or attorneys-in-fact and shall be entitled to advice of counsel concerning all matters pertaining to such duties. Each Lender hereby acknowledges and consents to the Administrative Agent’s appointment of the Collateral Agent pursuant to and in accordance with the terms of the Intercreditor Agreement. No Agent, Initial Lending Institution (with respect to the Initial Lending Institution Provisions) or Arranger (with respect to Section 7.23 and the Disbursement Agreement) shall be responsible for the negligence or misconduct of any agents or attorneys in-fact selected by it with reasonable care.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 Arranger, Manager, Agent, Initial Lending Institution (with respect to the Initial Lending Institution Provisions), Managing Agent nor any of their respective officers, directors, partners, employees, agents, attorneys and other advisors, attorneys-in-fact or affiliates shall be (i) liable to any other Arranger, Manager, Agent, Initial Lending Institution or Managing Agent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Arrangers, the Managers, the Agents, the Managing Agents or, with respect to the Initial Lending Institution Provisions, the Initial Lending Institutions under or in connection with, this Agreement or any other Loan Document or for the value, validity, effectiveness, genuineness, enforceability or sufficiency of this Agreement or any other Loan Document or for any failure of any Person party thereto to perform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280" w:right="239" w:bottom="1440" w:gutter="0" w:footer="0" w:header="0"/>
        </w:sectPr>
      </w:pPr>
    </w:p>
    <w:bookmarkStart w:id="201" w:name="page202"/>
    <w:bookmarkEnd w:id="20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obligations hereunder or thereunder. Neither the Agents, the Managers, the Arrangers, the Managing Agents nor the Initial Lending Institutions (with respect to the Initial Lending Institution Provisions)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Reliance</w:t>
      </w:r>
      <w:r>
        <w:rPr>
          <w:rFonts w:ascii="Arial" w:cs="Arial" w:eastAsia="Arial" w:hAnsi="Arial"/>
          <w:sz w:val="16"/>
          <w:szCs w:val="16"/>
          <w:color w:val="auto"/>
        </w:rPr>
        <w:t>. Each Agent, each Initial Lending Institution (with respect to the Initial Lending Institution Provisions) and each Arranger (with respect to Section 7.23 and the Disbursement Agreement)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each Initial Lending Institution (with respect to the Initial Lending Institution Provisions) and each Arranger (with respect to Section 7.23 and the Disbursement Agreement) shall be fully justified in failing or refusing to take any action under this Agreement or any other Loan Document unless it shall first receive such advice or concurrence of the Required Lenders or the requisite Lenders required under Section 10.1 to authorize or require such action (or, if so specified by this Agreement, all Lenders) as it deems appropriate or it shall first be indemnified to its satisfaction by the Lenders against any and all liability and expense that may be incurred by it by reason of taking or continuing to take any such action. Each Agent, each Initial Lending Institution (with respect to the Initial Lending Institution Provisions) and each Arranger (with respect to Section 7.23 and the Disbursement Agreement)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requisite Lenders (or, if so specified by this Agreement,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Non-Reliance on Agents, Managers, Arrangers, Managing Agents and Other Lenders</w:t>
      </w:r>
      <w:r>
        <w:rPr>
          <w:rFonts w:ascii="Arial" w:cs="Arial" w:eastAsia="Arial" w:hAnsi="Arial"/>
          <w:sz w:val="18"/>
          <w:szCs w:val="18"/>
          <w:color w:val="auto"/>
        </w:rPr>
        <w:t>. Each Lender expressly acknowledges that neither the Arrangers, the Agents,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80" w:right="239" w:bottom="1440" w:gutter="0" w:footer="0" w:header="0"/>
        </w:sectPr>
      </w:pPr>
    </w:p>
    <w:bookmarkStart w:id="202" w:name="page203"/>
    <w:bookmarkEnd w:id="2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Managers, the Managing Agents nor any of their respective officers, directors, employees, agents, attorneys and other advisors, partners, attorneys-in-fact or affiliates have made any representations or warranties to it and that no act by any Arranger, Agent, Managing Agent or Manager hereinafter taken, including any review of the affairs of a Loan Party, the Completion Guarantor, Wynn Resorts, Wynn Resorts Holdings or any other Person, shall be deemed to constitute any representation or warranty by any Arranger, Agent, Managing Agent or Manager to any Lender. Each Lender represents to the Arrangers, the Agents, the Managing Agents and the Managers that it has, independently and without reliance upon any Arranger, Agent, Managing Agent or Manager or any other Lender, and based on such documents and information as it has deemed appropriate, made its own appraisal of and investigation into the business, operations, property,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Managing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Loan Parties, Wynn Resorts, Wynn Resorts Holdings and the Completion Guarantor and their affiliates. Except for notices, reports and other documents expressly required to be furnished to the Lenders by the Administrative Agent hereunder, no Arranger, Agent, Managing Agent or Manager shall have any duty or responsibility to provide any Lender with any credit or other information concerning the business, operations, property, condition (financial or otherwise), prospects or creditworthiness of any Loan Party, Wynn Resorts, Wynn Resorts Holdings or the Completion Guarantor or any other Person that may come into the possession of such Arranger, Agent, Managing Agent or Manager or any of its officers, directors, employees, agents, attorneys and other advisors, partners, attorneys-in-fact or affiliates.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 The Lenders agree to indemnify each Arranger, Agent, Managing Agent and Manager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9.7(a)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Arranger, Agent, Managing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Managing Agent or Manager under or in connection with any of the foregoing (including, without limitation, pursuant to the Disbursement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280" w:right="299" w:bottom="1440" w:gutter="0" w:footer="0" w:header="0"/>
        </w:sectPr>
      </w:pPr>
    </w:p>
    <w:bookmarkStart w:id="203" w:name="page204"/>
    <w:bookmarkEnd w:id="203"/>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disbursements that are found by a final and nonappealable decision of a court of competent jurisdiction to have resulted solely and proximately from such Arranger’s, Agent’s, Managing Agent’s or Manager’s gross negligence or willful misconduct in breach of a duty owed to such Lender. The agreements in this Section 9.7(a) shall survive the payment of the Loans and Letters of Credit and all other amounts payable hereunder.</w:t>
      </w:r>
    </w:p>
    <w:p>
      <w:pPr>
        <w:spacing w:after="0" w:line="93" w:lineRule="exact"/>
        <w:rPr>
          <w:sz w:val="20"/>
          <w:szCs w:val="20"/>
          <w:color w:val="auto"/>
        </w:rPr>
      </w:pPr>
    </w:p>
    <w:p>
      <w:pPr>
        <w:ind w:firstLine="464"/>
        <w:spacing w:after="0" w:line="286"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Lenders agree to indemnify each Initial Lending Institution in its capacity as such (to the extent not reimbursed by the Borrower as may be required hereunder and without limiting any obligation of the Borrower to do so), ratably according to their respective Aggregate Exposure Percentages in effect on the date on which indemnification is sought under this Section 9.7(b)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Initial Lending Institution in any way relating to or arising out of any action taken or omitted by such Initial Lending Institution under or in connection with any Initial Lending Institution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Initial Lending Institution’s gross negligence or willful misconduct. The agreements in this Section 9.7(b) shall survive the payment of the Loans and Letters of Credit and all other amounts payable hereunder.</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Arrangers, Agents, Managing Agents and Managers in Their Individual Capacities</w:t>
      </w:r>
      <w:r>
        <w:rPr>
          <w:rFonts w:ascii="Arial" w:cs="Arial" w:eastAsia="Arial" w:hAnsi="Arial"/>
          <w:sz w:val="16"/>
          <w:szCs w:val="16"/>
          <w:color w:val="auto"/>
        </w:rPr>
        <w:t>. Each Arranger, Agent, Managing Agent and Manager and their respective affiliates may make loans to, accept deposits from and generally engage in any kind of business with the Completion Guarantor, any Loan Party, Wynn Resorts or Wynn Resorts Holdings as though such Arranger was not an Arranger, such Agent was not an Agent, such Managing Agent was not a Managing Agent and such Manager was not a Manager. With respect to any Loans made or renewed by it and with respect to any Letter of Credit issued or participated in by it, each Arranger, Agent, Managing Agent and Manager shall have the same rights and powers under this Agreement and the other Loan Documents as any Lender and may exercise the same as though it were not an Arranger, an Agent, a Managing Agent or a Manager, as the case may be, and the terms “Lender” and “Lenders” shall include each Arranger, Agent, Managing Agent and Manager in their respective individual capacities.</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Successor Agents</w:t>
      </w:r>
      <w:r>
        <w:rPr>
          <w:rFonts w:ascii="Arial" w:cs="Arial" w:eastAsia="Arial" w:hAnsi="Arial"/>
          <w:sz w:val="18"/>
          <w:szCs w:val="18"/>
          <w:color w:val="auto"/>
        </w:rPr>
        <w:t>.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280" w:right="259" w:bottom="1440" w:gutter="0" w:footer="0" w:header="0"/>
        </w:sectPr>
      </w:pPr>
    </w:p>
    <w:bookmarkStart w:id="204" w:name="page205"/>
    <w:bookmarkEnd w:id="20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a successor Administrative Agent shall not have been so appointed within said 30 day period, the Administrative Agent shall appoint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40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the Administrative Agent, the provisions of this Section 9 shall inure to its benefit as to any actions taken or omitted to be taken by it while it was the Administrative Agent under this Agreement and the other Loan Documents.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w:t>
      </w:r>
      <w:r>
        <w:rPr>
          <w:rFonts w:ascii="Arial" w:cs="Arial" w:eastAsia="Arial" w:hAnsi="Arial"/>
          <w:sz w:val="18"/>
          <w:szCs w:val="18"/>
          <w:color w:val="auto"/>
        </w:rPr>
        <w:t>. The Administrative Agent is hereby irrevocably authorized by each of the Lenders to release any Lien (or to direct the Collateral Agent or any other Person to release any Lien) covering any Property of the Completion Guarantor, Wynn Resorts Holdings, the Borrower or any of the other Loan Parties or any other Person that is the subject of a Disposition which is permitted by this Agreement or any other Loan Document or which has been consented to in accordance with Section 10.1. The Administrative Agent is further authorized by the Lenders to enter into agreements supplemental hereto with any Loan Party for the purpose of curing any formal defect, inconsistency, omission or ambiguity in this Agreement or any Loan Document to which it is a party (without any consent or approval by the Lenders).</w:t>
      </w:r>
    </w:p>
    <w:p>
      <w:pPr>
        <w:spacing w:after="0" w:line="13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The Arrangers, Managers, Managing Agents, Syndication Agent and Documentation Agents</w:t>
      </w:r>
      <w:r>
        <w:rPr>
          <w:rFonts w:ascii="Arial" w:cs="Arial" w:eastAsia="Arial" w:hAnsi="Arial"/>
          <w:sz w:val="16"/>
          <w:szCs w:val="16"/>
          <w:color w:val="auto"/>
        </w:rPr>
        <w:t>. The Arrangers (except with respect to Section 7.23 and the Disbursement Agreement), Managers, the Syndication Agent, the Documentation Agent and the Managing Agents, each in their capacity as such, shall have no duties or responsibilities, and shall incur no liability, under this Agreement and the other Loan Documents.</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Withholdings</w:t>
      </w:r>
      <w:r>
        <w:rPr>
          <w:rFonts w:ascii="Arial" w:cs="Arial" w:eastAsia="Arial" w:hAnsi="Arial"/>
          <w:sz w:val="18"/>
          <w:szCs w:val="18"/>
          <w:color w:val="auto"/>
        </w:rPr>
        <w:t>. (a) To the extent required by any applicable law, the Administrative Agent may withhold from any interest payment to any Lender an 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80" w:right="239" w:bottom="1440" w:gutter="0" w:footer="0" w:header="0"/>
        </w:sectPr>
      </w:pPr>
    </w:p>
    <w:bookmarkStart w:id="205" w:name="page206"/>
    <w:bookmarkEnd w:id="205"/>
    <w:p>
      <w:pPr>
        <w:ind w:right="20" w:firstLine="464"/>
        <w:spacing w:after="0" w:line="318" w:lineRule="auto"/>
        <w:tabs>
          <w:tab w:leader="none" w:pos="705" w:val="left"/>
        </w:tabs>
        <w:numPr>
          <w:ilvl w:val="0"/>
          <w:numId w:val="15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86" w:lineRule="exact"/>
        <w:rPr>
          <w:rFonts w:ascii="Arial" w:cs="Arial" w:eastAsia="Arial" w:hAnsi="Arial"/>
          <w:sz w:val="15"/>
          <w:szCs w:val="15"/>
          <w:color w:val="auto"/>
        </w:rPr>
      </w:pPr>
    </w:p>
    <w:p>
      <w:pPr>
        <w:ind w:right="500" w:firstLine="464"/>
        <w:spacing w:after="0" w:line="332"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any Lender sells, assigns, grants a participation in, or otherwise transfers its rights under this Agreement, the purchaser, assignee, participant or transferee, as applicable, shall comply and be bound by the terms of Sections 2.20(f) and 2.20(g) and this Section 9.12.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 MISCELLANEOUS</w:t>
      </w:r>
    </w:p>
    <w:p>
      <w:pPr>
        <w:spacing w:after="0" w:line="15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 No amendment, supplement, modification or waiver of any provision of this Agreement or any other Loan Document shall in any event be effective unless the same shall be in writing and signed by the Required Lenders (or, with the written consent of the Required Lenders, the Administrative Agent) and each Loan Party party thereto. Notwithstanding the foregoing but subject to the Borrower’s rights under Section 2.25, no such waiver and no such amendment, supplement or modification shall (i) forgive the principal amount or extend the final scheduled date of maturity of any Loan or Reimbursement Obligation, extend the scheduled date of any amortization payment in respect of any Term Loan, reduce the stated rate of any interest or fee payable hereunder or forgive the payment of any interest or fee payable hereunder or extend the scheduled date of any payment of any interest or fee payable hereunder, in each case without the consent of each Lender (other than a Defaulting Lender) directly affected thereby (such consent being in lieu of the consent of the Required Lenders) or increase the amount or extend the expiration date of any Commitment of any Lender without the consent of such Lender (such consent being in lieu of the consent of the Required Lenders); (ii) amend, modify or waive any provision of this Section 10.1(a) or reduce any percentage or number specified in the definition of Required Lenders, Required Facility Lenders, Applicable Facility Lenders, Majority of the Arrangers or Majority Initial Lending Institutions, consent to the assignment or transfer by any Loan Party, the Completion Guarantor or Wynn Resorts Holdings of any of its rights and obligations under this Agreement and the other Loan Documents, release all or substantially all of the Collateral or release a significant Guarantor from its guarantee obligations under the Guarantee, in each case without the consent of all Lenders (other than Defaulting Lenders); (iii) amend, modify or waive any provision of Section 9 without the consent of any Arranger, Agent, Manager, Managing Agent or Initial Lending Institution directly affected thereby (in addition to the consent of the Required Lenders); (iv) amend, modify or waive any provision of Section 2.6 or 2.7 without the written consent of the Swing Line Lender (in addition to the consent of the Required Lenders); (v) amend, modify or waive any provision of Section 2.12(g) or Section 2.18 without the consent of the Required Facility Lenders with respect to the Facility directly affected thereby (such consent being in lieu of the consent of the Required Lenders); (vi) amend, modify or waive any provision of Section 3 without the consent of the Issuing Lender (in addition to the consent of the Required Lenders), (vii) amend, modify or waive any condition, provision or requirement to the funding of Loans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80" w:right="239" w:bottom="1440" w:gutter="0" w:footer="0" w:header="0"/>
        </w:sectPr>
      </w:pPr>
    </w:p>
    <w:bookmarkStart w:id="206" w:name="page207"/>
    <w:bookmarkEnd w:id="206"/>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release of the proceeds thereof pursuant to the Disbursement Agreement) or the issuance or amendment of Letters of Credit without, in each case, the consent of (I) in the case of Term B Loans, the Required Facility Lenders with respect to the Term B Loan Facility, (II) in the case of New Term Loans, the Required Facility Lenders with respect to the New Term Loan Facility and (III) in the case of Revolving Credit Loans or the issuance or amendment of Letters of Credit, the Required Facility Lenders with respect to the Revolving Credit Facility (in each case such consent being in lieu of the consent of the Required Lenders),</w:t>
      </w:r>
    </w:p>
    <w:p>
      <w:pPr>
        <w:spacing w:after="0" w:line="3" w:lineRule="exact"/>
        <w:rPr>
          <w:sz w:val="20"/>
          <w:szCs w:val="20"/>
          <w:color w:val="auto"/>
        </w:rPr>
      </w:pPr>
    </w:p>
    <w:p>
      <w:pPr>
        <w:ind w:firstLine="8"/>
        <w:spacing w:after="0" w:line="283" w:lineRule="auto"/>
        <w:tabs>
          <w:tab w:leader="none" w:pos="3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amend, modify or waive any provision of Section 2.4.1 of the Disbursement Agreement prior to the Amended and Restated Disbursement Agreement Effective Date without the written consent of all Lenders (other than Defaulting Lenders), or (ix) amend, modify or waive Section 7.23 without the consent of the Majority of the Arrangers in consultation with the Construction Consultant (such consent being in lieu of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(A) determinations, waivers or amendments pursuant to the Initial Lending Institution Provisions are to be made by the Initial Lending Institutions or (B) determinations, waivers or amendments pursuant to the Disbursement Agreement are to be made by the Majority of the Arrangers, such determinations shall be made at the sole discretion of the Majority Initial Lending Institutions and the Majority of the Arrangers, respectively, and shall not require the consent of any other Lender pursuant to this Section 10.1 or otherwise; provided that if any such determinations, waivers or amendments are not made by the Initial Lending Institutions or the Majority of the Arrangers, respectively, then any such determinations, waivers or amendments may be made with the approval of the Required Lenders. Any such waiver and any such amendment, supplement, modification or determination shall apply equally to each of the Lenders and shall be binding upon the Loan Parties, the Lenders, the Agents, the Arrangers, the Managers, the Managing Agents and all future holders of the Loans and Letters of Credit. In the case of any waiver, the Loan Parties, the Lenders, the Arrangers, the Managers, the Managing Agents and the Agents shall be restored to their former position hereunder and under the other Loan Documents, and any Default or Event of Default waived shall be deemed to be waived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delivery of an executed signature page of any such instrument by facsimile transmission shall be effective as delivery of a manually executed counterpart thereof. Notwithstanding the foregoing but subject to determinations to be made pursuant to (A) if prior to the Amended and Restated Disbursement Agreement Effective Date, Sections 3.2.10, 5.1.4(b), 8.1 and 9.6 of the Disbursement Agreement, the definition of “Consents” set forth in the Disbursement Agreement and Exhibit L to the Disbursement Agreement and (B) if after the Amended and Restated Disbursement Agreement Effective Date, Sections 5.1(b), 8.1 and 9.6 of the Disbursement Agreement and the definition of “Consents” set forth in the Disbursement Agreement, and which in each case shall be made in the sole discretion of the Administrative Agent, to the extent the Administrative Agent is entitled or required to make any determinations (whether a consent, waiver or otherwise) under the Intercreditor Agreement or the Disbursement Agreement, the Administrative Agent shall make such determinations upon the advice of the Required Lenders.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10.1, (i) the parties to the Administrative Agent Fee Letter and the Facility Fee Letter may,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enter into written amendments, supplements or modifications to the Administrative Agent Fee Letter or 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280" w:right="279" w:bottom="1440" w:gutter="0" w:footer="0" w:header="0"/>
        </w:sectPr>
      </w:pPr>
    </w:p>
    <w:bookmarkStart w:id="207" w:name="page208"/>
    <w:bookmarkEnd w:id="2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Fee Letter, as the case may be (including amendments and restatements thereof), for the purpose of adding any provisions thereto or changing in any manner the rights thereunder of the parties thereto or (B) waive, on such terms and conditions as may be specified in the instrument of waiver, (1) any of the requirements of the Administrative Agent Fee Letter or the Facility Fee Letter, as the case may be, or (2) any Default or Event of Default to the extent (and only to the extent) relating to the Administrative Agent Fee Letter or the Facility Fee Letter, it being understood that the waiver of any Default or Event of Default (or portion thereof) relating to any of the other Loan Documents may be accomplished only as set forth in the immediately preceding paragraph, (ii) this Agreement and any other Loan Document may be amended, amended and restated, modified or supplemented with the written consent of the applicable Loan Parties and the Required Lenders (A) to increase the aggregate Commitments of the Lenders, (B) to add one or more additional credit facilities of Loans to this Agreement and to permit the extensions of credit from time to time outstanding thereunder and the accrued interest and fees in respect thereof to share ratably in the benefits of this Agreement and other Loan Documents with the other then outstanding Obligations and (C) to include appropriately the lenders holding such additional credit facilities in any determination of the Required Lenders, Required Facility Lenders and Applicable Facility Lenders, and (iii) any Permitted C-Corp. Conversion shall require the consent of the Required Lenders only.</w:t>
      </w:r>
    </w:p>
    <w:p>
      <w:pPr>
        <w:spacing w:after="0" w:line="114" w:lineRule="exact"/>
        <w:rPr>
          <w:sz w:val="20"/>
          <w:szCs w:val="20"/>
          <w:color w:val="auto"/>
        </w:rPr>
      </w:pPr>
    </w:p>
    <w:p>
      <w:pPr>
        <w:ind w:firstLine="464"/>
        <w:spacing w:after="0" w:line="288"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Loan Documents and so long as at such time of such amendment and restatement (A) there exists no Default or Event of Default, (B) the Phase I Final Completion Date has occurred, (C) there remain no funds on deposit in the 2014 Notes Proceeds Account and (D) the Borrower has or has caused the Company’s Payment Account and the Cash Management Account (each as defined in the Disbursement Agreement) to be terminated, if the Borrower so requests in a written notice to the Administrative Agent, the Borrower, Administrative Agent and Disbursement Agent, shall, within 10 Business Days of the Administrative Agent’s receipt of such notice, amend and restate the Disbursement Agreement in the form of Exhibit K hereto (with any necessary changes to reflect amendments, modifications and supplements to the Disbursement Agreement that are made in accordance with this Agreement between the Amended and Restated Effective Date and the date of any such amendment and restatement, the implementation of any such changes to be in form and substance reasonably satisfactory to the Administrative Agent and the Disbursement Agent), and in such event the Lenders shall be deemed to have approved such amendment and restatement to the Disbursement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280" w:right="259" w:bottom="1440" w:gutter="0" w:footer="0" w:header="0"/>
        </w:sectPr>
      </w:pPr>
    </w:p>
    <w:bookmarkStart w:id="208" w:name="page209"/>
    <w:bookmarkEnd w:id="20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their respective signature pages hereto or, in the case of a Lender which becomes a party to this Agreement pursuant to an Assignment and Acceptance or Joinder Agreement, in such Assignment and Acceptance or Joinder Agreement or (c) in the case of any party, to such other address as such party may hereafter notify to the other parties hereto:</w:t>
      </w:r>
    </w:p>
    <w:p>
      <w:pPr>
        <w:sectPr>
          <w:pgSz w:w="11900" w:h="16838" w:orient="portrait"/>
          <w:cols w:equalWidth="0" w:num="1">
            <w:col w:w="11360"/>
          </w:cols>
          <w:pgMar w:left="240" w:top="280" w:right="29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Borrower: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770-7700</w:t>
      </w:r>
    </w:p>
    <w:p>
      <w:pPr>
        <w:spacing w:after="0" w:line="124" w:lineRule="exact"/>
        <w:rPr>
          <w:sz w:val="20"/>
          <w:szCs w:val="20"/>
          <w:color w:val="auto"/>
        </w:rPr>
      </w:pPr>
    </w:p>
    <w:p>
      <w:pPr>
        <w:sectPr>
          <w:pgSz w:w="11900" w:h="16838" w:orient="portrait"/>
          <w:cols w:equalWidth="0" w:num="2">
            <w:col w:w="5240" w:space="720"/>
            <w:col w:w="54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770-1349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770-2112</w:t>
      </w:r>
    </w:p>
    <w:p>
      <w:pPr>
        <w:spacing w:after="0" w:line="124" w:lineRule="exact"/>
        <w:rPr>
          <w:sz w:val="20"/>
          <w:szCs w:val="20"/>
          <w:color w:val="auto"/>
        </w:rPr>
      </w:pPr>
    </w:p>
    <w:p>
      <w:pPr>
        <w:sectPr>
          <w:pgSz w:w="11900" w:h="16838" w:orient="portrait"/>
          <w:cols w:equalWidth="0" w:num="2">
            <w:col w:w="5240" w:space="720"/>
            <w:col w:w="54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Boies, Schiller &amp; Flexner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333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Armonk, New York 10504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Robert Leung,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Telecopy: (914) 749-8300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(914) 749-8200</w:t>
      </w:r>
    </w:p>
    <w:p>
      <w:pPr>
        <w:spacing w:after="0" w:line="147" w:lineRule="exact"/>
        <w:rPr>
          <w:sz w:val="20"/>
          <w:szCs w:val="20"/>
          <w:color w:val="auto"/>
        </w:rPr>
      </w:pPr>
    </w:p>
    <w:p>
      <w:pPr>
        <w:sectPr>
          <w:pgSz w:w="11900" w:h="16838" w:orient="portrait"/>
          <w:cols w:equalWidth="0" w:num="2">
            <w:col w:w="5240" w:space="720"/>
            <w:col w:w="54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The Administrative Agent or Swing Line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Deutsche Bank Trust Company Americas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Gerald K. Dupont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(214) 740-7910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(214) 740-7913</w:t>
      </w:r>
    </w:p>
    <w:p>
      <w:pPr>
        <w:spacing w:after="0" w:line="124" w:lineRule="exact"/>
        <w:rPr>
          <w:sz w:val="20"/>
          <w:szCs w:val="20"/>
          <w:color w:val="auto"/>
        </w:rPr>
      </w:pPr>
    </w:p>
    <w:p>
      <w:pPr>
        <w:sectPr>
          <w:pgSz w:w="11900" w:h="16838" w:orient="portrait"/>
          <w:cols w:equalWidth="0" w:num="2">
            <w:col w:w="5240" w:space="720"/>
            <w:col w:w="5400"/>
          </w:cols>
          <w:pgMar w:left="240" w:top="280" w:right="299" w:bottom="1440" w:gutter="0" w:footer="0" w:header="0"/>
          <w:type w:val="continuous"/>
        </w:sectPr>
      </w:pPr>
    </w:p>
    <w:p>
      <w:pPr>
        <w:spacing w:after="0"/>
        <w:rPr>
          <w:sz w:val="20"/>
          <w:szCs w:val="20"/>
          <w:color w:val="auto"/>
        </w:rPr>
      </w:pPr>
      <w:r>
        <w:rPr>
          <w:rFonts w:ascii="Arial" w:cs="Arial" w:eastAsia="Arial" w:hAnsi="Arial"/>
          <w:sz w:val="15"/>
          <w:szCs w:val="15"/>
          <w:color w:val="auto"/>
        </w:rPr>
        <w:t>Deutsche Bank Securities Inc., as lead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200 Crescent Court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Gerald K. Dupont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Telecopy: (214) 740-7910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(214) 740-7913</w:t>
      </w:r>
    </w:p>
    <w:p>
      <w:pPr>
        <w:spacing w:after="0" w:line="147" w:lineRule="exact"/>
        <w:rPr>
          <w:sz w:val="20"/>
          <w:szCs w:val="20"/>
          <w:color w:val="auto"/>
        </w:rPr>
      </w:pPr>
    </w:p>
    <w:p>
      <w:pPr>
        <w:sectPr>
          <w:pgSz w:w="11900" w:h="16838" w:orient="portrait"/>
          <w:cols w:equalWidth="0" w:num="2">
            <w:col w:w="5660" w:space="300"/>
            <w:col w:w="5400"/>
          </w:cols>
          <w:pgMar w:left="240" w:top="280" w:right="299" w:bottom="1440" w:gutter="0" w:footer="0" w:header="0"/>
          <w:type w:val="continuous"/>
        </w:sectPr>
      </w:pPr>
    </w:p>
    <w:p>
      <w:pPr>
        <w:ind w:right="80"/>
        <w:spacing w:after="0" w:line="268" w:lineRule="auto"/>
        <w:rPr>
          <w:sz w:val="20"/>
          <w:szCs w:val="20"/>
          <w:color w:val="auto"/>
        </w:rPr>
      </w:pPr>
      <w:r>
        <w:rPr>
          <w:rFonts w:ascii="Arial" w:cs="Arial" w:eastAsia="Arial" w:hAnsi="Arial"/>
          <w:sz w:val="18"/>
          <w:szCs w:val="18"/>
          <w:color w:val="auto"/>
        </w:rPr>
        <w:t>Banc of America Securities LLC, as lead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 West 57</w:t>
      </w:r>
      <w:r>
        <w:rPr>
          <w:rFonts w:ascii="Arial" w:cs="Arial" w:eastAsia="Arial" w:hAnsi="Arial"/>
          <w:sz w:val="10"/>
          <w:szCs w:val="10"/>
          <w:color w:val="auto"/>
        </w:rPr>
        <w:t>th</w:t>
      </w:r>
      <w:r>
        <w:rPr>
          <w:rFonts w:ascii="Arial" w:cs="Arial" w:eastAsia="Arial" w:hAnsi="Arial"/>
          <w:sz w:val="15"/>
          <w:szCs w:val="15"/>
          <w:color w:val="auto"/>
        </w:rPr>
        <w:t xml:space="preserve"> Street, 32</w:t>
      </w:r>
      <w:r>
        <w:rPr>
          <w:rFonts w:ascii="Arial" w:cs="Arial" w:eastAsia="Arial" w:hAnsi="Arial"/>
          <w:sz w:val="10"/>
          <w:szCs w:val="10"/>
          <w:color w:val="auto"/>
        </w:rPr>
        <w:t>nd</w:t>
      </w:r>
      <w:r>
        <w:rPr>
          <w:rFonts w:ascii="Arial" w:cs="Arial" w:eastAsia="Arial" w:hAnsi="Arial"/>
          <w:sz w:val="15"/>
          <w:szCs w:val="15"/>
          <w:color w:val="auto"/>
        </w:rPr>
        <w:t xml:space="preserve"> Floor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Bruce Thompson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Telecopy: (212) 847-6441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(212) 847-6456</w:t>
      </w:r>
    </w:p>
    <w:p>
      <w:pPr>
        <w:spacing w:after="0" w:line="188" w:lineRule="exact"/>
        <w:rPr>
          <w:sz w:val="20"/>
          <w:szCs w:val="20"/>
          <w:color w:val="auto"/>
        </w:rPr>
      </w:pPr>
    </w:p>
    <w:p>
      <w:pPr>
        <w:sectPr>
          <w:pgSz w:w="11900" w:h="16838" w:orient="portrait"/>
          <w:cols w:equalWidth="0" w:num="2">
            <w:col w:w="5240" w:space="720"/>
            <w:col w:w="5400"/>
          </w:cols>
          <w:pgMar w:left="240" w:top="28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360"/>
          </w:cols>
          <w:pgMar w:left="240" w:top="280" w:right="29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8"/>
          <w:szCs w:val="18"/>
          <w:color w:val="auto"/>
        </w:rPr>
        <w:t>Bank of America, N.A., 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Bear, Stearns &amp; Co. Inc., as arranger and joint book 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Bear Stearns Corporate Lending Inc., as joint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Inc., as arranger and joint book 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joint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SG Americas Securities, LLC, as arranger and joint book 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Societe Generale, as joint documentation agent: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color w:val="auto"/>
        </w:rPr>
        <w:t>1850 Gateway Boulevard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-219710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CA 4-706-05-09</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Concord, California 94520-3282</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Nina Lemmer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(888) 969-9281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(925) 675-7478</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383 Madison Avenue,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ind w:left="380"/>
        <w:spacing w:after="0"/>
        <w:rPr>
          <w:sz w:val="20"/>
          <w:szCs w:val="20"/>
          <w:color w:val="auto"/>
        </w:rPr>
      </w:pPr>
      <w:r>
        <w:rPr>
          <w:rFonts w:ascii="Arial" w:cs="Arial" w:eastAsia="Arial" w:hAnsi="Arial"/>
          <w:sz w:val="18"/>
          <w:szCs w:val="18"/>
          <w:color w:val="auto"/>
        </w:rPr>
        <w:t>New York, New York 10179</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Stephen O’Keefe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(212) 272-9184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272-9430</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383 Madison Avenue,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ind w:left="380"/>
        <w:spacing w:after="0"/>
        <w:rPr>
          <w:sz w:val="20"/>
          <w:szCs w:val="20"/>
          <w:color w:val="auto"/>
        </w:rPr>
      </w:pPr>
      <w:r>
        <w:rPr>
          <w:rFonts w:ascii="Arial" w:cs="Arial" w:eastAsia="Arial" w:hAnsi="Arial"/>
          <w:sz w:val="18"/>
          <w:szCs w:val="18"/>
          <w:color w:val="auto"/>
        </w:rPr>
        <w:t>New York, New York 10179</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Stephen O’Keefe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(212) 272-9184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272-9430</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277 Park Avenue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Don Shokrian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(212) 534-0574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622-2166</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277 Park Avenue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Don Shokrian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(646) 534-0574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622-2166</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1221 Avenue of the Americas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Michael Kim</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(646) 534-0574</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278-5368</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2001 Ross Avenue, Suite 4900</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Thomas Day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Telecopy: (214) 979-2727</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(214) 979-2774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147</w:t>
      </w:r>
    </w:p>
    <w:p>
      <w:pPr>
        <w:sectPr>
          <w:pgSz w:w="11900" w:h="16838" w:orient="portrait"/>
          <w:cols w:equalWidth="0" w:num="2">
            <w:col w:w="5320" w:space="260"/>
            <w:col w:w="4639"/>
          </w:cols>
          <w:pgMar w:left="240" w:top="280" w:right="1440"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in the case of any Agent, Manager or Arranger, 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Issuing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-219710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600 West Broadway,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Brett Rosenblatt,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(619) 696-7419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(619) 236-1234</w:t>
      </w:r>
    </w:p>
    <w:p>
      <w:pPr>
        <w:spacing w:after="0" w:line="1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notified by the Issuing Lender to the Administrative Agent and the Borrower</w:t>
      </w:r>
    </w:p>
    <w:p>
      <w:pPr>
        <w:spacing w:after="0" w:line="118" w:lineRule="exact"/>
        <w:rPr>
          <w:sz w:val="20"/>
          <w:szCs w:val="20"/>
          <w:color w:val="auto"/>
        </w:rPr>
      </w:pPr>
    </w:p>
    <w:p>
      <w:pPr>
        <w:sectPr>
          <w:pgSz w:w="11900" w:h="16838" w:orient="portrait"/>
          <w:cols w:equalWidth="0" w:num="2">
            <w:col w:w="5240" w:space="720"/>
            <w:col w:w="5420"/>
          </w:cols>
          <w:pgMar w:left="240" w:top="280" w:right="279" w:bottom="1440" w:gutter="0" w:footer="0" w:header="0"/>
        </w:sectPr>
      </w:pPr>
    </w:p>
    <w:p>
      <w:pPr>
        <w:spacing w:after="0" w:line="306" w:lineRule="auto"/>
        <w:rPr>
          <w:sz w:val="20"/>
          <w:szCs w:val="20"/>
          <w:color w:val="auto"/>
        </w:rPr>
      </w:pPr>
      <w:r>
        <w:rPr>
          <w:rFonts w:ascii="Arial" w:cs="Arial" w:eastAsia="Arial" w:hAnsi="Arial"/>
          <w:sz w:val="16"/>
          <w:szCs w:val="16"/>
          <w:color w:val="auto"/>
        </w:rPr>
        <w:t>Notwithstanding the foregoing, each Lender agrees and acknowledges that any notice, request, demand or other information to be delivered by the Administrative Agent to such Lender pursuant to this Agreement or any of the other Loan Documents (whether pursuant to Section 6.1, 6.2 or otherwise) shall be effectively delivered to such Lender by the Administrative Agent posting such notice, request, demand or other information to IntraLinks.</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Arranger, any Agent, any Manager, any Managing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repayment of the Loans in full, no Letters of Credit remain outstanding (unless otherwise cash collateralized pursuant to the terms of this Agreement) and the termination of the Commitments.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 The Borrower agrees (a) to pay or reimburse the Arrangers, the Agents, the Managers, the Managing Agents, the Securities Intermediary and, with respect to the Initial Lending Institution Provisions, the Initial Lending Institutions for all their reasonable and itemized out-of-pocket costs and expenses incurred in connection with the syndication of the Facilities (other than fees payable to syndicate members) and the preparation, negotiation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Arrangers’ and Initial Lending Institutions’ administration and other actions in furtherance of Section 7.23, the Disbursement Agreement and the Initial Lending Institution Provisions, as the case may be) including, without limitation, the reasonable fees and disbursements and other charges of the Collateral Agent, the Nevada Collateral Agent and Latham &amp; Watkins LLP, special counsel to the Administrative Agent and the Disbursement Agent, and any local counsel in the State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280" w:right="279" w:bottom="1440" w:gutter="0" w:footer="0" w:header="0"/>
          <w:type w:val="continuous"/>
        </w:sectPr>
      </w:pPr>
    </w:p>
    <w:bookmarkStart w:id="211" w:name="page212"/>
    <w:bookmarkEnd w:id="2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Nevada retained by the Administrative Agent and the charges of IntraLinks and the fees, expenses and disbursements of the Construction Consultant and the Insurance Advisor, (b) to pay or reimburse each Lender, Arranger, Manager, Managing Agent and Agent (after the occurrence of an Event of Default)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Managing Agent and Agent and the charges of IntraLinks, (c) to pay, indemnify, and hold each Lender, Arranger, Manager, Managing Agent and Agent harmless from, any and all recording and filing fees and any and all liabilities with respect to, or resulting from any Loan Party’s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Arranger, Agent, Manager, Managing Agent, Securities Intermediary, their respective affiliates, and their respective officers, directors, partners, trustees, employees, affiliates, advisors, agents, attorneys–in–fact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or suits,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reasonable fees, costs and expenses and disbursements and other charges of legal counsel in connection with claims, actions or proceedings by any Indemnitee against the Borrower hereunder (all the foregoing in this subsection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have no obligation hereunder to any Indemnitee with respect to Indemnified Liabilities to the extent such Indemnified Liabilities are found by a final and nonappealable decision of a court of competent jurisdiction to have resulted solely from the gross negligence or willful misconduct of such Indemnitee in breach of a duty owed to the Borrower. All amounts due under this Section shall be payable not later than five Business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This Agreement shall be binding upon and inure to the benefit of the Borrower, the Lenders, the Arrangers, the Agents, the Managers, the Managing Agents,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 No Lender may assign its rights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80" w:right="239" w:bottom="1440" w:gutter="0" w:footer="0" w:header="0"/>
        </w:sectPr>
      </w:pPr>
    </w:p>
    <w:bookmarkStart w:id="212" w:name="page213"/>
    <w:bookmarkEnd w:id="212"/>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under this Agreement, except as provided in this Section 10.6. Any purported sale, assignment, participation or other transfer by any Lender of any of its rights or obligations hereunder, other than as expressly permitted under this Section 10.6, shall be null and void and of no force and effect.</w:t>
      </w:r>
    </w:p>
    <w:p>
      <w:pPr>
        <w:spacing w:after="0" w:line="72" w:lineRule="exact"/>
        <w:rPr>
          <w:sz w:val="20"/>
          <w:szCs w:val="20"/>
          <w:color w:val="auto"/>
        </w:rPr>
      </w:pPr>
    </w:p>
    <w:p>
      <w:pPr>
        <w:ind w:firstLine="464"/>
        <w:spacing w:after="0" w:line="284" w:lineRule="auto"/>
        <w:tabs>
          <w:tab w:leader="none" w:pos="7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or any other Person, in accordance with applicable law, at any time sell to one or more banks, financial institutions or other entities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Arrangers, the Agents, the Managing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purchasing such participating interest, such Participant shall be deemed to have agreed to share with the Lenders the proceeds thereof as provided in Section 10.7(a) as fully as if it were a Lender hereunder. The Borrower also agrees that each Participant shall be entitled to the benefits of Sections 2.19, 2.20 and 2.21 with respect to its participation in the Commitments and the Loans outstanding from time to time as if it was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Section 2.20, such Participant shall have fully complied with the requirements of Section 2.20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Participant shall be entitled to receive any greater amount pursuant to Section 2.19, 2.20 or 2.21 than the transferor Lender would have been entitled to receive in respect of the amount of the participation transferred by such transferor Lender to such Participant had no such transfer occurred.</w:t>
      </w:r>
    </w:p>
    <w:p>
      <w:pPr>
        <w:spacing w:after="0" w:line="117" w:lineRule="exact"/>
        <w:rPr>
          <w:rFonts w:ascii="Arial" w:cs="Arial" w:eastAsia="Arial" w:hAnsi="Arial"/>
          <w:sz w:val="16"/>
          <w:szCs w:val="16"/>
          <w:color w:val="auto"/>
        </w:rPr>
      </w:pPr>
    </w:p>
    <w:p>
      <w:pPr>
        <w:ind w:right="60" w:firstLine="464"/>
        <w:spacing w:after="0" w:line="254"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Lender (an “</w:t>
      </w:r>
      <w:r>
        <w:rPr>
          <w:rFonts w:ascii="Arial" w:cs="Arial" w:eastAsia="Arial" w:hAnsi="Arial"/>
          <w:sz w:val="18"/>
          <w:szCs w:val="18"/>
          <w:u w:val="single" w:color="auto"/>
          <w:color w:val="auto"/>
        </w:rPr>
        <w:t>Assignor</w:t>
      </w:r>
      <w:r>
        <w:rPr>
          <w:rFonts w:ascii="Arial" w:cs="Arial" w:eastAsia="Arial" w:hAnsi="Arial"/>
          <w:sz w:val="18"/>
          <w:szCs w:val="18"/>
          <w:color w:val="auto"/>
        </w:rPr>
        <w:t>”) may, in accordance with applicable law and upon written notice to the Administrative Agent, at any time and from time to time assign to any Lender, any Affiliate of the assigning Lender or of another Lender or any Affiliated Fund of the assigning Lender or of another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funding obligations are assigned to such an Affiliate or such an Affiliated Fund, such Affiliate or Affiliated Fund, as applicable, shall have demonstrable resources to comply with such obligations) or, with the consent of the Borrower and the Administrative Agent and, in the case of any assignment of Revolving Credit Commitments, the written consent of the Issuing Lender and the Swing Line Lender (which, in the case of the Borrower, the Administrative Agent, the Issuing Lender and the Swing Line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280" w:right="239" w:bottom="1440" w:gutter="0" w:footer="0" w:header="0"/>
        </w:sectPr>
      </w:pPr>
    </w:p>
    <w:bookmarkStart w:id="213" w:name="page214"/>
    <w:bookmarkEnd w:id="213"/>
    <w:p>
      <w:pPr>
        <w:ind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shall not be unreasonably withheld, conditioned or delayed), to an additional bank, financial institution or other entity that is an Eligible Assignee (an “</w:t>
      </w:r>
      <w:r>
        <w:rPr>
          <w:rFonts w:ascii="Arial" w:cs="Arial" w:eastAsia="Arial" w:hAnsi="Arial"/>
          <w:sz w:val="15"/>
          <w:szCs w:val="15"/>
          <w:u w:val="single" w:color="auto"/>
          <w:color w:val="auto"/>
        </w:rPr>
        <w:t>Assignee</w:t>
      </w:r>
      <w:r>
        <w:rPr>
          <w:rFonts w:ascii="Arial" w:cs="Arial" w:eastAsia="Arial" w:hAnsi="Arial"/>
          <w:sz w:val="15"/>
          <w:szCs w:val="15"/>
          <w:color w:val="auto"/>
        </w:rPr>
        <w:t>”) all or any part of its rights and obligations under this Agreement pursuant to an assignment and acceptance agreement, substantially in the form of Exhibit E hereto or such other form as shall be approved by the Administrative Agent (such approval not to be unreasonably withheld) (an “</w:t>
      </w:r>
      <w:r>
        <w:rPr>
          <w:rFonts w:ascii="Arial" w:cs="Arial" w:eastAsia="Arial" w:hAnsi="Arial"/>
          <w:sz w:val="15"/>
          <w:szCs w:val="15"/>
          <w:u w:val="single" w:color="auto"/>
          <w:color w:val="auto"/>
        </w:rPr>
        <w:t>Assignment and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Acceptance</w:t>
      </w:r>
      <w:r>
        <w:rPr>
          <w:rFonts w:ascii="Arial" w:cs="Arial" w:eastAsia="Arial" w:hAnsi="Arial"/>
          <w:sz w:val="15"/>
          <w:szCs w:val="15"/>
          <w:color w:val="auto"/>
        </w:rPr>
        <w:t xml:space="preserve">”; provided, that to the extent approved by the Administrative Agent, an Assignment and Acceptance may be electronically executed and delivered to the Administrative Agent via an electronic settlement system then acceptable to the Administrative Agent, which shall initially be the settlement system of ClearPar, LLC),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w:t>
      </w:r>
      <w:r>
        <w:rPr>
          <w:rFonts w:ascii="Arial" w:cs="Arial" w:eastAsia="Arial" w:hAnsi="Arial"/>
          <w:sz w:val="15"/>
          <w:szCs w:val="15"/>
          <w:u w:val="single" w:color="auto"/>
          <w:color w:val="auto"/>
        </w:rPr>
        <w:t>provided</w:t>
      </w:r>
      <w:r>
        <w:rPr>
          <w:rFonts w:ascii="Arial" w:cs="Arial" w:eastAsia="Arial" w:hAnsi="Arial"/>
          <w:sz w:val="15"/>
          <w:szCs w:val="15"/>
          <w:color w:val="auto"/>
        </w:rPr>
        <w:t>, that no such assignment to an Assignee (other than any Lender or any Affiliate of the assigning Lender or of another Lender or Affiliated Fund of the assigning Lender or of another Lender) shall be in an aggregate principal amount of less than $5,000,000 with respect to Revolving Credit Commitments or $1,000,000 with respect to Term Loan Commitments, unless otherwise agreed by the Borrower and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that for purposes of the foregoing limitations only, any two or more funds that concurrently invest in Loans and are managed by the same investment advisor, or investment advisors that are Affiliates of one another, shall be treated as a single Assignee). Any such assignment need not be ratable as among the Facilities. Upon such execution, delivery, acceptance and recording, from and after the effective date determined pursuant to such Assignment and Acceptance,</w:t>
      </w:r>
    </w:p>
    <w:p>
      <w:pPr>
        <w:spacing w:after="0" w:line="3" w:lineRule="exact"/>
        <w:rPr>
          <w:sz w:val="20"/>
          <w:szCs w:val="20"/>
          <w:color w:val="auto"/>
        </w:rPr>
      </w:pPr>
    </w:p>
    <w:p>
      <w:pPr>
        <w:ind w:firstLine="8"/>
        <w:spacing w:after="0" w:line="287" w:lineRule="auto"/>
        <w:tabs>
          <w:tab w:leader="none" w:pos="24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Assignee thereunder shall be a party hereto and, to the extent provided in such Assignment and Acceptance, have the rights and obligations of a Lender hereunder with a Commitment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10.6(c), the consent of the Borrower shall not be required for any assignment that occurs at any time when any Event of Default shall have occurred and be continuing. Furthermore, to the extent necessary in order to achieve the Commitments and Term B Loan Extensions of Credit on the Amended and Restated Effective Date set forth on Annex B hereto in accordance with Section 5.4(a), the Lenders under the Original Credit Agreement immediately prior to the Amended and Restated Effective Date shall be deemed to have assigned their respective Commitments and Term B Loan Extensions of Credit in existence immediately prior to the Amended and Restated Effective Date to Lenders party to this Agreement immediately after satisfaction of Section 5.4(a), and in each case the Borrower consents to such assignments.</w:t>
      </w:r>
    </w:p>
    <w:p>
      <w:pPr>
        <w:spacing w:after="0" w:line="106" w:lineRule="exact"/>
        <w:rPr>
          <w:rFonts w:ascii="Arial" w:cs="Arial" w:eastAsia="Arial" w:hAnsi="Arial"/>
          <w:sz w:val="16"/>
          <w:szCs w:val="16"/>
          <w:color w:val="auto"/>
        </w:rPr>
      </w:pPr>
    </w:p>
    <w:p>
      <w:pPr>
        <w:ind w:right="60" w:firstLine="464"/>
        <w:spacing w:after="0" w:line="294" w:lineRule="auto"/>
        <w:tabs>
          <w:tab w:leader="none" w:pos="70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Administrative Agent shall, on behalf of the Borrower, maintain at its address referred to in Section 10.2 a copy of each Assignment and Acceptance delivered to it and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for the recordation of the names and addresses of the Lenders and the Commitment of, and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280" w:right="279" w:bottom="1440" w:gutter="0" w:footer="0" w:header="0"/>
        </w:sectPr>
      </w:pPr>
    </w:p>
    <w:bookmarkStart w:id="214" w:name="page215"/>
    <w:bookmarkEnd w:id="21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07" w:lineRule="exact"/>
        <w:rPr>
          <w:sz w:val="20"/>
          <w:szCs w:val="20"/>
          <w:color w:val="auto"/>
        </w:rPr>
      </w:pPr>
    </w:p>
    <w:p>
      <w:pPr>
        <w:ind w:firstLine="464"/>
        <w:spacing w:after="0" w:line="285"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Assignor and an Assignee (and, in any case where the consent of any other Person is required by Section 10.6(c), by each such other Person) together with payment by the Assignee or the Assignor to the Administrative Agent of a registration and processing fee of $3,500 (except that no such registration and processing fee shall be payable in the case of an Assignee 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Note, Term B Note and/or New Term Note, as the case may be, of the assigning Lender) a new Revolving Credit Note, Term B Note and/or New Term Note, as the case may be, to such Assignee or its registered assigns in an amount equal to the Revolving Credit Commitment, Term B Loan Commitment and/or New Term Loan Commitment, as the case may be, assumed or acquired by it pursuant to such Assignment and Acceptance and, if the Assignor has retained a Revolving Credit Commitment, Term B Loan Commitment and/or New Term Loan Commitment, as the case may be, upon request, a new Revolving Credit Note, Term B Note and/or New Term Note, as the case may be, to the Assignor or its registered assigns in an amount equal to the Revolving Credit Commitment, Term B Loan or Term B Loan Commitment and/or New Term Loan or New Term Loan Commitment, as the case may be, retained by it hereunder. Such new Note or Notes shall be in the form of the Note or Notes replaced thereby.</w:t>
      </w:r>
    </w:p>
    <w:p>
      <w:pPr>
        <w:spacing w:after="0" w:line="114" w:lineRule="exact"/>
        <w:rPr>
          <w:rFonts w:ascii="Arial" w:cs="Arial" w:eastAsia="Arial" w:hAnsi="Arial"/>
          <w:sz w:val="16"/>
          <w:szCs w:val="16"/>
          <w:color w:val="auto"/>
        </w:rPr>
      </w:pPr>
    </w:p>
    <w:p>
      <w:pPr>
        <w:jc w:val="both"/>
        <w:ind w:right="220" w:firstLine="464"/>
        <w:spacing w:after="0" w:line="306" w:lineRule="auto"/>
        <w:tabs>
          <w:tab w:leader="none" w:pos="67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 Set-off</w:t>
      </w:r>
      <w:r>
        <w:rPr>
          <w:rFonts w:ascii="Arial" w:cs="Arial" w:eastAsia="Arial" w:hAnsi="Arial"/>
          <w:sz w:val="16"/>
          <w:szCs w:val="16"/>
          <w:color w:val="auto"/>
        </w:rPr>
        <w:t>. (a) Except to the extent that this Agreement provides for payments to be allocated to a particular Lender or to the Lenders under a particular Facility, if any Lender (a “</w:t>
      </w:r>
      <w:r>
        <w:rPr>
          <w:rFonts w:ascii="Arial" w:cs="Arial" w:eastAsia="Arial" w:hAnsi="Arial"/>
          <w:sz w:val="16"/>
          <w:szCs w:val="16"/>
          <w:u w:val="single" w:color="auto"/>
          <w:color w:val="auto"/>
        </w:rPr>
        <w:t>Benefited Lender</w:t>
      </w:r>
      <w:r>
        <w:rPr>
          <w:rFonts w:ascii="Arial" w:cs="Arial" w:eastAsia="Arial" w:hAnsi="Arial"/>
          <w:sz w:val="16"/>
          <w:szCs w:val="16"/>
          <w:color w:val="auto"/>
        </w:rPr>
        <w:t>”) shall at any time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80" w:right="239" w:bottom="1440" w:gutter="0" w:footer="0" w:header="0"/>
        </w:sectPr>
      </w:pPr>
    </w:p>
    <w:bookmarkStart w:id="215" w:name="page216"/>
    <w:bookmarkEnd w:id="2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29" w:lineRule="exact"/>
        <w:rPr>
          <w:sz w:val="20"/>
          <w:szCs w:val="20"/>
          <w:color w:val="auto"/>
        </w:rPr>
      </w:pPr>
    </w:p>
    <w:p>
      <w:pPr>
        <w:ind w:right="120" w:firstLine="464"/>
        <w:spacing w:after="0" w:line="289" w:lineRule="auto"/>
        <w:tabs>
          <w:tab w:leader="none" w:pos="7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upon the occurrence and during the continuance of an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0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2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Integration</w:t>
      </w:r>
      <w:r>
        <w:rPr>
          <w:rFonts w:ascii="Arial" w:cs="Arial" w:eastAsia="Arial" w:hAnsi="Arial"/>
          <w:sz w:val="15"/>
          <w:szCs w:val="15"/>
          <w:color w:val="auto"/>
        </w:rPr>
        <w:t>. Other than the promises, undertakings, representations or warranties set forth in the Administrative Agent Fee Letter and the Facility Fee Letter, this Agreement and the other Loan Documents represent the agreement of the Borrower, the Agents, the Arrangers, the Managers, the Managing Agents and the Lenders with respect to the subject matter hereof, and there are no promises, undertakings, representations or warranties by any Arranger, any Manager, any Managing Agent, any Agent or any Lender relative to the subject matter hereof not expressly set forth or referred to herein or in the other Loan Documents.</w:t>
      </w:r>
    </w:p>
    <w:p>
      <w:pPr>
        <w:spacing w:after="0" w:line="7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RIGHTS AND OBLIGATIONS OF THE PARTIES UNDER THIS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SHALL BE GOVERNED BY, AND CONSTRUED AND INTERPRETED IN ACCORDANCE WITH,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80" w:right="239" w:bottom="1440" w:gutter="0" w:footer="0" w:header="0"/>
        </w:sectPr>
      </w:pPr>
    </w:p>
    <w:bookmarkStart w:id="216" w:name="page217"/>
    <w:bookmarkEnd w:id="216"/>
    <w:p>
      <w:pPr>
        <w:ind w:right="1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LAW OF THE STATE OF NEW YORK WITHOUT REGARD TO THE CONFLICT OF LAW RULES THEREOF OTHER THAN SECTIONS 5-1401 AND 5-1402 OF THE NEW YORK GENERAL OBLIGATIONS LAW.</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Borrower hereby irrevocably and unconditionally:</w:t>
      </w:r>
    </w:p>
    <w:p>
      <w:pPr>
        <w:spacing w:after="0" w:line="158" w:lineRule="exact"/>
        <w:rPr>
          <w:sz w:val="20"/>
          <w:szCs w:val="20"/>
          <w:color w:val="auto"/>
        </w:rPr>
      </w:pPr>
    </w:p>
    <w:p>
      <w:pPr>
        <w:ind w:right="60" w:firstLine="464"/>
        <w:spacing w:after="0" w:line="259"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26"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permitted by applicable law,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6" w:lineRule="exact"/>
        <w:rPr>
          <w:rFonts w:ascii="Arial" w:cs="Arial" w:eastAsia="Arial" w:hAnsi="Arial"/>
          <w:sz w:val="18"/>
          <w:szCs w:val="18"/>
          <w:color w:val="auto"/>
        </w:rPr>
      </w:pPr>
    </w:p>
    <w:p>
      <w:pPr>
        <w:ind w:right="200" w:firstLine="464"/>
        <w:spacing w:after="0" w:line="259"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26"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18"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punitive or consequential damages.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Certain Matters Affecting Lenders</w:t>
      </w:r>
      <w:r>
        <w:rPr>
          <w:rFonts w:ascii="Arial" w:cs="Arial" w:eastAsia="Arial" w:hAnsi="Arial"/>
          <w:sz w:val="16"/>
          <w:szCs w:val="16"/>
          <w:color w:val="auto"/>
        </w:rPr>
        <w:t>. (a) If (i) the Nevada Gaming Authorities shall determine that any Lender does not meet suitability standards prescribed under the Nevada Gaming Laws or (ii) any other gaming authority with jurisdiction over the gaming business of the Borrower shall determine that any Lender does not meet its suitability standards (in any such case, a “</w:t>
      </w:r>
      <w:r>
        <w:rPr>
          <w:rFonts w:ascii="Arial" w:cs="Arial" w:eastAsia="Arial" w:hAnsi="Arial"/>
          <w:sz w:val="16"/>
          <w:szCs w:val="16"/>
          <w:u w:val="single" w:color="auto"/>
          <w:color w:val="auto"/>
        </w:rPr>
        <w:t>Former Lender</w:t>
      </w:r>
      <w:r>
        <w:rPr>
          <w:rFonts w:ascii="Arial" w:cs="Arial" w:eastAsia="Arial" w:hAnsi="Arial"/>
          <w:sz w:val="16"/>
          <w:szCs w:val="16"/>
          <w:color w:val="auto"/>
        </w:rPr>
        <w:t>”), the Administrative Agent shall have the right (but not the duty) to designate bank(s) or other financial institution(s) (in each case, a “</w:t>
      </w:r>
      <w:r>
        <w:rPr>
          <w:rFonts w:ascii="Arial" w:cs="Arial" w:eastAsia="Arial" w:hAnsi="Arial"/>
          <w:sz w:val="16"/>
          <w:szCs w:val="16"/>
          <w:u w:val="single" w:color="auto"/>
          <w:color w:val="auto"/>
        </w:rPr>
        <w:t>Substitute Lender</w:t>
      </w:r>
      <w:r>
        <w:rPr>
          <w:rFonts w:ascii="Arial" w:cs="Arial" w:eastAsia="Arial" w:hAnsi="Arial"/>
          <w:sz w:val="16"/>
          <w:szCs w:val="16"/>
          <w:color w:val="auto"/>
        </w:rPr>
        <w:t>”) that agree to become a Substitute Lender and to assume the rights and obligations of the Former Lender, subject to receipt by the Administrative Agent of evidence that such Substitute Lender (if not a Lender or Lenders or Affiliated Fund of a Lender) is an Eligible Assignee. The Substitute Lender shall assume the rights and obligations of the Former Lender under this Agreement. The Borrower shall bear the reasonable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 establishment. In the event a Former Lender is replaced by a Substitute Lender in accordance with this Section 10.13(a), the Borrower and the Substitute Lender shall pay to the Former Lender (or the Administrative Agent pursuant to Section 10.6) all amounts that would have been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274" w:right="2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paid pursuant to Section 2.25 had such Former Lender been replaced in accordance with such provisions.</w:t>
      </w:r>
    </w:p>
    <w:p>
      <w:pPr>
        <w:spacing w:after="0" w:line="158" w:lineRule="exact"/>
        <w:rPr>
          <w:sz w:val="20"/>
          <w:szCs w:val="20"/>
          <w:color w:val="auto"/>
        </w:rPr>
      </w:pPr>
    </w:p>
    <w:p>
      <w:pPr>
        <w:ind w:firstLine="464"/>
        <w:spacing w:after="0" w:line="291" w:lineRule="auto"/>
        <w:tabs>
          <w:tab w:leader="none" w:pos="70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the provisions of subsection (a) of this Section 10.13, if any Lender becomes a Former Lender, and if the Administrative Agent fails to find a Substitute Lender pursuant to subsection (a) of this Section 10.13 within any time period specified by the appropriate gaming authority for the withdrawal of a Former Lender (the “</w:t>
      </w:r>
      <w:r>
        <w:rPr>
          <w:rFonts w:ascii="Arial" w:cs="Arial" w:eastAsia="Arial" w:hAnsi="Arial"/>
          <w:sz w:val="16"/>
          <w:szCs w:val="16"/>
          <w:u w:val="single" w:color="auto"/>
          <w:color w:val="auto"/>
        </w:rPr>
        <w:t>Withdrawal Period</w:t>
      </w:r>
      <w:r>
        <w:rPr>
          <w:rFonts w:ascii="Arial" w:cs="Arial" w:eastAsia="Arial" w:hAnsi="Arial"/>
          <w:sz w:val="16"/>
          <w:szCs w:val="16"/>
          <w:color w:val="auto"/>
        </w:rPr>
        <w:t>”), the Borrower shall immediately prepay in full the outstanding amount of all Revolving Extensions of Credit, Term B Loan Extensions of Credit and New Term Loan Extensions of Credit of such Former Lender, together with accrued interest thereon to the earlier of (x) the date of payment or (y) the last day of the applicable Withdrawal Period and any other amounts that would have been required to be paid to such Former Lender pursuant to Section 2.25 had such Former Lender been replaced in accordance with such provisions.</w:t>
      </w:r>
    </w:p>
    <w:p>
      <w:pPr>
        <w:spacing w:after="0" w:line="106" w:lineRule="exact"/>
        <w:rPr>
          <w:rFonts w:ascii="Arial" w:cs="Arial" w:eastAsia="Arial" w:hAnsi="Arial"/>
          <w:sz w:val="16"/>
          <w:szCs w:val="16"/>
          <w:color w:val="auto"/>
        </w:rPr>
      </w:pPr>
    </w:p>
    <w:p>
      <w:pPr>
        <w:ind w:right="420" w:firstLine="464"/>
        <w:spacing w:after="0" w:line="332" w:lineRule="auto"/>
        <w:tabs>
          <w:tab w:leader="none" w:pos="69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Upon the prepayment of all amounts owing to any Lender in accordance with this Section 10.13, such replaced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any rights of such Lender to indemnification hereunder shall survive as to such Lender.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Borrower hereby acknowledges that:</w:t>
      </w:r>
    </w:p>
    <w:p>
      <w:pPr>
        <w:spacing w:after="0" w:line="158" w:lineRule="exact"/>
        <w:rPr>
          <w:sz w:val="20"/>
          <w:szCs w:val="20"/>
          <w:color w:val="auto"/>
        </w:rPr>
      </w:pPr>
    </w:p>
    <w:p>
      <w:pPr>
        <w:ind w:left="700" w:hanging="236"/>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57" w:lineRule="exact"/>
        <w:rPr>
          <w:rFonts w:ascii="Arial" w:cs="Arial" w:eastAsia="Arial" w:hAnsi="Arial"/>
          <w:sz w:val="18"/>
          <w:szCs w:val="18"/>
          <w:color w:val="auto"/>
        </w:rPr>
      </w:pPr>
    </w:p>
    <w:p>
      <w:pPr>
        <w:ind w:right="260" w:firstLine="464"/>
        <w:spacing w:after="0" w:line="298" w:lineRule="auto"/>
        <w:tabs>
          <w:tab w:leader="none" w:pos="70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neither any Arranger, any Agent, any Manager, any Managing Agent nor any Lender has any fiduciary relationship with or duty to the Borrower, the Completion Guarantor or any other Loan Party arising out of or in connection with this Agreement or any of the other Loan Documents, and the relationship between the Arrangers, the Agents, the Managers, the Managing Agents and the Lenders, on one hand, and the Borrower, the Completion Guarantor and any other Loan Party, on the other hand, in connection herewith or therewith is solely that of debtor and creditor; and</w:t>
      </w:r>
    </w:p>
    <w:p>
      <w:pPr>
        <w:spacing w:after="0" w:line="99"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Arrangers, the Agents, the Managers, the Managing Agents and the Lenders or among the Borrower, the Completion Guarantor, the other Loan Parties and the Lenders.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Subject to Section 10.21, each of the Arrangers, the Agents, the Managers, the Managing Agents and the Lenders agrees to keep confidential all non-public information provided to it by any Loan Party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any Arranger, any Agent, any Manager, any Managing Agent or any Lender from disclosing any such information (a) to any Arranger, any Agent, any Manager, any Managing Agent, any other Lender or any affiliate of any thereof, (b) to any Participant or Assignee (each, a “</w:t>
      </w:r>
      <w:r>
        <w:rPr>
          <w:rFonts w:ascii="Arial" w:cs="Arial" w:eastAsia="Arial" w:hAnsi="Arial"/>
          <w:sz w:val="16"/>
          <w:szCs w:val="16"/>
          <w:u w:val="single" w:color="auto"/>
          <w:color w:val="auto"/>
        </w:rPr>
        <w:t>Transferee</w:t>
      </w:r>
      <w:r>
        <w:rPr>
          <w:rFonts w:ascii="Arial" w:cs="Arial" w:eastAsia="Arial" w:hAnsi="Arial"/>
          <w:sz w:val="16"/>
          <w:szCs w:val="16"/>
          <w:color w:val="auto"/>
        </w:rPr>
        <w:t>”) or prospective Transferee that agrees to comply with the provisions of this Section 10.15, (c) to any of its or its Affiliates’ employees, directors, agents, auditors, regulators, attorneys, accountants and other professional advisors (it being understood that the Persons to whom such disclosure is made will be informed of the confidential nature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280" w:right="259" w:bottom="1440" w:gutter="0" w:footer="0" w:header="0"/>
        </w:sectPr>
      </w:pPr>
    </w:p>
    <w:bookmarkStart w:id="218" w:name="page219"/>
    <w:bookmarkEnd w:id="218"/>
    <w:p>
      <w:pPr>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information and instructed to keep such information confidential in accordance with this Section 10.15),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10.15), (e) upon the request or demand of any Governmental Authority having jurisdiction over it or any of its affiliates, (f) in response to any order of any court or other Governmental Authority or as may otherwise be required pursuant to any Requirement of Law, (g) if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 In the event any confidential or non-public information is disclosed pursuant to clauses (e), (f) or (g) above, the applicable Arranger, Agent, Manager, Managing Agent or Lender, as the case may be, shall give the Borrower notice thereof.</w:t>
      </w:r>
    </w:p>
    <w:p>
      <w:pPr>
        <w:spacing w:after="0" w:line="10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Release of Collateral and Guarantee Obligations</w:t>
      </w:r>
      <w:r>
        <w:rPr>
          <w:rFonts w:ascii="Arial" w:cs="Arial" w:eastAsia="Arial" w:hAnsi="Arial"/>
          <w:sz w:val="16"/>
          <w:szCs w:val="16"/>
          <w:color w:val="auto"/>
        </w:rPr>
        <w:t xml:space="preserve">. Notwithstanding anything to the contrary contained herein or in any other Loan Document, upon request of the Borrower in connection with any Disposition of Property permitted by the Loan Documents,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if applicable, the appropriate Loan Party shall have delivered to the Administrative Agent, at least five Business Days prior to the date of the proposed release (or such shorter period as agreed to by the Administrative Agent),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 In addition, to the extent any such permitted Disposition includes a Disposition of Real Estate, the definitions, exhibits and schedules to this Agreement and any other Loan Document (including the Disbursement Agreement) related to descriptions of Real Estate shall be deemed amended to the extent necessary to reflect such Disposition. At such time as the Loans, the Reimbursement Obligations and the other Obligations (other than obligations under or in respect of Hedge Agreements) shall have been paid in full in cash, the Commitments have terminated and no Letters of Credit shall be outstanding which have not been cash collateralized to the satisfaction of the Issuing Lender, the Collateral shall be automatically released from the Liens created by the Security Documents for the benefit of the Secured Parties and the obligations (other than those expressly stated to survive such termination) of the Administrative Agent, the Collateral Agent and each Loan Party under the Security Documents, in each case incurred in connection with the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280" w:right="27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shall automatically terminate, all without delivery of any instrument or performance of any act by any Person.</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Accounting Terms and Changes</w:t>
      </w:r>
      <w:r>
        <w:rPr>
          <w:rFonts w:ascii="Arial" w:cs="Arial" w:eastAsia="Arial" w:hAnsi="Arial"/>
          <w:sz w:val="16"/>
          <w:szCs w:val="16"/>
          <w:color w:val="auto"/>
        </w:rPr>
        <w:t xml:space="preserve">. Financial statements and other information required to be delivered by the Borrower pursuant to Section 6.1 shall be prepared in accordance with GAAP as in effect at the time of such preparation;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calculations in connection with the definitions, covenants and other provisions of this Agreement shall continue to be calculated and determined on the basis of such principles in effect on the date hereof and consistent with those used in the preparation of the most recent audited financial statements delivered pursuant to Section 4.1, unless otherwise modified pursuant to this Section 10.17. In the event that any “Accounting Change” (as defined below) shall occur and such change results in a change in the method of calculation of definitions, covenants and other provisions of this Agreement, then the Borrower and the Administrative Agent 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 amendment shall have been executed and delivered by the Borrower, the Administrative Agent and the Required Lenders, all definitions, covenants and other provisions of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Construction</w:t>
      </w:r>
      <w:r>
        <w:rPr>
          <w:rFonts w:ascii="Arial" w:cs="Arial" w:eastAsia="Arial" w:hAnsi="Arial"/>
          <w:sz w:val="18"/>
          <w:szCs w:val="18"/>
          <w:color w:val="auto"/>
        </w:rPr>
        <w:t>.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2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THE BORROWER, THE ARRANGERS, THE AGENTS, THE MANAGERS AND THE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HEREBY IRREVOCABLY AND UNCONDITIONALLY WAIVE TRIAL BY JURY IN ANY LEGAL ACTION OR PROCEEDING RELATING TO THIS AGREEMENT OR ANY OTHER LOAN DOCUMENT AND FOR ANY COUNTERCLAIM THEREIN.</w:t>
      </w:r>
    </w:p>
    <w:p>
      <w:pPr>
        <w:spacing w:after="0" w:line="1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Gaming Authorities</w:t>
      </w:r>
      <w:r>
        <w:rPr>
          <w:rFonts w:ascii="Arial" w:cs="Arial" w:eastAsia="Arial" w:hAnsi="Arial"/>
          <w:sz w:val="18"/>
          <w:szCs w:val="18"/>
          <w:color w:val="auto"/>
        </w:rPr>
        <w:t>. The Arrangers, the Agents, the Managers, the Managing Agents and each Lender agree to cooperate with the Nevada Gaming Authorities in connection with the administration of their regulatory jurisdiction over Wynn Resorts, the Borrower and the other Loan Parties, including, without limitation, to the extent not inconsistent with the internal policies of such Lender, Arranger, Agent, Managing Agent or Manager and any applicable legal or regulatory restrictions, the provision of such documents or other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280" w:right="239" w:bottom="1440" w:gutter="0" w:footer="0" w:header="0"/>
        </w:sectPr>
      </w:pPr>
    </w:p>
    <w:bookmarkStart w:id="220" w:name="page221"/>
    <w:bookmarkEnd w:id="22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may be requested by any such Nevada Gaming Authorities relating to the Arrangers, the Agents, the Managers, the Managing Agents, any of the Lenders, Wynn Resorts or the Borrower or any other Loan Party, or the Loan Documents. Notwithstanding any other provision of this Agreement, the Borrower expressly authorizes, and will cause each other Loan Party to authorize, each Agent, Manager, Managing Agent, Arranger and Lender to cooperate with the Nevada Gaming Authorities as described above.</w:t>
      </w:r>
    </w:p>
    <w:p>
      <w:pPr>
        <w:spacing w:after="0" w:line="13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u w:val="single" w:color="auto"/>
          <w:color w:val="auto"/>
        </w:rPr>
        <w:t>Release of Golf Course Collateral</w:t>
      </w:r>
      <w:r>
        <w:rPr>
          <w:rFonts w:ascii="Arial" w:cs="Arial" w:eastAsia="Arial" w:hAnsi="Arial"/>
          <w:sz w:val="16"/>
          <w:szCs w:val="16"/>
          <w:color w:val="auto"/>
        </w:rPr>
        <w:t>. Upon the request of the Borrower made at such time as the conditions set forth in clauses (i) through (iv) of the proviso contained in clause (k) of Section 7.5 are satisfied and so long as not prohibited by the Financing Agreements, the Administrative Agent shall (or shall direct the Collateral Agent or other applicable Person to, in either case, without notice to or vote or consent of any Lender, or any affiliate of any Lender that is a party to any Specified Hedge Agreement) take such actions as shall be required to release its security interest in any Golf Course Collateral, and to release any guarantee obligations of Wynn Golf. In connection therewith, the Administrative Agent shall (or shall direct the Collateral Agent or other applicable Person to) execute and deliver to the applicable Loan Parties such documents and instruments, including UCC-3 termination statements, deeds of reconveyance and certificates of Capital Stock, all as may be reasonably requested by the Loan Parties to release the Liens granted for the benefit of the Secured Parties in the Golf Course Collateral and to effectuate the release of Wynn Golf’s guarantee of the Obligations. After the consummation of the actions set forth in this Section 10.22, Wynn Golf shall no longer be deemed a “Loan Party” for purposes of this Agreement or the other Loan Documents. As soon as is reasonably practicable after the release of the Golf Course Collateral in accordance with this Section 10.22, the Borrower shall (or shall cause the applicable Loan Parties to) Dispose of the Golf Course Collateral and/or distribute the Capital Stock of Wynn Golf to any Person other than Wynn Resorts Holdings or any other Loan Party (unless, in the case of Wynn Resorts Holdings or another Loan Party, such Person is acting as an intermediary for purposes of distributing the Capital Stock of Wynn Golf as otherwise so required).</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Binding Effect; Amendment and Restatement</w:t>
      </w:r>
      <w:r>
        <w:rPr>
          <w:rFonts w:ascii="Arial" w:cs="Arial" w:eastAsia="Arial" w:hAnsi="Arial"/>
          <w:sz w:val="18"/>
          <w:szCs w:val="18"/>
          <w:color w:val="auto"/>
        </w:rPr>
        <w:t>. (a) This Agreement shall become effective when it shall have been executed by each of the parties hereto and when the Administrative Agent shall have received counterparts hereof which, when taken together, bear the signatures of each of the other parties hereto.</w:t>
      </w:r>
    </w:p>
    <w:p>
      <w:pPr>
        <w:spacing w:after="0" w:line="127" w:lineRule="exact"/>
        <w:rPr>
          <w:sz w:val="20"/>
          <w:szCs w:val="20"/>
          <w:color w:val="auto"/>
        </w:rPr>
      </w:pPr>
    </w:p>
    <w:p>
      <w:pPr>
        <w:ind w:right="60" w:firstLine="464"/>
        <w:spacing w:after="0" w:line="255"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the Amended and Restated Effective Date, the Original Credit Agreement shall be amended and restated in its entirety by this Agreement and the Original Credit Agreement shall thereafter be of no further force and effect except to evidence the incurrence by the Borrowers of the “Obligations” under and as defined in the Original Credit Agreement (whether or not such “Obligations” are contingent as of the Amended and Restated Effective Date). This Agreement is not in any way intended to constitute a novation of the obligations and liabilities existing under the Original Credit Agreement or evidence payment of all or any portion of such obligations and liabilities.</w:t>
      </w:r>
    </w:p>
    <w:p>
      <w:pPr>
        <w:spacing w:after="0" w:line="129"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the foregoing or anything else contained in this Agreement or the other Loan Documents, to the extent any Default or Event of Default existed under the Original Credit Agreement (including any Potential Event of Default (as defined in the Disbursement Agreement) or Disbursement Agreement Event of Default under the Disbursement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280" w:right="259" w:bottom="1440" w:gutter="0" w:footer="0" w:header="0"/>
        </w:sectPr>
      </w:pPr>
    </w:p>
    <w:bookmarkStart w:id="221" w:name="page222"/>
    <w:bookmarkEnd w:id="2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immediately prior to the Amended and Restated Effective Date, whether as a result of the representations and warranties made by the Borrower and the other Loan Parties under the Original Credit Agreement or the other Loan Documents (including the Disbursement Agreement) prior to the Amended and Restated Effective Date or any action or omission performed or required to be performed pursuant to the Original Credit Agreement or the other Loan Documents (including the Disbursement Agreement) prior to the Amended and Restated Effective Date (including any failure, prior to the Amended and Restated Effective Date, to comply with the covenants contained in the Original Credit Agreement or the other Loan Documents (including the Disbursement Agreement)), such Defaults and/or Events of Default (including any Potential Event of Default (as defined in the Disbursement Agreement) or Disbursement Agreement Event of Default under the Disbursement Agreement) are hereby permanently waived for all purposes under the Credit Agreement, the Disbursement Agreement and any other Loan Document (it being understood that the foregoing shall not relieve the Borrower, the other Loan Parties or such other Persons from complying with their respective obligations under the Loan Documents from and after the Amended and Restated Effective Date, including with respect to matters that were waived pursuant to this clause (c) but otherwise create Defaults or Events of Defaults under the provisions of the Loan Documents after the Amended and Restated Effective Date).</w:t>
      </w:r>
    </w:p>
    <w:p>
      <w:pPr>
        <w:spacing w:after="0" w:line="114" w:lineRule="exact"/>
        <w:rPr>
          <w:sz w:val="20"/>
          <w:szCs w:val="20"/>
          <w:color w:val="auto"/>
        </w:rPr>
      </w:pPr>
    </w:p>
    <w:p>
      <w:pPr>
        <w:ind w:right="20" w:firstLine="464"/>
        <w:spacing w:after="0" w:line="254"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On and after the Amended and Restated Effective Date, (i) all references to the Original Credit Agreement in the Loan Documents (other than this Agreement) shall be deemed to refer to the Original Credit Agreement, as amended and restated hereby, (ii) all references to any section (or subsection) of the Original Credit Agreement in any Loan Document (but not herein) shall be amended to become, </w:t>
      </w:r>
      <w:r>
        <w:rPr>
          <w:rFonts w:ascii="Arial" w:cs="Arial" w:eastAsia="Arial" w:hAnsi="Arial"/>
          <w:sz w:val="18"/>
          <w:szCs w:val="18"/>
          <w:i w:val="1"/>
          <w:iCs w:val="1"/>
          <w:color w:val="auto"/>
        </w:rPr>
        <w:t>mutatis mutandis</w:t>
      </w:r>
      <w:r>
        <w:rPr>
          <w:rFonts w:ascii="Arial" w:cs="Arial" w:eastAsia="Arial" w:hAnsi="Arial"/>
          <w:sz w:val="18"/>
          <w:szCs w:val="18"/>
          <w:color w:val="auto"/>
        </w:rPr>
        <w:t>, references to the corresponding provisions of this Agreement and (iii) except as the context otherwise provides, on or after the Amended and Restated Effective Date, all references to this Agreement herein (including for purposes of indemnification and reimbursement of fees) shall be deemed to be reference to the Original Credit Agreement as amended and restated hereby.</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amendment and restatement is limited as written and is not a consent to any other amendment, restatement or waiver or other modification, whether or not similar and, except as expressly provided herein or in any other Loan Document, all terms and conditions of the Loans Documents remain in full force and effect unless otherwise specifically amended hereby or by any other Loan Document.</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Transfer of Golf Course Land to the Borrower</w:t>
      </w:r>
      <w:r>
        <w:rPr>
          <w:rFonts w:ascii="Arial" w:cs="Arial" w:eastAsia="Arial" w:hAnsi="Arial"/>
          <w:sz w:val="18"/>
          <w:szCs w:val="18"/>
          <w:color w:val="auto"/>
        </w:rPr>
        <w:t>. In the event Wynn Golf Disposes of a portion or portions of the Golf Course Land to the Borrower in accordance with Section 7.5(o), such transferred land shall thereafter no longer be deemed “Golf Course Land” and, in furtherance thereof, and subject to the Borrower taking all actions required pursuant to Section 6.10 with respect to such transferred land upon the consummation of such Disposition, (x) the Golf Course Lease shall be amended to exclude any such transferred land and (y) each of the Borrower Mortgage and the Wynn Golf Mortgage shall be amended to reflect such transfer (subject in the case of the amendments described in this clause (y) to the Administrative Agent receiving appropriate endorsements or supplements, or a commitment to issue such endorsements or supplements, in either case in form and substance reasonably satisfactory to the Administrative Agent, ensuring the Lenders that such amendments do not adversely affect the Lenders’ title and extended coverage insurance contained in the Title Policy in any material</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280" w:right="279" w:bottom="1440" w:gutter="0" w:footer="0" w:header="0"/>
        </w:sectPr>
      </w:pPr>
    </w:p>
    <w:bookmarkStart w:id="222" w:name="page223"/>
    <w:bookmarkEnd w:id="2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in each case pursuant to documentation in form and substance reasonably satisfactory to the Administrative Agent. Additionally, Section 7.28 shall not apply to any such Disposition. The Administrative Agent and/or the Collateral Agent shall be authorized to execute any documentation necessary or appropriate to effectuate the foregoing (including, without limitation, amendments to the Loan Documents to reflect the above described amendments of the Mortgages) without further consent or action by the Lenders.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Subject to the following sentence, this Agreement is entered into for the benefit of the parties hereto only and no other party shall be entitled to enforce any provision hereof or otherwise be a third party beneficiary hereunder. Notwithstanding the foregoing, the Collateral Agent, the Disbursement Agent and the Securities Intermediary shall be deemed third party beneficiaries under Section 9 and 10.5 only and shall be entitled to enforce such provisions to the extent applicable to such Persons.</w:t>
      </w:r>
    </w:p>
    <w:p>
      <w:pPr>
        <w:spacing w:after="0" w:line="13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Patriot Act</w:t>
      </w:r>
      <w:r>
        <w:rPr>
          <w:rFonts w:ascii="Arial" w:cs="Arial" w:eastAsia="Arial" w:hAnsi="Arial"/>
          <w:sz w:val="18"/>
          <w:szCs w:val="18"/>
          <w:color w:val="auto"/>
        </w:rPr>
        <w: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60"/>
          </w:cols>
          <w:pgMar w:left="240" w:top="280" w:right="399" w:bottom="1440" w:gutter="0" w:footer="0" w:header="0"/>
        </w:sectPr>
      </w:pPr>
    </w:p>
    <w:bookmarkStart w:id="223" w:name="page224"/>
    <w:bookmarkEnd w:id="223"/>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 as the Borrower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a Nevada limited liability company, its sole member</w:t>
      </w:r>
    </w:p>
    <w:p>
      <w:pPr>
        <w:spacing w:after="0" w:line="24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By: Wynn Resorts, Limited, a Nevada corporation, its sole</w:t>
      </w:r>
    </w:p>
    <w:p>
      <w:pPr>
        <w:spacing w:after="0" w:line="3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member</w:t>
      </w:r>
    </w:p>
    <w:p>
      <w:pPr>
        <w:spacing w:after="0" w:line="219" w:lineRule="exact"/>
        <w:rPr>
          <w:sz w:val="20"/>
          <w:szCs w:val="20"/>
          <w:color w:val="auto"/>
        </w:rPr>
      </w:pPr>
    </w:p>
    <w:tbl>
      <w:tblPr>
        <w:tblLayout w:type="fixed"/>
        <w:tblInd w:w="75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J. Kramer</w:t>
            </w:r>
          </w:p>
        </w:tc>
      </w:tr>
      <w:tr>
        <w:trPr>
          <w:trHeight w:val="201"/>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3320" w:type="dxa"/>
            <w:vAlign w:val="bottom"/>
          </w:tcPr>
          <w:p>
            <w:pPr>
              <w:ind w:left="40"/>
              <w:spacing w:after="0" w:line="201" w:lineRule="exact"/>
              <w:rPr>
                <w:sz w:val="20"/>
                <w:szCs w:val="20"/>
                <w:color w:val="auto"/>
              </w:rPr>
            </w:pPr>
            <w:r>
              <w:rPr>
                <w:rFonts w:ascii="Arial" w:cs="Arial" w:eastAsia="Arial" w:hAnsi="Arial"/>
                <w:sz w:val="18"/>
                <w:szCs w:val="18"/>
                <w:color w:val="auto"/>
              </w:rPr>
              <w:t>Ronald J. Kramer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280" w:right="239" w:bottom="1440" w:gutter="0" w:footer="0" w:header="0"/>
        </w:sectPr>
      </w:pPr>
    </w:p>
    <w:bookmarkStart w:id="224" w:name="page225"/>
    <w:bookmarkEnd w:id="2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SECURITIES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Lead Arranger and Joint Book Running Manager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Steven P.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P. Papham</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Paul M. Whyte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M. Whyte</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Administrative Agent, Issuing Lender and Swing Line Lender</w:t>
      </w:r>
    </w:p>
    <w:p>
      <w:pPr>
        <w:spacing w:after="0" w:line="24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Brenda Casey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Steven P.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P. Papham</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0200"/>
          </w:cols>
          <w:pgMar w:left="1440" w:top="280" w:right="25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 OF AMERICA SECURITIES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Lead Arranger and Joint Book Running Manager</w:t>
      </w:r>
    </w:p>
    <w:p>
      <w:pPr>
        <w:spacing w:after="0" w:line="253"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Don Benningfield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 Benningfield</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Syndication Agent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Jeff Susman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Jeff Susman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Arranger and Joint Book Running Manager</w:t>
      </w:r>
    </w:p>
    <w:p>
      <w:pPr>
        <w:spacing w:after="0" w:line="24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Richard Bram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Bram Smith</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BEAR STEARNS CORPORATE LENDING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Documentation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Victor F. Bulzacchelli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Victor F. Bulzacchelli</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Arranger and Joint Book Running Manager</w:t>
      </w:r>
    </w:p>
    <w:p>
      <w:pPr>
        <w:spacing w:after="0" w:line="25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Glenn A. Carlin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Glenn A. Carlin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Documentation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Donald Shokrian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Shokrian</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SG AMERICAS SECURITIES,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Arranger and Joint Book Running Manager</w:t>
      </w:r>
    </w:p>
    <w:p>
      <w:pPr>
        <w:spacing w:after="0" w:line="25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Jan B. Lochtenberg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Jan B. Lochtenberg</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300"/>
          </w:cols>
          <w:pgMar w:left="1440" w:top="280" w:right="115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SOCIETE GENERALE,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Documentation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Patricia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Patricia Wright</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SCOTLAND,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Managing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Joseph Fratus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Joseph Fratus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First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HSH NORDBANK AG,</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Managing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Lopez</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Carmine Abbate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Carmine Abbate</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ROYAL BANK OF SCOTLAND PLC,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Managing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David 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Apps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WACHOVIA BANK,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Managing Agent</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G. Lee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 Lee Wagner, Jr.</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9019"/>
          </w:cols>
          <w:pgMar w:left="1440" w:top="280"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MASTER DISBURSEMENT AGREEMENT</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FOURTH AMENDMENT TO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August 15, 2006,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Master Disbursement Agreement, dated as of December 14, 2004 (as amended by that certain First Amendment to Master Disbursement Agreement, dated as of April 26, 2005, as amended by that certain Second Amendment to Master Disbursement Agreement, dated as of June 29, 2005, as amended by that certain Third Amendment to Master Disbursement Agreement, dated as of March 15, 2006,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U.S. Bank National Association, as the indenture trustee (the “</w:t>
      </w:r>
      <w:r>
        <w:rPr>
          <w:rFonts w:ascii="Arial" w:cs="Arial" w:eastAsia="Arial" w:hAnsi="Arial"/>
          <w:sz w:val="16"/>
          <w:szCs w:val="16"/>
          <w:u w:val="single" w:color="auto"/>
          <w:color w:val="auto"/>
        </w:rPr>
        <w:t>Indenture Trustee</w:t>
      </w:r>
      <w:r>
        <w:rPr>
          <w:rFonts w:ascii="Arial" w:cs="Arial" w:eastAsia="Arial" w:hAnsi="Arial"/>
          <w:sz w:val="16"/>
          <w:szCs w:val="16"/>
          <w:color w:val="auto"/>
        </w:rPr>
        <w:t>”), and the Disbursement Agent. The defined terms used herein and not otherwise defined herein shall have the meanings given in the Disbursement Agreement.</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Right to Amend Disbursement Agreement Without Consent of Indenture Trustee</w:t>
      </w:r>
      <w:r>
        <w:rPr>
          <w:rFonts w:ascii="Arial" w:cs="Arial" w:eastAsia="Arial" w:hAnsi="Arial"/>
          <w:sz w:val="18"/>
          <w:szCs w:val="18"/>
          <w:color w:val="auto"/>
        </w:rPr>
        <w:t>. The Bank Agent, the Disbursement Agent and the Company have the right to amend the Disbursement Agreement as set forth herein without the Indenture Trustee’s consent.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desire to amend the Disbursement Agreement to reflect certain agreements of the parties hereto, all as more particularly set forth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18" w:lineRule="exact"/>
        <w:rPr>
          <w:sz w:val="20"/>
          <w:szCs w:val="20"/>
          <w:color w:val="auto"/>
        </w:rPr>
      </w:pPr>
    </w:p>
    <w:p>
      <w:pPr>
        <w:ind w:left="640" w:hanging="17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Exhibit A</w:t>
      </w:r>
      <w:r>
        <w:rPr>
          <w:rFonts w:ascii="Arial" w:cs="Arial" w:eastAsia="Arial" w:hAnsi="Arial"/>
          <w:sz w:val="18"/>
          <w:szCs w:val="18"/>
          <w:color w:val="auto"/>
        </w:rPr>
        <w:t>. Exhibit A to the Disbursement Agreement is hereby amended by:</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Deleting the definition of “Amendment Date” in its entirety and replacing it with the following:</w:t>
      </w:r>
    </w:p>
    <w:p>
      <w:pPr>
        <w:sectPr>
          <w:pgSz w:w="11900" w:h="16838" w:orient="portrait"/>
          <w:cols w:equalWidth="0" w:num="1">
            <w:col w:w="11420"/>
          </w:cols>
          <w:pgMar w:left="240" w:top="125" w:right="239" w:bottom="1440" w:gutter="0" w:footer="0" w:header="0"/>
        </w:sectPr>
      </w:pPr>
    </w:p>
    <w:bookmarkStart w:id="228" w:name="page229"/>
    <w:bookmarkEnd w:id="22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Date” means March 15, 2006.”</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 Deleting the definition of “Bank Credit Agreement” in its entirety and replacing it with the following:</w:t>
      </w:r>
    </w:p>
    <w:p>
      <w:pPr>
        <w:spacing w:after="0" w:line="77" w:lineRule="exact"/>
        <w:rPr>
          <w:sz w:val="20"/>
          <w:szCs w:val="20"/>
          <w:color w:val="auto"/>
        </w:rPr>
      </w:pPr>
    </w:p>
    <w:p>
      <w:pPr>
        <w:ind w:firstLine="420"/>
        <w:spacing w:after="0" w:line="290" w:lineRule="auto"/>
        <w:rPr>
          <w:sz w:val="20"/>
          <w:szCs w:val="20"/>
          <w:color w:val="auto"/>
        </w:rPr>
      </w:pPr>
      <w:r>
        <w:rPr>
          <w:rFonts w:ascii="Arial" w:cs="Arial" w:eastAsia="Arial" w:hAnsi="Arial"/>
          <w:sz w:val="16"/>
          <w:szCs w:val="16"/>
          <w:color w:val="auto"/>
        </w:rPr>
        <w:t>“Bank Credit Agreement” means that certain Credit Agreement, dated as of December 14, 2004, among the Company, the Bank Agent, Deutsche Bank Securities Inc., as lead arranger and joint book-running manager, Bank of America, N.A., as syndication agent, Banc of America Securities LLC, as joint book-running manager, Bear Stearns Corporate Lending, Inc., as joint documentation agent, Bear, Stearns &amp; Co. Inc., as arranger and joint book-running manager, JPMorgan Chase Bank, N.A., as joint documentation agent, J.P. Morgan, Securities Inc., as arranger and joint book-running manager, Societe Generale, as joint documentation agent, SG Americas Securities, LLC, as arranger and joint book-running manager, and the Bank Lenders, as amended and restated by that certain Amended and Restated Credit Agreement, dated as of August 15, 2006, and as further amended, amended and restated, supplemented or otherwise modified from time to time, or any permitted refinancings thereof.”</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 Deleting the definition of “Disbursement Agreement” in its entirety and replacing it with the following:</w:t>
      </w:r>
    </w:p>
    <w:p>
      <w:pPr>
        <w:spacing w:after="0" w:line="77" w:lineRule="exact"/>
        <w:rPr>
          <w:sz w:val="20"/>
          <w:szCs w:val="20"/>
          <w:color w:val="auto"/>
        </w:rPr>
      </w:pPr>
    </w:p>
    <w:p>
      <w:pPr>
        <w:ind w:right="40" w:firstLine="420"/>
        <w:spacing w:after="0" w:line="291" w:lineRule="auto"/>
        <w:rPr>
          <w:sz w:val="20"/>
          <w:szCs w:val="20"/>
          <w:color w:val="auto"/>
        </w:rPr>
      </w:pPr>
      <w:r>
        <w:rPr>
          <w:rFonts w:ascii="Arial" w:cs="Arial" w:eastAsia="Arial" w:hAnsi="Arial"/>
          <w:sz w:val="16"/>
          <w:szCs w:val="16"/>
          <w:color w:val="auto"/>
        </w:rPr>
        <w:t>“Disbursement Agreement” means that certain Master Disbursement Agreement, dated as of December 14, 2004, among the Company, the Bank Agent, the 2014 Notes Indenture Trustee and the Disbursement Agent, as amended by that certain First Amendment to Master Disbursement Agreement, dated as of April 26, 2005, as amended by that certain Second Amendment to Master Disbursement Agreement, dated as of June 29, 2005, as amended by that certain Third Amendment to Master Disbursement Agreement, dated as of March 15, 2006, as amended by that certain Fourth Amendment to Master Disbursement Agreement, dated as of August 15, 2006, and as further amended, amended and restated, supplemented or otherwise modified from time to time.”</w:t>
      </w:r>
    </w:p>
    <w:p>
      <w:pPr>
        <w:spacing w:after="0" w:line="26" w:lineRule="exact"/>
        <w:rPr>
          <w:sz w:val="20"/>
          <w:szCs w:val="20"/>
          <w:color w:val="auto"/>
        </w:rPr>
      </w:pPr>
    </w:p>
    <w:p>
      <w:pPr>
        <w:ind w:right="240" w:firstLine="421"/>
        <w:spacing w:after="0" w:line="268" w:lineRule="auto"/>
        <w:tabs>
          <w:tab w:leader="none" w:pos="71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Deleting the definition of “Phase I Excess Cash Flow Credit Amount” in its entirety and inserting the following definition immediately prior to the definition of “Exhausted”:</w:t>
      </w:r>
    </w:p>
    <w:p>
      <w:pPr>
        <w:spacing w:after="0" w:line="37" w:lineRule="exact"/>
        <w:rPr>
          <w:sz w:val="20"/>
          <w:szCs w:val="20"/>
          <w:color w:val="auto"/>
        </w:rPr>
      </w:pPr>
    </w:p>
    <w:p>
      <w:pPr>
        <w:ind w:right="20" w:firstLine="420"/>
        <w:spacing w:after="0" w:line="290" w:lineRule="auto"/>
        <w:rPr>
          <w:sz w:val="20"/>
          <w:szCs w:val="20"/>
          <w:color w:val="auto"/>
        </w:rPr>
      </w:pPr>
      <w:r>
        <w:rPr>
          <w:rFonts w:ascii="Arial" w:cs="Arial" w:eastAsia="Arial" w:hAnsi="Arial"/>
          <w:sz w:val="16"/>
          <w:szCs w:val="16"/>
          <w:color w:val="auto"/>
        </w:rPr>
        <w:t xml:space="preserve">“Excess Cash Flow Credit Amount” means, at any given time from and after the Phase II Approval Date, the sum of (1) the sum of all dollar amounts included under the column “Excess Cash Flow” for the then-current calendar quarter and all ensuing calendar quarters (or any portion thereof) prior to the Phase II Scheduled Opening Date included in the Projected Excess Cash Flow Schedule,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lesser of: (x) the sum of all dollar amounts included under the column “Excess Cash Flow” from the calendar quarter (or portion thereof) occurring from and after the Phase II Scheduled Opening Date and all ensuing calendar quarters prior to the then-anticipated Phase II Project Final Completion Date included in the Projected Excess Cash Flow Schedule and (y) the Remaining Costs with respect to the Phase II Project then anticipated to become due and payable from and after the Phase II Scheduled Opening Date.</w:t>
      </w:r>
    </w:p>
    <w:p>
      <w:pPr>
        <w:spacing w:after="0" w:line="10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0"/>
          </w:cols>
          <w:pgMar w:left="1160" w:top="280" w:right="299" w:bottom="1440" w:gutter="0" w:footer="0" w:header="0"/>
        </w:sectPr>
      </w:pPr>
    </w:p>
    <w:bookmarkStart w:id="229" w:name="page230"/>
    <w:bookmarkEnd w:id="229"/>
    <w:p>
      <w:pPr>
        <w:ind w:left="460"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required, the Excess Cash Flow attributable to any calendar quarter shall be pro-rated based on the number of days in such quarter (subject, if necessary, to adjustment to reflect whether the Phase II Opening Date has occurred at such time)”.</w:t>
      </w:r>
    </w:p>
    <w:p>
      <w:pPr>
        <w:spacing w:after="0" w:line="72" w:lineRule="exact"/>
        <w:rPr>
          <w:sz w:val="20"/>
          <w:szCs w:val="20"/>
          <w:color w:val="auto"/>
        </w:rPr>
      </w:pPr>
    </w:p>
    <w:p>
      <w:pPr>
        <w:ind w:left="460" w:right="380" w:firstLine="421"/>
        <w:spacing w:after="0" w:line="268" w:lineRule="auto"/>
        <w:tabs>
          <w:tab w:leader="none" w:pos="112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Deleting the definition of “Phase I Projected Cash Flow” in its entirety and inserting the following definition immediately prior to the definition of “Project Intended Uses”:</w:t>
      </w:r>
    </w:p>
    <w:p>
      <w:pPr>
        <w:spacing w:after="0" w:line="118" w:lineRule="exact"/>
        <w:rPr>
          <w:sz w:val="20"/>
          <w:szCs w:val="20"/>
          <w:color w:val="auto"/>
        </w:rPr>
      </w:pPr>
    </w:p>
    <w:p>
      <w:pPr>
        <w:ind w:left="460" w:right="160" w:firstLine="420"/>
        <w:spacing w:after="0" w:line="294" w:lineRule="auto"/>
        <w:rPr>
          <w:sz w:val="20"/>
          <w:szCs w:val="20"/>
          <w:color w:val="auto"/>
        </w:rPr>
      </w:pPr>
      <w:r>
        <w:rPr>
          <w:rFonts w:ascii="Arial" w:cs="Arial" w:eastAsia="Arial" w:hAnsi="Arial"/>
          <w:sz w:val="16"/>
          <w:szCs w:val="16"/>
          <w:color w:val="auto"/>
        </w:rPr>
        <w:t xml:space="preserve">“Projected Excess Cash Flow Schedule” means the schedule of projected “Excess Cash Flow” (as such term is defined in the Bank Credit Agreement) reasonably anticipated by the Company to be generated by operation of the Projects from and after the Phase I Opening Date until the Phase II Project Final Completion Date delivered pursuant to paragraph 2 of that certain Fourth Amendment to Master Disbursement Agreement, dated as of August 15, 2006, by and among the Company, the Bank Agent and the Disbursement Agent, and any subsequent or revised schedule adopted as provided in </w:t>
      </w:r>
      <w:r>
        <w:rPr>
          <w:rFonts w:ascii="Arial" w:cs="Arial" w:eastAsia="Arial" w:hAnsi="Arial"/>
          <w:sz w:val="16"/>
          <w:szCs w:val="16"/>
          <w:u w:val="single" w:color="auto"/>
          <w:color w:val="auto"/>
        </w:rPr>
        <w:t>Section 5.1.4(b)</w:t>
      </w:r>
      <w:r>
        <w:rPr>
          <w:rFonts w:ascii="Arial" w:cs="Arial" w:eastAsia="Arial" w:hAnsi="Arial"/>
          <w:sz w:val="16"/>
          <w:szCs w:val="16"/>
          <w:color w:val="auto"/>
        </w:rPr>
        <w:t xml:space="preserve"> of the Disbursement Agreement.”</w:t>
      </w:r>
    </w:p>
    <w:p>
      <w:pPr>
        <w:spacing w:after="0" w:line="21" w:lineRule="exact"/>
        <w:rPr>
          <w:sz w:val="20"/>
          <w:szCs w:val="20"/>
          <w:color w:val="auto"/>
        </w:rPr>
      </w:pPr>
    </w:p>
    <w:p>
      <w:pPr>
        <w:ind w:left="880" w:right="2080" w:firstLine="1"/>
        <w:spacing w:after="0" w:line="328" w:lineRule="auto"/>
        <w:tabs>
          <w:tab w:leader="none" w:pos="11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Inserting the following definition immediately prior to the definition of “Required Scope Change Approval”: “Required Lenders” has the meaning given in the Bank Credit Agreement.”</w:t>
      </w:r>
    </w:p>
    <w:p>
      <w:pPr>
        <w:spacing w:after="0" w:line="1" w:lineRule="exact"/>
        <w:rPr>
          <w:rFonts w:ascii="Arial" w:cs="Arial" w:eastAsia="Arial" w:hAnsi="Arial"/>
          <w:sz w:val="18"/>
          <w:szCs w:val="18"/>
          <w:color w:val="auto"/>
        </w:rPr>
      </w:pPr>
    </w:p>
    <w:p>
      <w:pPr>
        <w:ind w:left="1220" w:hanging="339"/>
        <w:spacing w:after="0"/>
        <w:tabs>
          <w:tab w:leader="none" w:pos="1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Deleting paragraph 8 under “Rules of Interpretation” in its entirety and replacing it with the following:</w:t>
      </w:r>
    </w:p>
    <w:p>
      <w:pPr>
        <w:spacing w:after="0" w:line="77" w:lineRule="exact"/>
        <w:rPr>
          <w:sz w:val="20"/>
          <w:szCs w:val="20"/>
          <w:color w:val="auto"/>
        </w:rPr>
      </w:pPr>
    </w:p>
    <w:p>
      <w:pPr>
        <w:ind w:left="460" w:right="100" w:firstLine="420"/>
        <w:spacing w:after="0" w:line="323" w:lineRule="auto"/>
        <w:rPr>
          <w:sz w:val="20"/>
          <w:szCs w:val="20"/>
          <w:color w:val="auto"/>
        </w:rPr>
      </w:pPr>
      <w:r>
        <w:rPr>
          <w:rFonts w:ascii="Arial" w:cs="Arial" w:eastAsia="Arial" w:hAnsi="Arial"/>
          <w:sz w:val="15"/>
          <w:szCs w:val="15"/>
          <w:color w:val="auto"/>
        </w:rPr>
        <w:t>“Unless expressly described to the contrary, references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amended and restated, supplemented or otherwise modified (or reaffirmed by any reaffirmation agreement or other agreement) from time to time and in effect at the time of determination.”</w:t>
      </w:r>
    </w:p>
    <w:p>
      <w:pPr>
        <w:spacing w:after="0" w:line="3"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Exhibit L to the Disbursement Agreement is hereby amended by deleting the text thereof in its entirety and replacing such text with the text set forth on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hereto.</w:t>
      </w:r>
    </w:p>
    <w:p>
      <w:pPr>
        <w:spacing w:after="0" w:line="37"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Certain Terms</w:t>
      </w:r>
      <w:r>
        <w:rPr>
          <w:rFonts w:ascii="Arial" w:cs="Arial" w:eastAsia="Arial" w:hAnsi="Arial"/>
          <w:sz w:val="16"/>
          <w:szCs w:val="16"/>
          <w:color w:val="auto"/>
        </w:rPr>
        <w:t xml:space="preserve">. The Disbursement Agreement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Disbursement Agreement are hereby amended by deleting the terms “Phase I Excess Cash Flow Credit Amount” and “Phase I Projected Excess Cash Flow Schedule” wherever such terms appear therein and replacing such terms with the terms “Excess Cash Flow Credit Amount” and “Projected Excess Cash Flow Schedule”, respectively.</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230" w:name="page231"/>
    <w:bookmarkEnd w:id="230"/>
    <w:p>
      <w:pPr>
        <w:ind w:right="2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w:t>
      </w:r>
      <w:r>
        <w:rPr>
          <w:rFonts w:ascii="Arial" w:cs="Arial" w:eastAsia="Arial" w:hAnsi="Arial"/>
          <w:sz w:val="18"/>
          <w:szCs w:val="18"/>
          <w:u w:val="single" w:color="auto"/>
          <w:color w:val="auto"/>
        </w:rPr>
        <w:t>Section 2.2.7</w:t>
      </w:r>
      <w:r>
        <w:rPr>
          <w:rFonts w:ascii="Arial" w:cs="Arial" w:eastAsia="Arial" w:hAnsi="Arial"/>
          <w:sz w:val="18"/>
          <w:szCs w:val="18"/>
          <w:color w:val="auto"/>
        </w:rPr>
        <w:t>. Section 2.2.7 of the Disbursement Agreement is hereby amended by deleting the words “</w:t>
      </w:r>
      <w:r>
        <w:rPr>
          <w:rFonts w:ascii="Arial" w:cs="Arial" w:eastAsia="Arial" w:hAnsi="Arial"/>
          <w:sz w:val="18"/>
          <w:szCs w:val="18"/>
          <w:u w:val="single" w:color="auto"/>
          <w:color w:val="auto"/>
        </w:rPr>
        <w:t>Section 5.1.4</w:t>
      </w:r>
      <w:r>
        <w:rPr>
          <w:rFonts w:ascii="Arial" w:cs="Arial" w:eastAsia="Arial" w:hAnsi="Arial"/>
          <w:sz w:val="18"/>
          <w:szCs w:val="18"/>
          <w:color w:val="auto"/>
        </w:rPr>
        <w:t>” where they appear therein and replacing such words with the words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3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Section 3.2.25</w:t>
      </w:r>
      <w:r>
        <w:rPr>
          <w:rFonts w:ascii="Arial" w:cs="Arial" w:eastAsia="Arial" w:hAnsi="Arial"/>
          <w:sz w:val="18"/>
          <w:szCs w:val="18"/>
          <w:color w:val="auto"/>
        </w:rPr>
        <w:t>. Section 3.2.25 of the Disbursement Agreement is hereby amended by replacing the words “One Hundred Fifty Million Dollars ($150,000,000)” with the words “Three Hundred Million Dollars ($300,000,000)”.</w:t>
      </w:r>
    </w:p>
    <w:p>
      <w:pPr>
        <w:spacing w:after="0" w:line="3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Article 4</w:t>
      </w:r>
      <w:r>
        <w:rPr>
          <w:rFonts w:ascii="Arial" w:cs="Arial" w:eastAsia="Arial" w:hAnsi="Arial"/>
          <w:sz w:val="18"/>
          <w:szCs w:val="18"/>
          <w:color w:val="auto"/>
        </w:rPr>
        <w:t>. Article 4 of the Disbursement Agreement is hereby amended by deleting the first paragraph there of in its entirety and replacing it with the following:</w:t>
      </w:r>
    </w:p>
    <w:p>
      <w:pPr>
        <w:spacing w:after="0" w:line="37" w:lineRule="exact"/>
        <w:rPr>
          <w:sz w:val="20"/>
          <w:szCs w:val="20"/>
          <w:color w:val="auto"/>
        </w:rPr>
      </w:pPr>
    </w:p>
    <w:p>
      <w:pPr>
        <w:ind w:left="460" w:right="80" w:firstLine="420"/>
        <w:spacing w:after="0" w:line="291" w:lineRule="auto"/>
        <w:rPr>
          <w:sz w:val="20"/>
          <w:szCs w:val="20"/>
          <w:color w:val="auto"/>
        </w:rPr>
      </w:pPr>
      <w:r>
        <w:rPr>
          <w:rFonts w:ascii="Arial" w:cs="Arial" w:eastAsia="Arial" w:hAnsi="Arial"/>
          <w:sz w:val="16"/>
          <w:szCs w:val="16"/>
          <w:color w:val="auto"/>
        </w:rPr>
        <w:t xml:space="preserve">“The Company makes all of the following representations and warranties to and in favor of each Funding Agent (so long as such Funding Agent is a party hereto), the Lenders and the Disbursement Agent as of the Closing Date and the date of each Advance, except as such representations relate to an earlier date (in which case such representations and warranties shall be true and correct in all material respects as of such earlier date). All of these representations and warranties shall survive the Closing Date and the Advances until termination of this Agreement in accordance with </w:t>
      </w:r>
      <w:r>
        <w:rPr>
          <w:rFonts w:ascii="Arial" w:cs="Arial" w:eastAsia="Arial" w:hAnsi="Arial"/>
          <w:sz w:val="16"/>
          <w:szCs w:val="16"/>
          <w:u w:val="single" w:color="auto"/>
          <w:color w:val="auto"/>
        </w:rPr>
        <w:t>Section 11.15</w:t>
      </w:r>
      <w:r>
        <w:rPr>
          <w:rFonts w:ascii="Arial" w:cs="Arial" w:eastAsia="Arial" w:hAnsi="Arial"/>
          <w:sz w:val="16"/>
          <w:szCs w:val="16"/>
          <w:color w:val="auto"/>
        </w:rPr>
        <w:t>. The following representations and warranties are made (i) as to the Phase I Project prior to the Phase I Final Completion Date only and (ii) as to the Phase II Project, only after the Phase II Approval Date.”</w:t>
      </w:r>
    </w:p>
    <w:p>
      <w:pPr>
        <w:spacing w:after="0" w:line="10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Section 5.1.3</w:t>
      </w:r>
      <w:r>
        <w:rPr>
          <w:rFonts w:ascii="Arial" w:cs="Arial" w:eastAsia="Arial" w:hAnsi="Arial"/>
          <w:sz w:val="18"/>
          <w:szCs w:val="18"/>
          <w:color w:val="auto"/>
        </w:rPr>
        <w:t>. Section 5.1.3 of the Disbursement Agreement is hereby amended by deleting the words “</w:t>
      </w:r>
      <w:r>
        <w:rPr>
          <w:rFonts w:ascii="Arial" w:cs="Arial" w:eastAsia="Arial" w:hAnsi="Arial"/>
          <w:sz w:val="18"/>
          <w:szCs w:val="18"/>
          <w:u w:val="single" w:color="auto"/>
          <w:color w:val="auto"/>
        </w:rPr>
        <w:t>Section 5.1.4</w:t>
      </w:r>
      <w:r>
        <w:rPr>
          <w:rFonts w:ascii="Arial" w:cs="Arial" w:eastAsia="Arial" w:hAnsi="Arial"/>
          <w:sz w:val="18"/>
          <w:szCs w:val="18"/>
          <w:color w:val="auto"/>
        </w:rPr>
        <w:t>” where they appear therein and replacing such words with the words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Section 5.1.4</w:t>
      </w:r>
      <w:r>
        <w:rPr>
          <w:rFonts w:ascii="Arial" w:cs="Arial" w:eastAsia="Arial" w:hAnsi="Arial"/>
          <w:sz w:val="16"/>
          <w:szCs w:val="16"/>
          <w:color w:val="auto"/>
        </w:rPr>
        <w:t>. The Disbursement Agreement is hereby amended by deleting Section 5.1.4 thereof in its entirety and replacing it with the following: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Excess Cash Flows</w:t>
      </w:r>
      <w:r>
        <w:rPr>
          <w:rFonts w:ascii="Arial" w:cs="Arial" w:eastAsia="Arial" w:hAnsi="Arial"/>
          <w:sz w:val="18"/>
          <w:szCs w:val="18"/>
          <w:color w:val="auto"/>
        </w:rPr>
        <w:t>.</w:t>
      </w:r>
    </w:p>
    <w:p>
      <w:pPr>
        <w:spacing w:after="0" w:line="77" w:lineRule="exact"/>
        <w:rPr>
          <w:sz w:val="20"/>
          <w:szCs w:val="20"/>
          <w:color w:val="auto"/>
        </w:rPr>
      </w:pPr>
    </w:p>
    <w:p>
      <w:pPr>
        <w:jc w:val="both"/>
        <w:ind w:left="460" w:right="20" w:firstLine="421"/>
        <w:spacing w:after="0" w:line="256" w:lineRule="auto"/>
        <w:tabs>
          <w:tab w:leader="none" w:pos="11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Within three (3) Banking Days after the end of each calendar quarter occurring prior to the Phase II Final Completion Date, the Company shall deposit or cause to be deposited into the Company’s Funds Account an amount at least equal to the lesser of: (x) the amount shown under the column “Excess Cash Flow” for such calendar quarter in the Projected Excess Cash Flow Schedule and (y) the amount required for the Projects to be In Balance.</w:t>
      </w:r>
    </w:p>
    <w:p>
      <w:pPr>
        <w:spacing w:after="0" w:line="48" w:lineRule="exact"/>
        <w:rPr>
          <w:rFonts w:ascii="Arial" w:cs="Arial" w:eastAsia="Arial" w:hAnsi="Arial"/>
          <w:sz w:val="18"/>
          <w:szCs w:val="18"/>
          <w:color w:val="auto"/>
        </w:rPr>
      </w:pPr>
    </w:p>
    <w:p>
      <w:pPr>
        <w:ind w:left="460" w:firstLine="421"/>
        <w:spacing w:after="0" w:line="306" w:lineRule="auto"/>
        <w:tabs>
          <w:tab w:leader="none" w:pos="112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 Subject to clause (ii) below, the Company may from time to time revise the Projected Excess Cash Flow Schedule (as in effect from time to time) to reflect, for any given calendar quarter, a decrease in the anticipated “Excess Cash Flow” (as such term is defined in the Bank Credit Agreement) for the Projects by delivering to the Bank Agent a revised Projected Excess Cash Flow Schedule reflecting such decrease.</w:t>
      </w:r>
    </w:p>
    <w:p>
      <w:pPr>
        <w:spacing w:after="0" w:line="12" w:lineRule="exact"/>
        <w:rPr>
          <w:rFonts w:ascii="Arial" w:cs="Arial" w:eastAsia="Arial" w:hAnsi="Arial"/>
          <w:sz w:val="16"/>
          <w:szCs w:val="16"/>
          <w:color w:val="auto"/>
        </w:rPr>
      </w:pPr>
    </w:p>
    <w:p>
      <w:pPr>
        <w:ind w:left="1040" w:right="80" w:firstLine="389"/>
        <w:spacing w:after="0" w:line="332" w:lineRule="auto"/>
        <w:tabs>
          <w:tab w:leader="none" w:pos="169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any event, if the actual “Excess Cash Flow” (as such term is defined in the Bank Credit Agreement) generated by the Projects in any two consecutive full calendar quarters (the second such quarter being referred to herein as the “</w:t>
      </w:r>
      <w:r>
        <w:rPr>
          <w:rFonts w:ascii="Arial" w:cs="Arial" w:eastAsia="Arial" w:hAnsi="Arial"/>
          <w:sz w:val="16"/>
          <w:szCs w:val="16"/>
          <w:u w:val="single" w:color="auto"/>
          <w:color w:val="auto"/>
        </w:rPr>
        <w:t>Second Shortfall</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231" w:name="page232"/>
    <w:bookmarkEnd w:id="231"/>
    <w:p>
      <w:pPr>
        <w:ind w:left="840" w:right="20"/>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w:t>
      </w:r>
      <w:r>
        <w:rPr>
          <w:rFonts w:ascii="Arial" w:cs="Arial" w:eastAsia="Arial" w:hAnsi="Arial"/>
          <w:sz w:val="16"/>
          <w:szCs w:val="16"/>
          <w:color w:val="auto"/>
        </w:rPr>
        <w:t>”) prior to the Phase II Final Completion Date is less than the aggregate amount shown under the column “Excess Cash Flow” for such calendar quarters, then the Company shall immediately notify the Bank Agent of such shortfall and no later than thirty (30) days after the end of the Second Shortfall Quarter, submit to the Bank Agent a revised Projected Excess Cash Flow Schedule reflecting the Bank Agent’s reasonable expectations (after consultation with the Company and after taking into consideration, among other things, the prior performance of the Projects) for the generation of Excess Cash Flow by the Projects from such date through the Phase II Final Completion Date.</w:t>
      </w:r>
    </w:p>
    <w:p>
      <w:pPr>
        <w:spacing w:after="0" w:line="21" w:lineRule="exact"/>
        <w:rPr>
          <w:sz w:val="20"/>
          <w:szCs w:val="20"/>
          <w:color w:val="auto"/>
        </w:rPr>
      </w:pPr>
    </w:p>
    <w:p>
      <w:pPr>
        <w:ind w:left="840" w:right="420" w:firstLine="421"/>
        <w:spacing w:after="0" w:line="268" w:lineRule="auto"/>
        <w:tabs>
          <w:tab w:leader="none" w:pos="156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revised schedule delivered pursuant to clause (i) or (ii) above shall thereafter be deemed to be the “Projected Excess Cash Flow Schedule” for purposes of this Agreement without any further consent of any party hereto.”</w:t>
      </w:r>
    </w:p>
    <w:p>
      <w:pPr>
        <w:spacing w:after="0" w:line="37" w:lineRule="exact"/>
        <w:rPr>
          <w:rFonts w:ascii="Arial" w:cs="Arial" w:eastAsia="Arial" w:hAnsi="Arial"/>
          <w:sz w:val="18"/>
          <w:szCs w:val="18"/>
          <w:color w:val="auto"/>
        </w:rPr>
      </w:pPr>
    </w:p>
    <w:p>
      <w:pPr>
        <w:ind w:left="380" w:firstLine="443"/>
        <w:spacing w:after="0" w:line="268" w:lineRule="auto"/>
        <w:tabs>
          <w:tab w:leader="none" w:pos="95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Section 11.1 of the Disbursement Agreement is hereby amended by replacing the notice address for Skadden, Arps, Slate, Meagher &amp; Flom LLP with the following:</w:t>
      </w:r>
    </w:p>
    <w:p>
      <w:pPr>
        <w:spacing w:after="0" w:line="3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“Boies, Schiller &amp; Flexner LLP</w:t>
      </w:r>
    </w:p>
    <w:p>
      <w:pPr>
        <w:spacing w:after="0" w:line="1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333 Main Street</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Armonk, New York 10504</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Robert Leung, Esq.</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Telephone No.: (914) 749-8200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No.: (914) 749-8300”.</w:t>
      </w:r>
    </w:p>
    <w:p>
      <w:pPr>
        <w:spacing w:after="0" w:line="151" w:lineRule="exact"/>
        <w:rPr>
          <w:sz w:val="20"/>
          <w:szCs w:val="20"/>
          <w:color w:val="auto"/>
        </w:rPr>
      </w:pPr>
    </w:p>
    <w:p>
      <w:pPr>
        <w:ind w:left="-80" w:right="380" w:firstLine="464"/>
        <w:spacing w:after="0" w:line="332" w:lineRule="auto"/>
        <w:tabs>
          <w:tab w:leader="none" w:pos="5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is the “Projected Excess Cash Flow Schedule” identifying the anticipated “Excess Cash Flow” (as defined in the Bank Credit Agreement) for the Projects, broken down by quarter for each quarter from June 30, 2006 through the anticipated Phase II Final Completion Date.</w:t>
      </w:r>
    </w:p>
    <w:p>
      <w:pPr>
        <w:spacing w:after="0" w:line="71" w:lineRule="exact"/>
        <w:rPr>
          <w:rFonts w:ascii="Arial" w:cs="Arial" w:eastAsia="Arial" w:hAnsi="Arial"/>
          <w:sz w:val="16"/>
          <w:szCs w:val="16"/>
          <w:color w:val="auto"/>
        </w:rPr>
      </w:pPr>
    </w:p>
    <w:p>
      <w:pPr>
        <w:ind w:left="-80" w:right="140" w:firstLine="464"/>
        <w:spacing w:after="0" w:line="255" w:lineRule="auto"/>
        <w:tabs>
          <w:tab w:leader="none" w:pos="55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Appear on the Next Page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280" w:right="299" w:bottom="1440" w:gutter="0" w:footer="0" w:header="0"/>
        </w:sectPr>
      </w:pPr>
    </w:p>
    <w:bookmarkStart w:id="232" w:name="page233"/>
    <w:bookmarkEnd w:id="23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23837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Title: President</w:t>
      </w:r>
    </w:p>
    <w:p>
      <w:pPr>
        <w:spacing w:after="0" w:line="15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[Signature Page to Fourth Amendment to Master Disbursement Agreement]</w:t>
      </w:r>
    </w:p>
    <w:p>
      <w:pPr>
        <w:sectPr>
          <w:pgSz w:w="11900" w:h="16838" w:orient="portrait"/>
          <w:cols w:equalWidth="0" w:num="1">
            <w:col w:w="10219"/>
          </w:cols>
          <w:pgMar w:left="240" w:top="280" w:right="1440" w:bottom="1440" w:gutter="0" w:footer="0" w:header="0"/>
        </w:sectPr>
      </w:pPr>
    </w:p>
    <w:bookmarkStart w:id="233" w:name="page234"/>
    <w:bookmarkEnd w:id="23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Brenda Casey</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Joanna Soliman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Joanna Soliman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Brenda Casey</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Joanna Soliman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Joanna Soliman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151"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[Signature Page to Fourth Amendment to Master Disbursement Agreement]</w:t>
      </w:r>
    </w:p>
    <w:p>
      <w:pPr>
        <w:sectPr>
          <w:pgSz w:w="11900" w:h="16838" w:orient="portrait"/>
          <w:cols w:equalWidth="0" w:num="1">
            <w:col w:w="10219"/>
          </w:cols>
          <w:pgMar w:left="240" w:top="280"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374"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374"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2006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tcPr>
          <w:p>
            <w:pPr>
              <w:jc w:val="center"/>
              <w:ind w:right="1164"/>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99"/>
        </w:trPr>
        <w:tc>
          <w:tcPr>
            <w:tcW w:w="560" w:type="dxa"/>
            <w:vAlign w:val="bottom"/>
          </w:tcPr>
          <w:p>
            <w:pPr>
              <w:spacing w:after="0" w:line="199" w:lineRule="exact"/>
              <w:rPr>
                <w:sz w:val="20"/>
                <w:szCs w:val="20"/>
                <w:color w:val="auto"/>
              </w:rPr>
            </w:pPr>
            <w:r>
              <w:rPr>
                <w:rFonts w:ascii="Arial" w:cs="Arial" w:eastAsia="Arial" w:hAnsi="Arial"/>
                <w:sz w:val="18"/>
                <w:szCs w:val="18"/>
                <w:color w:val="auto"/>
              </w:rPr>
              <w:t>Name:</w:t>
            </w:r>
          </w:p>
        </w:tc>
        <w:tc>
          <w:tcPr>
            <w:tcW w:w="1340" w:type="dxa"/>
            <w:vAlign w:val="bottom"/>
          </w:tcPr>
          <w:p>
            <w:pPr>
              <w:spacing w:after="0"/>
              <w:rPr>
                <w:sz w:val="17"/>
                <w:szCs w:val="17"/>
                <w:color w:val="auto"/>
              </w:rPr>
            </w:pPr>
          </w:p>
        </w:tc>
        <w:tc>
          <w:tcPr>
            <w:tcW w:w="2680" w:type="dxa"/>
            <w:vAlign w:val="bottom"/>
          </w:tcPr>
          <w:p>
            <w:pPr>
              <w:jc w:val="center"/>
              <w:ind w:right="1224"/>
              <w:spacing w:after="0"/>
              <w:rPr>
                <w:sz w:val="20"/>
                <w:szCs w:val="20"/>
                <w:color w:val="auto"/>
              </w:rPr>
            </w:pPr>
            <w:r>
              <w:rPr>
                <w:rFonts w:ascii="Arial" w:cs="Arial" w:eastAsia="Arial" w:hAnsi="Arial"/>
                <w:sz w:val="14"/>
                <w:szCs w:val="14"/>
                <w:b w:val="1"/>
                <w:bCs w:val="1"/>
                <w:color w:val="auto"/>
                <w:w w:val="88"/>
              </w:rPr>
              <w:t>Stephen A. Wynn</w:t>
            </w:r>
          </w:p>
        </w:tc>
      </w:tr>
      <w:tr>
        <w:trPr>
          <w:trHeight w:val="163"/>
        </w:trPr>
        <w:tc>
          <w:tcPr>
            <w:tcW w:w="56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49"/>
        </w:trPr>
        <w:tc>
          <w:tcPr>
            <w:tcW w:w="1900" w:type="dxa"/>
            <w:vAlign w:val="bottom"/>
            <w:gridSpan w:val="2"/>
          </w:tcPr>
          <w:p>
            <w:pPr>
              <w:spacing w:after="0"/>
              <w:rPr>
                <w:sz w:val="20"/>
                <w:szCs w:val="20"/>
                <w:color w:val="auto"/>
              </w:rPr>
            </w:pPr>
            <w:r>
              <w:rPr>
                <w:rFonts w:ascii="Arial" w:cs="Arial" w:eastAsia="Arial" w:hAnsi="Arial"/>
                <w:sz w:val="18"/>
                <w:szCs w:val="18"/>
                <w:color w:val="auto"/>
                <w:w w:val="95"/>
              </w:rPr>
              <w:t>Date: November 9, 2006</w:t>
            </w:r>
          </w:p>
        </w:tc>
        <w:tc>
          <w:tcPr>
            <w:tcW w:w="2680" w:type="dxa"/>
            <w:vAlign w:val="bottom"/>
          </w:tcPr>
          <w:p>
            <w:pPr>
              <w:spacing w:after="0"/>
              <w:rPr>
                <w:sz w:val="24"/>
                <w:szCs w:val="24"/>
                <w:color w:val="auto"/>
              </w:rPr>
            </w:pPr>
          </w:p>
        </w:tc>
      </w:tr>
      <w:tr>
        <w:trPr>
          <w:trHeight w:val="581"/>
        </w:trPr>
        <w:tc>
          <w:tcPr>
            <w:tcW w:w="560" w:type="dxa"/>
            <w:vAlign w:val="bottom"/>
          </w:tcPr>
          <w:p>
            <w:pPr>
              <w:spacing w:after="0"/>
              <w:rPr>
                <w:sz w:val="24"/>
                <w:szCs w:val="24"/>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2680" w:type="dxa"/>
            <w:vAlign w:val="bottom"/>
            <w:tcBorders>
              <w:bottom w:val="single" w:sz="8" w:color="auto"/>
            </w:tcBorders>
          </w:tcPr>
          <w:p>
            <w:pPr>
              <w:jc w:val="center"/>
              <w:ind w:right="118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r>
      <w:tr>
        <w:trPr>
          <w:trHeight w:val="199"/>
        </w:trPr>
        <w:tc>
          <w:tcPr>
            <w:tcW w:w="560" w:type="dxa"/>
            <w:vAlign w:val="bottom"/>
          </w:tcPr>
          <w:p>
            <w:pPr>
              <w:spacing w:after="0" w:line="199" w:lineRule="exact"/>
              <w:rPr>
                <w:sz w:val="20"/>
                <w:szCs w:val="20"/>
                <w:color w:val="auto"/>
              </w:rPr>
            </w:pPr>
            <w:r>
              <w:rPr>
                <w:rFonts w:ascii="Arial" w:cs="Arial" w:eastAsia="Arial" w:hAnsi="Arial"/>
                <w:sz w:val="18"/>
                <w:szCs w:val="18"/>
                <w:color w:val="auto"/>
              </w:rPr>
              <w:t>Name:</w:t>
            </w:r>
          </w:p>
        </w:tc>
        <w:tc>
          <w:tcPr>
            <w:tcW w:w="1340" w:type="dxa"/>
            <w:vAlign w:val="bottom"/>
          </w:tcPr>
          <w:p>
            <w:pPr>
              <w:spacing w:after="0"/>
              <w:rPr>
                <w:sz w:val="17"/>
                <w:szCs w:val="17"/>
                <w:color w:val="auto"/>
              </w:rPr>
            </w:pPr>
          </w:p>
        </w:tc>
        <w:tc>
          <w:tcPr>
            <w:tcW w:w="2680" w:type="dxa"/>
            <w:vAlign w:val="bottom"/>
          </w:tcPr>
          <w:p>
            <w:pPr>
              <w:jc w:val="center"/>
              <w:ind w:right="1224"/>
              <w:spacing w:after="0"/>
              <w:rPr>
                <w:sz w:val="20"/>
                <w:szCs w:val="20"/>
                <w:color w:val="auto"/>
              </w:rPr>
            </w:pPr>
            <w:r>
              <w:rPr>
                <w:rFonts w:ascii="Arial" w:cs="Arial" w:eastAsia="Arial" w:hAnsi="Arial"/>
                <w:sz w:val="14"/>
                <w:szCs w:val="14"/>
                <w:b w:val="1"/>
                <w:bCs w:val="1"/>
                <w:color w:val="auto"/>
                <w:w w:val="88"/>
              </w:rPr>
              <w:t>John Strzemp</w:t>
            </w:r>
          </w:p>
        </w:tc>
      </w:tr>
      <w:tr>
        <w:trPr>
          <w:trHeight w:val="175"/>
        </w:trPr>
        <w:tc>
          <w:tcPr>
            <w:tcW w:w="560" w:type="dxa"/>
            <w:vAlign w:val="bottom"/>
          </w:tcPr>
          <w:p>
            <w:pPr>
              <w:spacing w:after="0" w:line="175" w:lineRule="exact"/>
              <w:rPr>
                <w:sz w:val="20"/>
                <w:szCs w:val="20"/>
                <w:color w:val="auto"/>
              </w:rPr>
            </w:pPr>
            <w:r>
              <w:rPr>
                <w:rFonts w:ascii="Arial" w:cs="Arial" w:eastAsia="Arial" w:hAnsi="Arial"/>
                <w:sz w:val="18"/>
                <w:szCs w:val="18"/>
                <w:color w:val="auto"/>
              </w:rPr>
              <w:t>Title:</w:t>
            </w: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Executive Vice President and</w:t>
            </w:r>
          </w:p>
        </w:tc>
      </w:tr>
      <w:tr>
        <w:trPr>
          <w:trHeight w:val="136"/>
        </w:trPr>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80" w:type="dxa"/>
            <w:vAlign w:val="bottom"/>
          </w:tcPr>
          <w:p>
            <w:pPr>
              <w:jc w:val="center"/>
              <w:ind w:right="1224"/>
              <w:spacing w:after="0" w:line="137" w:lineRule="exact"/>
              <w:rPr>
                <w:sz w:val="20"/>
                <w:szCs w:val="20"/>
                <w:color w:val="auto"/>
              </w:rPr>
            </w:pPr>
            <w:r>
              <w:rPr>
                <w:rFonts w:ascii="Arial" w:cs="Arial" w:eastAsia="Arial" w:hAnsi="Arial"/>
                <w:sz w:val="14"/>
                <w:szCs w:val="14"/>
                <w:b w:val="1"/>
                <w:bCs w:val="1"/>
                <w:color w:val="auto"/>
                <w:w w:val="90"/>
              </w:rPr>
              <w:t>Chief Financial Officer</w:t>
            </w:r>
          </w:p>
        </w:tc>
      </w:tr>
    </w:tbl>
    <w:p>
      <w:pPr>
        <w:ind w:left="1760"/>
        <w:spacing w:after="0"/>
        <w:rPr>
          <w:sz w:val="20"/>
          <w:szCs w:val="20"/>
          <w:color w:val="auto"/>
        </w:rPr>
      </w:pPr>
      <w:r>
        <w:rPr>
          <w:rFonts w:ascii="Arial" w:cs="Arial" w:eastAsia="Arial" w:hAnsi="Arial"/>
          <w:sz w:val="14"/>
          <w:szCs w:val="14"/>
          <w:b w:val="1"/>
          <w:bCs w:val="1"/>
          <w:color w:val="auto"/>
        </w:rPr>
        <w:t>(Principal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15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1."/>
      <w:numFmt w:val="decimal"/>
      <w:start w:val="1"/>
    </w:lvl>
  </w:abstractNum>
  <w:abstractNum w:abstractNumId="3">
    <w:nsid w:val="57FC4FBB"/>
    <w:multiLevelType w:val="hybridMultilevel"/>
    <w:lvl w:ilvl="0">
      <w:lvlJc w:val="left"/>
      <w:lvlText w:val="%1."/>
      <w:numFmt w:val="decimal"/>
      <w:start w:val="2"/>
    </w:lvl>
  </w:abstractNum>
  <w:abstractNum w:abstractNumId="4">
    <w:nsid w:val="CC1016F"/>
    <w:multiLevelType w:val="hybridMultilevel"/>
    <w:lvl w:ilvl="0">
      <w:lvlJc w:val="left"/>
      <w:lvlText w:val="%1."/>
      <w:numFmt w:val="decimal"/>
      <w:start w:val="6"/>
    </w:lvl>
  </w:abstractNum>
  <w:abstractNum w:abstractNumId="5">
    <w:nsid w:val="43F18422"/>
    <w:multiLevelType w:val="hybridMultilevel"/>
    <w:lvl w:ilvl="0">
      <w:lvlJc w:val="left"/>
      <w:lvlText w:val="%1."/>
      <w:numFmt w:val="decimal"/>
      <w:start w:val="14"/>
    </w:lvl>
  </w:abstractNum>
  <w:abstractNum w:abstractNumId="6">
    <w:nsid w:val="60EF0119"/>
    <w:multiLevelType w:val="hybridMultilevel"/>
    <w:lvl w:ilvl="0">
      <w:lvlJc w:val="left"/>
      <w:lvlText w:val="(%1)"/>
      <w:numFmt w:val="decimal"/>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1)"/>
      <w:numFmt w:val="lowerRoman"/>
      <w:start w:val="4"/>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1)"/>
      <w:numFmt w:val="decimal"/>
      <w:start w:val="1"/>
    </w:lvl>
  </w:abstractNum>
  <w:abstractNum w:abstractNumId="18">
    <w:nsid w:val="6A5F7029"/>
    <w:multiLevelType w:val="hybridMultilevel"/>
    <w:lvl w:ilvl="0">
      <w:lvlJc w:val="left"/>
      <w:lvlText w:val="(%1)"/>
      <w:numFmt w:val="lowerLetter"/>
      <w:start w:val="1"/>
    </w:lvl>
  </w:abstractNum>
  <w:abstractNum w:abstractNumId="19">
    <w:nsid w:val="7D5E18F8"/>
    <w:multiLevelType w:val="hybridMultilevel"/>
    <w:lvl w:ilvl="0">
      <w:lvlJc w:val="left"/>
      <w:lvlText w:val="(%1)"/>
      <w:numFmt w:val="lowerLetter"/>
      <w:start w:val="1"/>
    </w:lvl>
  </w:abstractNum>
  <w:abstractNum w:abstractNumId="20">
    <w:nsid w:val="5F3534A4"/>
    <w:multiLevelType w:val="hybridMultilevel"/>
    <w:lvl w:ilvl="0">
      <w:lvlJc w:val="left"/>
      <w:lvlText w:val="(%1)"/>
      <w:numFmt w:val="lowerRoman"/>
      <w:start w:val="2"/>
    </w:lvl>
  </w:abstractNum>
  <w:abstractNum w:abstractNumId="21">
    <w:nsid w:val="73A1821B"/>
    <w:multiLevelType w:val="hybridMultilevel"/>
    <w:lvl w:ilvl="0">
      <w:lvlJc w:val="left"/>
      <w:lvlText w:val="(%1)"/>
      <w:numFmt w:val="lowerLetter"/>
      <w:start w:val="1"/>
    </w:lvl>
  </w:abstractNum>
  <w:abstractNum w:abstractNumId="22">
    <w:nsid w:val="7DE67713"/>
    <w:multiLevelType w:val="hybridMultilevel"/>
    <w:lvl w:ilvl="0">
      <w:lvlJc w:val="left"/>
      <w:lvlText w:val="(%1)"/>
      <w:numFmt w:val="lowerLetter"/>
      <w:start w:val="1"/>
    </w:lvl>
  </w:abstractNum>
  <w:abstractNum w:abstractNumId="23">
    <w:nsid w:val="555C55B5"/>
    <w:multiLevelType w:val="hybridMultilevel"/>
    <w:lvl w:ilvl="0">
      <w:lvlJc w:val="left"/>
      <w:lvlText w:val="(%1)"/>
      <w:numFmt w:val="lowerLetter"/>
      <w:start w:val="17"/>
    </w:lvl>
  </w:abstractNum>
  <w:abstractNum w:abstractNumId="24">
    <w:nsid w:val="3FA62ACA"/>
    <w:multiLevelType w:val="hybridMultilevel"/>
    <w:lvl w:ilvl="0">
      <w:lvlJc w:val="left"/>
      <w:lvlText w:val="(%1)"/>
      <w:numFmt w:val="lowerLetter"/>
      <w:start w:val="27"/>
    </w:lvl>
  </w:abstractNum>
  <w:abstractNum w:abstractNumId="25">
    <w:nsid w:val="14FCE74E"/>
    <w:multiLevelType w:val="hybridMultilevel"/>
    <w:lvl w:ilvl="0">
      <w:lvlJc w:val="left"/>
      <w:lvlText w:val="(%1)"/>
      <w:numFmt w:val="lowerLetter"/>
      <w:start w:val="1"/>
    </w:lvl>
  </w:abstractNum>
  <w:abstractNum w:abstractNumId="26">
    <w:nsid w:val="6A3DD3E8"/>
    <w:multiLevelType w:val="hybridMultilevel"/>
    <w:lvl w:ilvl="0">
      <w:lvlJc w:val="left"/>
      <w:lvlText w:val="(%1)"/>
      <w:numFmt w:val="lowerLetter"/>
      <w:start w:val="3"/>
    </w:lvl>
  </w:abstractNum>
  <w:abstractNum w:abstractNumId="27">
    <w:nsid w:val="71C91298"/>
    <w:multiLevelType w:val="hybridMultilevel"/>
    <w:lvl w:ilvl="0">
      <w:lvlJc w:val="left"/>
      <w:lvlText w:val="(%1)"/>
      <w:numFmt w:val="lowerRoman"/>
      <w:start w:val="4"/>
    </w:lvl>
  </w:abstractNum>
  <w:abstractNum w:abstractNumId="28">
    <w:nsid w:val="9DAF632"/>
    <w:multiLevelType w:val="hybridMultilevel"/>
    <w:lvl w:ilvl="0">
      <w:lvlJc w:val="left"/>
      <w:lvlText w:val="(%1)"/>
      <w:numFmt w:val="lowerRoman"/>
      <w:start w:val="1"/>
    </w:lvl>
  </w:abstractNum>
  <w:abstractNum w:abstractNumId="29">
    <w:nsid w:val="53299938"/>
    <w:multiLevelType w:val="hybridMultilevel"/>
    <w:lvl w:ilvl="0">
      <w:lvlJc w:val="left"/>
      <w:lvlText w:val="(%1)"/>
      <w:numFmt w:val="lowerLetter"/>
      <w:start w:val="6"/>
    </w:lvl>
  </w:abstractNum>
  <w:abstractNum w:abstractNumId="30">
    <w:nsid w:val="1FBFE8E0"/>
    <w:multiLevelType w:val="hybridMultilevel"/>
    <w:lvl w:ilvl="0">
      <w:lvlJc w:val="left"/>
      <w:lvlText w:val="(%1)"/>
      <w:numFmt w:val="lowerLetter"/>
      <w:start w:val="35"/>
    </w:lvl>
  </w:abstractNum>
  <w:abstractNum w:abstractNumId="31">
    <w:nsid w:val="5092CA79"/>
    <w:multiLevelType w:val="hybridMultilevel"/>
    <w:lvl w:ilvl="0">
      <w:lvlJc w:val="left"/>
      <w:lvlText w:val="(%1)"/>
      <w:numFmt w:val="lowerLetter"/>
      <w:start w:val="3"/>
    </w:lvl>
  </w:abstractNum>
  <w:abstractNum w:abstractNumId="32">
    <w:nsid w:val="1D545C4D"/>
    <w:multiLevelType w:val="hybridMultilevel"/>
    <w:lvl w:ilvl="0">
      <w:lvlJc w:val="left"/>
      <w:lvlText w:val="(%1)"/>
      <w:numFmt w:val="lowerLetter"/>
      <w:start w:val="2"/>
    </w:lvl>
  </w:abstractNum>
  <w:abstractNum w:abstractNumId="33">
    <w:nsid w:val="59ADEA3D"/>
    <w:multiLevelType w:val="hybridMultilevel"/>
    <w:lvl w:ilvl="0">
      <w:lvlJc w:val="left"/>
      <w:lvlText w:val="(%1)"/>
      <w:numFmt w:val="lowerRoman"/>
      <w:start w:val="1"/>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lowerLetter"/>
      <w:start w:val="2"/>
    </w:lvl>
  </w:abstractNum>
  <w:abstractNum w:abstractNumId="36">
    <w:nsid w:val="1D9F6E5F"/>
    <w:multiLevelType w:val="hybridMultilevel"/>
    <w:lvl w:ilvl="0">
      <w:lvlJc w:val="left"/>
      <w:lvlText w:val="(%1)"/>
      <w:numFmt w:val="lowerLetter"/>
      <w:start w:val="4"/>
    </w:lvl>
    <w:lvl w:ilvl="1">
      <w:lvlJc w:val="left"/>
      <w:lvlText w:val="(%2)"/>
      <w:numFmt w:val="lowerLetter"/>
      <w:start w:val="35"/>
    </w:lvl>
  </w:abstractNum>
  <w:abstractNum w:abstractNumId="37">
    <w:nsid w:val="97E1B4E"/>
    <w:multiLevelType w:val="hybridMultilevel"/>
    <w:lvl w:ilvl="0">
      <w:lvlJc w:val="left"/>
      <w:lvlText w:val="(%1)"/>
      <w:numFmt w:val="lowerLetter"/>
      <w:start w:val="2"/>
    </w:lvl>
  </w:abstractNum>
  <w:abstractNum w:abstractNumId="38">
    <w:nsid w:val="51088277"/>
    <w:multiLevelType w:val="hybridMultilevel"/>
    <w:lvl w:ilvl="0">
      <w:lvlJc w:val="left"/>
      <w:lvlText w:val="(%1)"/>
      <w:numFmt w:val="lowerLetter"/>
      <w:start w:val="2"/>
    </w:lvl>
  </w:abstractNum>
  <w:abstractNum w:abstractNumId="39">
    <w:nsid w:val="1CA0C5FA"/>
    <w:multiLevelType w:val="hybridMultilevel"/>
    <w:lvl w:ilvl="0">
      <w:lvlJc w:val="left"/>
      <w:lvlText w:val="(%1)"/>
      <w:numFmt w:val="upperLetter"/>
      <w:start w:val="1"/>
    </w:lvl>
    <w:lvl w:ilvl="1">
      <w:lvlJc w:val="left"/>
      <w:lvlText w:val="(%2)"/>
      <w:numFmt w:val="lowerLetter"/>
      <w:start w:val="3"/>
    </w:lvl>
  </w:abstractNum>
  <w:abstractNum w:abstractNumId="40">
    <w:nsid w:val="53584BCB"/>
    <w:multiLevelType w:val="hybridMultilevel"/>
    <w:lvl w:ilvl="0">
      <w:lvlJc w:val="left"/>
      <w:lvlText w:val="(%1)"/>
      <w:numFmt w:val="lowerLetter"/>
      <w:start w:val="2"/>
    </w:lvl>
  </w:abstractNum>
  <w:abstractNum w:abstractNumId="41">
    <w:nsid w:val="415E286C"/>
    <w:multiLevelType w:val="hybridMultilevel"/>
    <w:lvl w:ilvl="0">
      <w:lvlJc w:val="left"/>
      <w:lvlText w:val="(%1)"/>
      <w:numFmt w:val="lowerLetter"/>
      <w:start w:val="3"/>
    </w:lvl>
  </w:abstractNum>
  <w:abstractNum w:abstractNumId="42">
    <w:nsid w:val="7C58FD05"/>
    <w:multiLevelType w:val="hybridMultilevel"/>
    <w:lvl w:ilvl="0">
      <w:lvlJc w:val="left"/>
      <w:lvlText w:val="(%1)"/>
      <w:numFmt w:val="lowerLetter"/>
      <w:start w:val="2"/>
    </w:lvl>
  </w:abstractNum>
  <w:abstractNum w:abstractNumId="43">
    <w:nsid w:val="23D86AAC"/>
    <w:multiLevelType w:val="hybridMultilevel"/>
    <w:lvl w:ilvl="0">
      <w:lvlJc w:val="left"/>
      <w:lvlText w:val="(%1)"/>
      <w:numFmt w:val="lowerLetter"/>
      <w:start w:val="2"/>
    </w:lvl>
  </w:abstractNum>
  <w:abstractNum w:abstractNumId="44">
    <w:nsid w:val="45E6D486"/>
    <w:multiLevelType w:val="hybridMultilevel"/>
    <w:lvl w:ilvl="0">
      <w:lvlJc w:val="left"/>
      <w:lvlText w:val="(%1)"/>
      <w:numFmt w:val="lowerRoman"/>
      <w:start w:val="2"/>
    </w:lvl>
  </w:abstractNum>
  <w:abstractNum w:abstractNumId="45">
    <w:nsid w:val="5C10FE21"/>
    <w:multiLevelType w:val="hybridMultilevel"/>
    <w:lvl w:ilvl="0">
      <w:lvlJc w:val="left"/>
      <w:lvlText w:val="(%1)"/>
      <w:numFmt w:val="lowerLetter"/>
      <w:start w:val="2"/>
    </w:lvl>
  </w:abstractNum>
  <w:abstractNum w:abstractNumId="46">
    <w:nsid w:val="E7FFA2B"/>
    <w:multiLevelType w:val="hybridMultilevel"/>
    <w:lvl w:ilvl="0">
      <w:lvlJc w:val="left"/>
      <w:lvlText w:val="(%1)"/>
      <w:numFmt w:val="lowerRoman"/>
      <w:start w:val="2"/>
    </w:lvl>
  </w:abstractNum>
  <w:abstractNum w:abstractNumId="47">
    <w:nsid w:val="3C5991AA"/>
    <w:multiLevelType w:val="hybridMultilevel"/>
    <w:lvl w:ilvl="0">
      <w:lvlJc w:val="left"/>
      <w:lvlText w:val="%1"/>
      <w:numFmt w:val="lowerLetter"/>
      <w:start w:val="1"/>
    </w:lvl>
    <w:lvl w:ilvl="1">
      <w:lvlJc w:val="left"/>
      <w:lvlText w:val="(%2)"/>
      <w:numFmt w:val="lowerLetter"/>
      <w:start w:val="61"/>
    </w:lvl>
  </w:abstractNum>
  <w:abstractNum w:abstractNumId="48">
    <w:nsid w:val="4BD8591A"/>
    <w:multiLevelType w:val="hybridMultilevel"/>
    <w:lvl w:ilvl="0">
      <w:lvlJc w:val="left"/>
      <w:lvlText w:val="(%1)"/>
      <w:numFmt w:val="lowerLetter"/>
      <w:start w:val="3"/>
    </w:lvl>
    <w:lvl w:ilvl="1">
      <w:lvlJc w:val="left"/>
      <w:lvlText w:val="%2"/>
      <w:numFmt w:val="lowerLetter"/>
      <w:start w:val="1"/>
    </w:lvl>
  </w:abstractNum>
  <w:abstractNum w:abstractNumId="49">
    <w:nsid w:val="78DF6A55"/>
    <w:multiLevelType w:val="hybridMultilevel"/>
    <w:lvl w:ilvl="0">
      <w:lvlJc w:val="left"/>
      <w:lvlText w:val="(%1)"/>
      <w:numFmt w:val="lowerLetter"/>
      <w:start w:val="5"/>
    </w:lvl>
  </w:abstractNum>
  <w:abstractNum w:abstractNumId="50">
    <w:nsid w:val="39B7AAA2"/>
    <w:multiLevelType w:val="hybridMultilevel"/>
    <w:lvl w:ilvl="0">
      <w:lvlJc w:val="left"/>
      <w:lvlText w:val="(%1)"/>
      <w:numFmt w:val="lowerLetter"/>
      <w:start w:val="35"/>
    </w:lvl>
    <w:lvl w:ilvl="1">
      <w:lvlJc w:val="left"/>
      <w:lvlText w:val="(%2)"/>
      <w:numFmt w:val="lowerLetter"/>
      <w:start w:val="2"/>
    </w:lvl>
  </w:abstractNum>
  <w:abstractNum w:abstractNumId="51">
    <w:nsid w:val="2B0D8DBE"/>
    <w:multiLevelType w:val="hybridMultilevel"/>
    <w:lvl w:ilvl="0">
      <w:lvlJc w:val="left"/>
      <w:lvlText w:val="(%1)"/>
      <w:numFmt w:val="lowerLetter"/>
      <w:start w:val="2"/>
    </w:lvl>
  </w:abstractNum>
  <w:abstractNum w:abstractNumId="52">
    <w:nsid w:val="6C80EC70"/>
    <w:multiLevelType w:val="hybridMultilevel"/>
    <w:lvl w:ilvl="0">
      <w:lvlJc w:val="left"/>
      <w:lvlText w:val="(%1)"/>
      <w:numFmt w:val="lowerLetter"/>
      <w:start w:val="4"/>
    </w:lvl>
  </w:abstractNum>
  <w:abstractNum w:abstractNumId="53">
    <w:nsid w:val="379E21B5"/>
    <w:multiLevelType w:val="hybridMultilevel"/>
    <w:lvl w:ilvl="0">
      <w:lvlJc w:val="left"/>
      <w:lvlText w:val="(%1)"/>
      <w:numFmt w:val="lowerLetter"/>
      <w:start w:val="2"/>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25"/>
    </w:lvl>
  </w:abstractNum>
  <w:abstractNum w:abstractNumId="56">
    <w:nsid w:val="4C9B0904"/>
    <w:multiLevelType w:val="hybridMultilevel"/>
    <w:lvl w:ilvl="0">
      <w:lvlJc w:val="left"/>
      <w:lvlText w:val="(%1)"/>
      <w:numFmt w:val="lowerLetter"/>
      <w:start w:val="2"/>
    </w:lvl>
  </w:abstractNum>
  <w:abstractNum w:abstractNumId="57">
    <w:nsid w:val="6AA7B75C"/>
    <w:multiLevelType w:val="hybridMultilevel"/>
    <w:lvl w:ilvl="0">
      <w:lvlJc w:val="left"/>
      <w:lvlText w:val="(%1)"/>
      <w:numFmt w:val="lowerLetter"/>
      <w:start w:val="5"/>
    </w:lvl>
  </w:abstractNum>
  <w:abstractNum w:abstractNumId="58">
    <w:nsid w:val="1DF029D3"/>
    <w:multiLevelType w:val="hybridMultilevel"/>
    <w:lvl w:ilvl="0">
      <w:lvlJc w:val="left"/>
      <w:lvlText w:val="(%1)"/>
      <w:numFmt w:val="lowerRoman"/>
      <w:start w:val="1"/>
    </w:lvl>
  </w:abstractNum>
  <w:abstractNum w:abstractNumId="59">
    <w:nsid w:val="5675FF36"/>
    <w:multiLevelType w:val="hybridMultilevel"/>
    <w:lvl w:ilvl="0">
      <w:lvlJc w:val="left"/>
      <w:lvlText w:val="(%1)"/>
      <w:numFmt w:val="lowerLetter"/>
      <w:start w:val="2"/>
    </w:lvl>
  </w:abstractNum>
  <w:abstractNum w:abstractNumId="60">
    <w:nsid w:val="3DD15094"/>
    <w:multiLevelType w:val="hybridMultilevel"/>
    <w:lvl w:ilvl="0">
      <w:lvlJc w:val="left"/>
      <w:lvlText w:val="(%1)"/>
      <w:numFmt w:val="lowerLetter"/>
      <w:start w:val="2"/>
    </w:lvl>
  </w:abstractNum>
  <w:abstractNum w:abstractNumId="61">
    <w:nsid w:val="3DB012B3"/>
    <w:multiLevelType w:val="hybridMultilevel"/>
    <w:lvl w:ilvl="0">
      <w:lvlJc w:val="left"/>
      <w:lvlText w:val="(%1)"/>
      <w:numFmt w:val="decimal"/>
      <w:start w:val="10"/>
    </w:lvl>
    <w:lvl w:ilvl="1">
      <w:lvlJc w:val="left"/>
      <w:lvlText w:val="(%2)"/>
      <w:numFmt w:val="lowerLetter"/>
      <w:start w:val="4"/>
    </w:lvl>
  </w:abstractNum>
  <w:abstractNum w:abstractNumId="62">
    <w:nsid w:val="2708C9AF"/>
    <w:multiLevelType w:val="hybridMultilevel"/>
    <w:lvl w:ilvl="0">
      <w:lvlJc w:val="left"/>
      <w:lvlText w:val="(%1)"/>
      <w:numFmt w:val="lowerLetter"/>
      <w:start w:val="9"/>
    </w:lvl>
    <w:lvl w:ilvl="1">
      <w:lvlJc w:val="left"/>
      <w:lvlText w:val="(%2)"/>
      <w:numFmt w:val="lowerLetter"/>
      <w:start w:val="7"/>
    </w:lvl>
  </w:abstractNum>
  <w:abstractNum w:abstractNumId="63">
    <w:nsid w:val="5B25ACE2"/>
    <w:multiLevelType w:val="hybridMultilevel"/>
    <w:lvl w:ilvl="0">
      <w:lvlJc w:val="left"/>
      <w:lvlText w:val="(%1)"/>
      <w:numFmt w:val="lowerRoman"/>
      <w:start w:val="1"/>
    </w:lvl>
  </w:abstractNum>
  <w:abstractNum w:abstractNumId="64">
    <w:nsid w:val="175DFCF0"/>
    <w:multiLevelType w:val="hybridMultilevel"/>
    <w:lvl w:ilvl="0">
      <w:lvlJc w:val="left"/>
      <w:lvlText w:val="(%1)"/>
      <w:numFmt w:val="lowerRoman"/>
      <w:start w:val="2"/>
    </w:lvl>
  </w:abstractNum>
  <w:abstractNum w:abstractNumId="65">
    <w:nsid w:val="4F97E3E4"/>
    <w:multiLevelType w:val="hybridMultilevel"/>
    <w:lvl w:ilvl="0">
      <w:lvlJc w:val="left"/>
      <w:lvlText w:val="%1"/>
      <w:numFmt w:val="lowerLetter"/>
      <w:start w:val="1"/>
    </w:lvl>
    <w:lvl w:ilvl="1">
      <w:lvlJc w:val="left"/>
      <w:lvlText w:val="(%2)"/>
      <w:numFmt w:val="lowerRoman"/>
      <w:start w:val="7"/>
    </w:lvl>
  </w:abstractNum>
  <w:abstractNum w:abstractNumId="66">
    <w:nsid w:val="53B0A9E"/>
    <w:multiLevelType w:val="hybridMultilevel"/>
    <w:lvl w:ilvl="0">
      <w:lvlJc w:val="left"/>
      <w:lvlText w:val="(%1)"/>
      <w:numFmt w:val="lowerLetter"/>
      <w:start w:val="2"/>
    </w:lvl>
    <w:lvl w:ilvl="1">
      <w:lvlJc w:val="left"/>
      <w:lvlText w:val="(%2)"/>
      <w:numFmt w:val="lowerRoman"/>
      <w:start w:val="2"/>
    </w:lvl>
  </w:abstractNum>
  <w:abstractNum w:abstractNumId="67">
    <w:nsid w:val="34FD6B4F"/>
    <w:multiLevelType w:val="hybridMultilevel"/>
    <w:lvl w:ilvl="0">
      <w:lvlJc w:val="left"/>
      <w:lvlText w:val="(%1)"/>
      <w:numFmt w:val="lowerLetter"/>
      <w:start w:val="4"/>
    </w:lvl>
  </w:abstractNum>
  <w:abstractNum w:abstractNumId="68">
    <w:nsid w:val="5915FF32"/>
    <w:multiLevelType w:val="hybridMultilevel"/>
    <w:lvl w:ilvl="0">
      <w:lvlJc w:val="left"/>
      <w:lvlText w:val="(%1)"/>
      <w:numFmt w:val="lowerLetter"/>
      <w:start w:val="7"/>
    </w:lvl>
    <w:lvl w:ilvl="1">
      <w:lvlJc w:val="left"/>
      <w:lvlText w:val="(%2)"/>
      <w:numFmt w:val="lowerLetter"/>
      <w:start w:val="35"/>
    </w:lvl>
  </w:abstractNum>
  <w:abstractNum w:abstractNumId="69">
    <w:nsid w:val="56438D15"/>
    <w:multiLevelType w:val="hybridMultilevel"/>
    <w:lvl w:ilvl="0">
      <w:lvlJc w:val="left"/>
      <w:lvlText w:val="(%1)"/>
      <w:numFmt w:val="decimal"/>
      <w:start w:val="1"/>
    </w:lvl>
    <w:lvl w:ilvl="1">
      <w:lvlJc w:val="left"/>
      <w:lvlText w:val="(%2)"/>
      <w:numFmt w:val="lowerLetter"/>
      <w:start w:val="2"/>
    </w:lvl>
  </w:abstractNum>
  <w:abstractNum w:abstractNumId="70">
    <w:nsid w:val="519E3149"/>
    <w:multiLevelType w:val="hybridMultilevel"/>
    <w:lvl w:ilvl="0">
      <w:lvlJc w:val="left"/>
      <w:lvlText w:val="(%1)"/>
      <w:numFmt w:val="lowerLetter"/>
      <w:start w:val="4"/>
    </w:lvl>
  </w:abstractNum>
  <w:abstractNum w:abstractNumId="71">
    <w:nsid w:val="2C6E4AFD"/>
    <w:multiLevelType w:val="hybridMultilevel"/>
    <w:lvl w:ilvl="0">
      <w:lvlJc w:val="left"/>
      <w:lvlText w:val="(%1)"/>
      <w:numFmt w:val="lowerLetter"/>
      <w:start w:val="2"/>
    </w:lvl>
  </w:abstractNum>
  <w:abstractNum w:abstractNumId="72">
    <w:nsid w:val="17A1B582"/>
    <w:multiLevelType w:val="hybridMultilevel"/>
    <w:lvl w:ilvl="0">
      <w:lvlJc w:val="left"/>
      <w:lvlText w:val="(%1)"/>
      <w:numFmt w:val="lowerLetter"/>
      <w:start w:val="2"/>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lowerLetter"/>
      <w:start w:val="2"/>
    </w:lvl>
  </w:abstractNum>
  <w:abstractNum w:abstractNumId="75">
    <w:nsid w:val="5D888A08"/>
    <w:multiLevelType w:val="hybridMultilevel"/>
    <w:lvl w:ilvl="0">
      <w:lvlJc w:val="left"/>
      <w:lvlText w:val="(%1)"/>
      <w:numFmt w:val="lowerLetter"/>
      <w:start w:val="3"/>
    </w:lvl>
  </w:abstractNum>
  <w:abstractNum w:abstractNumId="76">
    <w:nsid w:val="2A082C70"/>
    <w:multiLevelType w:val="hybridMultilevel"/>
    <w:lvl w:ilvl="0">
      <w:lvlJc w:val="left"/>
      <w:lvlText w:val="(%1)"/>
      <w:numFmt w:val="lowerRoman"/>
      <w:start w:val="1"/>
    </w:lvl>
  </w:abstractNum>
  <w:abstractNum w:abstractNumId="77">
    <w:nsid w:val="5EC6AFD4"/>
    <w:multiLevelType w:val="hybridMultilevel"/>
    <w:lvl w:ilvl="0">
      <w:lvlJc w:val="left"/>
      <w:lvlText w:val="(%1)"/>
      <w:numFmt w:val="lowerLetter"/>
      <w:start w:val="2"/>
    </w:lvl>
  </w:abstractNum>
  <w:abstractNum w:abstractNumId="78">
    <w:nsid w:val="19E21BB2"/>
    <w:multiLevelType w:val="hybridMultilevel"/>
    <w:lvl w:ilvl="0">
      <w:lvlJc w:val="left"/>
      <w:lvlText w:val="(%1)"/>
      <w:numFmt w:val="lowerRoman"/>
      <w:start w:val="8"/>
    </w:lvl>
  </w:abstractNum>
  <w:abstractNum w:abstractNumId="79">
    <w:nsid w:val="75E0858A"/>
    <w:multiLevelType w:val="hybridMultilevel"/>
    <w:lvl w:ilvl="0">
      <w:lvlJc w:val="left"/>
      <w:lvlText w:val="(%1)"/>
      <w:numFmt w:val="lowerLetter"/>
      <w:start w:val="2"/>
    </w:lvl>
  </w:abstractNum>
  <w:abstractNum w:abstractNumId="80">
    <w:nsid w:val="57A61A29"/>
    <w:multiLevelType w:val="hybridMultilevel"/>
    <w:lvl w:ilvl="0">
      <w:lvlJc w:val="left"/>
      <w:lvlText w:val="(%1)"/>
      <w:numFmt w:val="lowerLetter"/>
      <w:start w:val="2"/>
    </w:lvl>
  </w:abstractNum>
  <w:abstractNum w:abstractNumId="81">
    <w:nsid w:val="5399C654"/>
    <w:multiLevelType w:val="hybridMultilevel"/>
    <w:lvl w:ilvl="0">
      <w:lvlJc w:val="left"/>
      <w:lvlText w:val="(%1)"/>
      <w:numFmt w:val="lowerLetter"/>
      <w:start w:val="2"/>
    </w:lvl>
  </w:abstractNum>
  <w:abstractNum w:abstractNumId="82">
    <w:nsid w:val="20EE1348"/>
    <w:multiLevelType w:val="hybridMultilevel"/>
    <w:lvl w:ilvl="0">
      <w:lvlJc w:val="left"/>
      <w:lvlText w:val="(%1)"/>
      <w:numFmt w:val="lowerLetter"/>
      <w:start w:val="2"/>
    </w:lvl>
  </w:abstractNum>
  <w:abstractNum w:abstractNumId="83">
    <w:nsid w:val="4427069A"/>
    <w:multiLevelType w:val="hybridMultilevel"/>
    <w:lvl w:ilvl="0">
      <w:lvlJc w:val="left"/>
      <w:lvlText w:val="(%1)"/>
      <w:numFmt w:val="lowerLetter"/>
      <w:start w:val="2"/>
    </w:lvl>
  </w:abstractNum>
  <w:abstractNum w:abstractNumId="84">
    <w:nsid w:val="B37E80A"/>
    <w:multiLevelType w:val="hybridMultilevel"/>
    <w:lvl w:ilvl="0">
      <w:lvlJc w:val="left"/>
      <w:lvlText w:val="(%1)"/>
      <w:numFmt w:val="lowerLetter"/>
      <w:start w:val="7"/>
    </w:lvl>
  </w:abstractNum>
  <w:abstractNum w:abstractNumId="85">
    <w:nsid w:val="2157F6BC"/>
    <w:multiLevelType w:val="hybridMultilevel"/>
    <w:lvl w:ilvl="0">
      <w:lvlJc w:val="left"/>
      <w:lvlText w:val="(%1)"/>
      <w:numFmt w:val="lowerLetter"/>
      <w:start w:val="2"/>
    </w:lvl>
  </w:abstractNum>
  <w:abstractNum w:abstractNumId="86">
    <w:nsid w:val="704E1DD5"/>
    <w:multiLevelType w:val="hybridMultilevel"/>
    <w:lvl w:ilvl="0">
      <w:lvlJc w:val="left"/>
      <w:lvlText w:val="%1"/>
      <w:numFmt w:val="lowerLetter"/>
      <w:start w:val="1"/>
    </w:lvl>
    <w:lvl w:ilvl="1">
      <w:lvlJc w:val="left"/>
      <w:lvlText w:val="(%2)"/>
      <w:numFmt w:val="lowerLetter"/>
      <w:start w:val="3"/>
    </w:lvl>
  </w:abstractNum>
  <w:abstractNum w:abstractNumId="87">
    <w:nsid w:val="57D2F10E"/>
    <w:multiLevelType w:val="hybridMultilevel"/>
    <w:lvl w:ilvl="0">
      <w:lvlJc w:val="left"/>
      <w:lvlText w:val="(%1)"/>
      <w:numFmt w:val="lowerLetter"/>
      <w:start w:val="35"/>
    </w:lvl>
    <w:lvl w:ilvl="1">
      <w:lvlJc w:val="left"/>
      <w:lvlText w:val="(%2)"/>
      <w:numFmt w:val="lowerLetter"/>
      <w:start w:val="4"/>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2"/>
    </w:lvl>
  </w:abstractNum>
  <w:abstractNum w:abstractNumId="90">
    <w:nsid w:val="2E48F044"/>
    <w:multiLevelType w:val="hybridMultilevel"/>
    <w:lvl w:ilvl="0">
      <w:lvlJc w:val="left"/>
      <w:lvlText w:val="(%1)"/>
      <w:numFmt w:val="lowerLetter"/>
      <w:start w:val="5"/>
    </w:lvl>
  </w:abstractNum>
  <w:abstractNum w:abstractNumId="91">
    <w:nsid w:val="49D0FEAC"/>
    <w:multiLevelType w:val="hybridMultilevel"/>
    <w:lvl w:ilvl="0">
      <w:lvlJc w:val="left"/>
      <w:lvlText w:val="(%1)"/>
      <w:numFmt w:val="lowerLetter"/>
      <w:start w:val="1"/>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5"/>
    </w:lvl>
  </w:abstractNum>
  <w:abstractNum w:abstractNumId="95">
    <w:nsid w:val="634C574C"/>
    <w:multiLevelType w:val="hybridMultilevel"/>
    <w:lvl w:ilvl="0">
      <w:lvlJc w:val="left"/>
      <w:lvlText w:val="(%1)"/>
      <w:numFmt w:val="lowerLetter"/>
      <w:start w:val="12"/>
    </w:lvl>
  </w:abstractNum>
  <w:abstractNum w:abstractNumId="96">
    <w:nsid w:val="24E99DD7"/>
    <w:multiLevelType w:val="hybridMultilevel"/>
    <w:lvl w:ilvl="0">
      <w:lvlJc w:val="left"/>
      <w:lvlText w:val="%1"/>
      <w:numFmt w:val="lowerLetter"/>
      <w:start w:val="1"/>
    </w:lvl>
    <w:lvl w:ilvl="1">
      <w:lvlJc w:val="left"/>
      <w:lvlText w:val="(%2)"/>
      <w:numFmt w:val="lowerLetter"/>
      <w:start w:val="1"/>
    </w:lvl>
  </w:abstractNum>
  <w:abstractNum w:abstractNumId="97">
    <w:nsid w:val="2A31B62D"/>
    <w:multiLevelType w:val="hybridMultilevel"/>
    <w:lvl w:ilvl="0">
      <w:lvlJc w:val="left"/>
      <w:lvlText w:val="(%1)"/>
      <w:numFmt w:val="lowerLetter"/>
      <w:start w:val="35"/>
    </w:lvl>
    <w:lvl w:ilvl="1">
      <w:lvlJc w:val="left"/>
      <w:lvlText w:val="%2"/>
      <w:numFmt w:val="lowerLetter"/>
      <w:start w:val="1"/>
    </w:lvl>
  </w:abstractNum>
  <w:abstractNum w:abstractNumId="98">
    <w:nsid w:val="1849C29B"/>
    <w:multiLevelType w:val="hybridMultilevel"/>
    <w:lvl w:ilvl="0">
      <w:lvlJc w:val="left"/>
      <w:lvlText w:val="(%1)"/>
      <w:numFmt w:val="lowerLetter"/>
      <w:start w:val="2"/>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lowerRoman"/>
      <w:start w:val="1"/>
    </w:lvl>
    <w:lvl w:ilvl="1">
      <w:lvlJc w:val="left"/>
      <w:lvlText w:val="(%2)"/>
      <w:numFmt w:val="lowerLetter"/>
      <w:start w:val="4"/>
    </w:lvl>
  </w:abstractNum>
  <w:abstractNum w:abstractNumId="101">
    <w:nsid w:val="69E7F3E5"/>
    <w:multiLevelType w:val="hybridMultilevel"/>
    <w:lvl w:ilvl="0">
      <w:lvlJc w:val="left"/>
      <w:lvlText w:val="(%1)"/>
      <w:numFmt w:val="lowerRoman"/>
      <w:start w:val="4"/>
    </w:lvl>
    <w:lvl w:ilvl="1">
      <w:lvlJc w:val="left"/>
      <w:lvlText w:val="(%2)"/>
      <w:numFmt w:val="lowerLetter"/>
      <w:start w:val="10"/>
    </w:lvl>
  </w:abstractNum>
  <w:abstractNum w:abstractNumId="102">
    <w:nsid w:val="2A6DE806"/>
    <w:multiLevelType w:val="hybridMultilevel"/>
    <w:lvl w:ilvl="0">
      <w:lvlJc w:val="left"/>
      <w:lvlText w:val="(%1)"/>
      <w:numFmt w:val="lowerLetter"/>
      <w:start w:val="11"/>
    </w:lvl>
  </w:abstractNum>
  <w:abstractNum w:abstractNumId="103">
    <w:nsid w:val="1816F8C4"/>
    <w:multiLevelType w:val="hybridMultilevel"/>
    <w:lvl w:ilvl="0">
      <w:lvlJc w:val="left"/>
      <w:lvlText w:val="(%1)"/>
      <w:numFmt w:val="lowerLetter"/>
      <w:start w:val="2"/>
    </w:lvl>
  </w:abstractNum>
  <w:abstractNum w:abstractNumId="104">
    <w:nsid w:val="37DF2233"/>
    <w:multiLevelType w:val="hybridMultilevel"/>
    <w:lvl w:ilvl="0">
      <w:lvlJc w:val="left"/>
      <w:lvlText w:val="(%1)"/>
      <w:numFmt w:val="lowerLetter"/>
      <w:start w:val="2"/>
    </w:lvl>
  </w:abstractNum>
  <w:abstractNum w:abstractNumId="105">
    <w:nsid w:val="7AB49DAF"/>
    <w:multiLevelType w:val="hybridMultilevel"/>
    <w:lvl w:ilvl="0">
      <w:lvlJc w:val="left"/>
      <w:lvlText w:val="(%1)"/>
      <w:numFmt w:val="upperLetter"/>
      <w:start w:val="1"/>
    </w:lvl>
  </w:abstractNum>
  <w:abstractNum w:abstractNumId="106">
    <w:nsid w:val="759F82CD"/>
    <w:multiLevelType w:val="hybridMultilevel"/>
    <w:lvl w:ilvl="0">
      <w:lvlJc w:val="left"/>
      <w:lvlText w:val="(%1)"/>
      <w:numFmt w:val="upperLetter"/>
      <w:start w:val="35"/>
    </w:lvl>
  </w:abstractNum>
  <w:abstractNum w:abstractNumId="107">
    <w:nsid w:val="61E74EA3"/>
    <w:multiLevelType w:val="hybridMultilevel"/>
    <w:lvl w:ilvl="0">
      <w:lvlJc w:val="left"/>
      <w:lvlText w:val="(%1)"/>
      <w:numFmt w:val="lowerRoman"/>
      <w:start w:val="1"/>
    </w:lvl>
    <w:lvl w:ilvl="1">
      <w:lvlJc w:val="left"/>
      <w:lvlText w:val="(%2)"/>
      <w:numFmt w:val="lowerLetter"/>
      <w:start w:val="2"/>
    </w:lvl>
  </w:abstractNum>
  <w:abstractNum w:abstractNumId="108">
    <w:nsid w:val="597B4D84"/>
    <w:multiLevelType w:val="hybridMultilevel"/>
    <w:lvl w:ilvl="0">
      <w:lvlJc w:val="left"/>
      <w:lvlText w:val="(%1)"/>
      <w:numFmt w:val="lowerLetter"/>
      <w:start w:val="3"/>
    </w:lvl>
  </w:abstractNum>
  <w:abstractNum w:abstractNumId="109">
    <w:nsid w:val="F819E7F"/>
    <w:multiLevelType w:val="hybridMultilevel"/>
    <w:lvl w:ilvl="0">
      <w:lvlJc w:val="left"/>
      <w:lvlText w:val="%1"/>
      <w:numFmt w:val="lowerLetter"/>
      <w:start w:val="1"/>
    </w:lvl>
    <w:lvl w:ilvl="1">
      <w:lvlJc w:val="left"/>
      <w:lvlText w:val="(%2)"/>
      <w:numFmt w:val="lowerLetter"/>
      <w:start w:val="2"/>
    </w:lvl>
  </w:abstractNum>
  <w:abstractNum w:abstractNumId="110">
    <w:nsid w:val="57C7D42D"/>
    <w:multiLevelType w:val="hybridMultilevel"/>
    <w:lvl w:ilvl="0">
      <w:lvlJc w:val="left"/>
      <w:lvlText w:val="(%1)"/>
      <w:numFmt w:val="lowerLetter"/>
      <w:start w:val="35"/>
    </w:lvl>
    <w:lvl w:ilvl="1">
      <w:lvlJc w:val="left"/>
      <w:lvlText w:val="%2"/>
      <w:numFmt w:val="lowerLetter"/>
      <w:start w:val="1"/>
    </w:lvl>
  </w:abstractNum>
  <w:abstractNum w:abstractNumId="111">
    <w:nsid w:val="312167AD"/>
    <w:multiLevelType w:val="hybridMultilevel"/>
    <w:lvl w:ilvl="0">
      <w:lvlJc w:val="left"/>
      <w:lvlText w:val="(%1)"/>
      <w:numFmt w:val="lowerLetter"/>
      <w:start w:val="2"/>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3"/>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Letter"/>
      <w:start w:val="7"/>
    </w:lvl>
  </w:abstractNum>
  <w:abstractNum w:abstractNumId="116">
    <w:nsid w:val="1A0DDE32"/>
    <w:multiLevelType w:val="hybridMultilevel"/>
    <w:lvl w:ilvl="0">
      <w:lvlJc w:val="left"/>
      <w:lvlText w:val="(%1)"/>
      <w:numFmt w:val="lowerLetter"/>
      <w:start w:val="12"/>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lowerLetter"/>
      <w:start w:val="6"/>
    </w:lvl>
  </w:abstractNum>
  <w:abstractNum w:abstractNumId="119">
    <w:nsid w:val="260D8C4A"/>
    <w:multiLevelType w:val="hybridMultilevel"/>
    <w:lvl w:ilvl="0">
      <w:lvlJc w:val="left"/>
      <w:lvlText w:val="(%1)"/>
      <w:numFmt w:val="lowerLetter"/>
      <w:start w:val="19"/>
    </w:lvl>
  </w:abstractNum>
  <w:abstractNum w:abstractNumId="120">
    <w:nsid w:val="73D4D3C4"/>
    <w:multiLevelType w:val="hybridMultilevel"/>
    <w:lvl w:ilvl="0">
      <w:lvlJc w:val="left"/>
      <w:lvlText w:val="(%1)"/>
      <w:numFmt w:val="lowerLetter"/>
      <w:start w:val="23"/>
    </w:lvl>
  </w:abstractNum>
  <w:abstractNum w:abstractNumId="121">
    <w:nsid w:val="746F2E30"/>
    <w:multiLevelType w:val="hybridMultilevel"/>
    <w:lvl w:ilvl="0">
      <w:lvlJc w:val="left"/>
      <w:lvlText w:val="(%1)"/>
      <w:numFmt w:val="lowerLetter"/>
      <w:start w:val="27"/>
    </w:lvl>
  </w:abstractNum>
  <w:abstractNum w:abstractNumId="122">
    <w:nsid w:val="6FDE8AF6"/>
    <w:multiLevelType w:val="hybridMultilevel"/>
    <w:lvl w:ilvl="0">
      <w:lvlJc w:val="left"/>
      <w:lvlText w:val="%1"/>
      <w:numFmt w:val="lowerLetter"/>
      <w:start w:val="1"/>
    </w:lvl>
    <w:lvl w:ilvl="1">
      <w:lvlJc w:val="left"/>
      <w:lvlText w:val="(%2)"/>
      <w:numFmt w:val="lowerLetter"/>
      <w:start w:val="1"/>
    </w:lvl>
  </w:abstractNum>
  <w:abstractNum w:abstractNumId="123">
    <w:nsid w:val="3FC32E20"/>
    <w:multiLevelType w:val="hybridMultilevel"/>
    <w:lvl w:ilvl="0">
      <w:lvlJc w:val="left"/>
      <w:lvlText w:val="(%1)"/>
      <w:numFmt w:val="lowerLetter"/>
      <w:start w:val="9"/>
    </w:lvl>
    <w:lvl w:ilvl="1">
      <w:lvlJc w:val="left"/>
      <w:lvlText w:val="(%2)"/>
      <w:numFmt w:val="lowerLetter"/>
      <w:start w:val="2"/>
    </w:lvl>
  </w:abstractNum>
  <w:abstractNum w:abstractNumId="124">
    <w:nsid w:val="49C0E823"/>
    <w:multiLevelType w:val="hybridMultilevel"/>
    <w:lvl w:ilvl="0">
      <w:lvlJc w:val="left"/>
      <w:lvlText w:val="%1"/>
      <w:numFmt w:val="lowerLetter"/>
      <w:start w:val="1"/>
    </w:lvl>
    <w:lvl w:ilvl="1">
      <w:lvlJc w:val="left"/>
      <w:lvlText w:val="(%2)"/>
      <w:numFmt w:val="lowerLetter"/>
      <w:start w:val="1"/>
    </w:lvl>
  </w:abstractNum>
  <w:abstractNum w:abstractNumId="125">
    <w:nsid w:val="14D53685"/>
    <w:multiLevelType w:val="hybridMultilevel"/>
    <w:lvl w:ilvl="0">
      <w:lvlJc w:val="left"/>
      <w:lvlText w:val="(%1)"/>
      <w:numFmt w:val="lowerLetter"/>
      <w:start w:val="61"/>
    </w:lvl>
    <w:lvl w:ilvl="1">
      <w:lvlJc w:val="left"/>
      <w:lvlText w:val="(%2)"/>
      <w:numFmt w:val="lowerLetter"/>
      <w:start w:val="8"/>
    </w:lvl>
  </w:abstractNum>
  <w:abstractNum w:abstractNumId="126">
    <w:nsid w:val="230F856C"/>
    <w:multiLevelType w:val="hybridMultilevel"/>
    <w:lvl w:ilvl="0">
      <w:lvlJc w:val="left"/>
      <w:lvlText w:val="%1"/>
      <w:numFmt w:val="lowerLetter"/>
      <w:start w:val="1"/>
    </w:lvl>
    <w:lvl w:ilvl="1">
      <w:lvlJc w:val="left"/>
      <w:lvlText w:val="(%2)"/>
      <w:numFmt w:val="lowerLetter"/>
      <w:start w:val="10"/>
    </w:lvl>
  </w:abstractNum>
  <w:abstractNum w:abstractNumId="127">
    <w:nsid w:val="6EAA85FB"/>
    <w:multiLevelType w:val="hybridMultilevel"/>
    <w:lvl w:ilvl="0">
      <w:lvlJc w:val="left"/>
      <w:lvlText w:val="(%1)"/>
      <w:numFmt w:val="lowerLetter"/>
      <w:start w:val="61"/>
    </w:lvl>
    <w:lvl w:ilvl="1">
      <w:lvlJc w:val="left"/>
      <w:lvlText w:val="%2"/>
      <w:numFmt w:val="lowerLetter"/>
      <w:start w:val="1"/>
    </w:lvl>
  </w:abstractNum>
  <w:abstractNum w:abstractNumId="128">
    <w:nsid w:val="3F06ECB2"/>
    <w:multiLevelType w:val="hybridMultilevel"/>
    <w:lvl w:ilvl="0">
      <w:lvlJc w:val="left"/>
      <w:lvlText w:val="(%1)"/>
      <w:numFmt w:val="lowerRoman"/>
      <w:start w:val="4"/>
    </w:lvl>
    <w:lvl w:ilvl="1">
      <w:lvlJc w:val="left"/>
      <w:lvlText w:val="(%2)"/>
      <w:numFmt w:val="lowerLetter"/>
      <w:start w:val="12"/>
    </w:lvl>
  </w:abstractNum>
  <w:abstractNum w:abstractNumId="129">
    <w:nsid w:val="3B594807"/>
    <w:multiLevelType w:val="hybridMultilevel"/>
    <w:lvl w:ilvl="0">
      <w:lvlJc w:val="left"/>
      <w:lvlText w:val="(%1)"/>
      <w:numFmt w:val="lowerLetter"/>
      <w:start w:val="13"/>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1"/>
    </w:lvl>
    <w:lvl w:ilvl="1">
      <w:lvlJc w:val="left"/>
      <w:lvlText w:val="(%2)"/>
      <w:numFmt w:val="lowerLetter"/>
      <w:start w:val="3"/>
    </w:lvl>
  </w:abstractNum>
  <w:abstractNum w:abstractNumId="132">
    <w:nsid w:val="25413BEC"/>
    <w:multiLevelType w:val="hybridMultilevel"/>
    <w:lvl w:ilvl="0">
      <w:lvlJc w:val="left"/>
      <w:lvlText w:val="(%1)"/>
      <w:numFmt w:val="lowerLetter"/>
      <w:start w:val="35"/>
    </w:lvl>
    <w:lvl w:ilvl="1">
      <w:lvlJc w:val="left"/>
      <w:lvlText w:val="(%2)"/>
      <w:numFmt w:val="lowerLetter"/>
      <w:start w:val="8"/>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1"/>
    </w:lvl>
    <w:lvl w:ilvl="1">
      <w:lvlJc w:val="left"/>
      <w:lvlText w:val="(%2)"/>
      <w:numFmt w:val="lowerLetter"/>
      <w:start w:val="13"/>
    </w:lvl>
  </w:abstractNum>
  <w:abstractNum w:abstractNumId="135">
    <w:nsid w:val="5D205E20"/>
    <w:multiLevelType w:val="hybridMultilevel"/>
    <w:lvl w:ilvl="0">
      <w:lvlJc w:val="left"/>
      <w:lvlText w:val="(%1)"/>
      <w:numFmt w:val="lowerLetter"/>
      <w:start w:val="35"/>
    </w:lvl>
    <w:lvl w:ilvl="1">
      <w:lvlJc w:val="left"/>
      <w:lvlText w:val="(%2)"/>
      <w:numFmt w:val="lowerLetter"/>
      <w:start w:val="15"/>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2"/>
    </w:lvl>
  </w:abstractNum>
  <w:abstractNum w:abstractNumId="138">
    <w:nsid w:val="3F07ACC3"/>
    <w:multiLevelType w:val="hybridMultilevel"/>
    <w:lvl w:ilvl="0">
      <w:lvlJc w:val="left"/>
      <w:lvlText w:val="(%1)"/>
      <w:numFmt w:val="lowerLetter"/>
      <w:start w:val="8"/>
    </w:lvl>
  </w:abstractNum>
  <w:abstractNum w:abstractNumId="139">
    <w:nsid w:val="6B47F63E"/>
    <w:multiLevelType w:val="hybridMultilevel"/>
    <w:lvl w:ilvl="0">
      <w:lvlJc w:val="left"/>
      <w:lvlText w:val="(%1)"/>
      <w:numFmt w:val="lowerLetter"/>
      <w:start w:val="2"/>
    </w:lvl>
  </w:abstractNum>
  <w:abstractNum w:abstractNumId="140">
    <w:nsid w:val="5CB44A05"/>
    <w:multiLevelType w:val="hybridMultilevel"/>
    <w:lvl w:ilvl="0">
      <w:lvlJc w:val="left"/>
      <w:lvlText w:val="(%1)"/>
      <w:numFmt w:val="lowerLetter"/>
      <w:start w:val="3"/>
    </w:lvl>
  </w:abstractNum>
  <w:abstractNum w:abstractNumId="141">
    <w:nsid w:val="16CF80F1"/>
    <w:multiLevelType w:val="hybridMultilevel"/>
    <w:lvl w:ilvl="0">
      <w:lvlJc w:val="left"/>
      <w:lvlText w:val="(%1)"/>
      <w:numFmt w:val="lowerLetter"/>
      <w:start w:val="1"/>
    </w:lvl>
  </w:abstractNum>
  <w:abstractNum w:abstractNumId="142">
    <w:nsid w:val="1C695DEC"/>
    <w:multiLevelType w:val="hybridMultilevel"/>
    <w:lvl w:ilvl="0">
      <w:lvlJc w:val="left"/>
      <w:lvlText w:val="(%1)"/>
      <w:numFmt w:val="lowerLetter"/>
      <w:start w:val="2"/>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1)"/>
      <w:numFmt w:val="lowerRoman"/>
      <w:start w:val="1"/>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Letter"/>
      <w:start w:val="1"/>
    </w:lvl>
    <w:lvl w:ilvl="1">
      <w:lvlJc w:val="left"/>
      <w:lvlText w:val="(%2)"/>
      <w:numFmt w:val="lowerLetter"/>
      <w:start w:val="1"/>
    </w:lvl>
  </w:abstractNum>
  <w:abstractNum w:abstractNumId="148">
    <w:nsid w:val="77485850"/>
    <w:multiLevelType w:val="hybridMultilevel"/>
    <w:lvl w:ilvl="0">
      <w:lvlJc w:val="left"/>
      <w:lvlText w:val="(%1)"/>
      <w:numFmt w:val="lowerLetter"/>
      <w:start w:val="61"/>
    </w:lvl>
    <w:lvl w:ilvl="1">
      <w:lvlJc w:val="left"/>
      <w:lvlText w:val="%2"/>
      <w:numFmt w:val="lowerLetter"/>
      <w:start w:val="1"/>
    </w:lvl>
  </w:abstractNum>
  <w:abstractNum w:abstractNumId="149">
    <w:nsid w:val="744939A3"/>
    <w:multiLevelType w:val="hybridMultilevel"/>
    <w:lvl w:ilvl="0">
      <w:lvlJc w:val="left"/>
      <w:lvlText w:val="%1"/>
      <w:numFmt w:val="lowerLetter"/>
      <w:start w:val="1"/>
    </w:lvl>
    <w:lvl w:ilvl="1">
      <w:lvlJc w:val="left"/>
      <w:lvlText w:val="(%2)"/>
      <w:numFmt w:val="lowerLetter"/>
      <w:start w:val="2"/>
    </w:lvl>
  </w:abstractNum>
  <w:abstractNum w:abstractNumId="150">
    <w:nsid w:val="4FA0D2E3"/>
    <w:multiLevelType w:val="hybridMultilevel"/>
    <w:lvl w:ilvl="0">
      <w:lvlJc w:val="left"/>
      <w:lvlText w:val="(%1)"/>
      <w:numFmt w:val="lowerLetter"/>
      <w:start w:val="35"/>
    </w:lvl>
    <w:lvl w:ilvl="1">
      <w:lvlJc w:val="left"/>
      <w:lvlText w:val="%2"/>
      <w:numFmt w:val="lowerLetter"/>
      <w:start w:val="1"/>
    </w:lvl>
  </w:abstractNum>
  <w:abstractNum w:abstractNumId="151">
    <w:nsid w:val="6B1D2C14"/>
    <w:multiLevelType w:val="hybridMultilevel"/>
    <w:lvl w:ilvl="0">
      <w:lvlJc w:val="left"/>
      <w:lvlText w:val="%1"/>
      <w:numFmt w:val="upperLetter"/>
      <w:start w:val="1"/>
    </w:lvl>
    <w:lvl w:ilvl="1">
      <w:lvlJc w:val="left"/>
      <w:lvlText w:val="(%2)"/>
      <w:numFmt w:val="lowerLetter"/>
      <w:start w:val="6"/>
    </w:lvl>
  </w:abstractNum>
  <w:abstractNum w:abstractNumId="152">
    <w:nsid w:val="68B867D3"/>
    <w:multiLevelType w:val="hybridMultilevel"/>
    <w:lvl w:ilvl="0">
      <w:lvlJc w:val="left"/>
      <w:lvlText w:val="(%1)"/>
      <w:numFmt w:val="upperLetter"/>
      <w:start w:val="1"/>
    </w:lvl>
    <w:lvl w:ilvl="1">
      <w:lvlJc w:val="left"/>
      <w:lvlText w:val="(%2)"/>
      <w:numFmt w:val="lowerLetter"/>
      <w:start w:val="7"/>
    </w:lvl>
  </w:abstractNum>
  <w:abstractNum w:abstractNumId="153">
    <w:nsid w:val="3F7F5DD9"/>
    <w:multiLevelType w:val="hybridMultilevel"/>
    <w:lvl w:ilvl="0">
      <w:lvlJc w:val="left"/>
      <w:lvlText w:val="(%1)"/>
      <w:numFmt w:val="lowerRoman"/>
      <w:start w:val="2"/>
    </w:lvl>
  </w:abstractNum>
  <w:abstractNum w:abstractNumId="154">
    <w:nsid w:val="2AE05A34"/>
    <w:multiLevelType w:val="hybridMultilevel"/>
    <w:lvl w:ilvl="0">
      <w:lvlJc w:val="left"/>
      <w:lvlText w:val="(%1)"/>
      <w:numFmt w:val="lowerRoman"/>
      <w:start w:val="5"/>
    </w:lvl>
  </w:abstractNum>
  <w:abstractNum w:abstractNumId="155">
    <w:nsid w:val="32794FF7"/>
    <w:multiLevelType w:val="hybridMultilevel"/>
    <w:lvl w:ilvl="0">
      <w:lvlJc w:val="left"/>
      <w:lvlText w:val="(%1)"/>
      <w:numFmt w:val="lowerLetter"/>
      <w:start w:val="8"/>
    </w:lvl>
  </w:abstractNum>
  <w:abstractNum w:abstractNumId="156">
    <w:nsid w:val="5454945E"/>
    <w:multiLevelType w:val="hybridMultilevel"/>
    <w:lvl w:ilvl="0">
      <w:lvlJc w:val="left"/>
      <w:lvlText w:val="(%1)"/>
      <w:numFmt w:val="lowerLetter"/>
      <w:start w:val="1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Letter"/>
      <w:start w:val="2"/>
    </w:lvl>
  </w:abstractNum>
  <w:abstractNum w:abstractNumId="159">
    <w:nsid w:val="135B8110"/>
    <w:multiLevelType w:val="hybridMultilevel"/>
    <w:lvl w:ilvl="0">
      <w:lvlJc w:val="left"/>
      <w:lvlText w:val="(%1)"/>
      <w:numFmt w:val="lowerRoman"/>
      <w:start w:val="8"/>
    </w:lvl>
    <w:lvl w:ilvl="1">
      <w:lvlJc w:val="left"/>
      <w:lvlText w:val="(%2)"/>
      <w:numFmt w:val="lowerLetter"/>
      <w:start w:val="2"/>
    </w:lvl>
  </w:abstractNum>
  <w:abstractNum w:abstractNumId="160">
    <w:nsid w:val="94927A8"/>
    <w:multiLevelType w:val="hybridMultilevel"/>
    <w:lvl w:ilvl="0">
      <w:lvlJc w:val="left"/>
      <w:lvlText w:val="(%1)"/>
      <w:numFmt w:val="lowerLetter"/>
      <w:start w:val="3"/>
    </w:lvl>
  </w:abstractNum>
  <w:abstractNum w:abstractNumId="161">
    <w:nsid w:val="DCDF8F6"/>
    <w:multiLevelType w:val="hybridMultilevel"/>
    <w:lvl w:ilvl="0">
      <w:lvlJc w:val="left"/>
      <w:lvlText w:val="(%1)"/>
      <w:numFmt w:val="lowerLetter"/>
      <w:start w:val="2"/>
    </w:lvl>
  </w:abstractNum>
  <w:abstractNum w:abstractNumId="162">
    <w:nsid w:val="52D7B105"/>
    <w:multiLevelType w:val="hybridMultilevel"/>
    <w:lvl w:ilvl="0">
      <w:lvlJc w:val="left"/>
      <w:lvlText w:val="(%1)"/>
      <w:numFmt w:val="lowerLetter"/>
      <w:start w:val="24"/>
    </w:lvl>
    <w:lvl w:ilvl="1">
      <w:lvlJc w:val="left"/>
      <w:lvlText w:val="(%2)"/>
      <w:numFmt w:val="lowerLetter"/>
      <w:start w:val="4"/>
    </w:lvl>
  </w:abstractNum>
  <w:abstractNum w:abstractNumId="163">
    <w:nsid w:val="2E8A6394"/>
    <w:multiLevelType w:val="hybridMultilevel"/>
    <w:lvl w:ilvl="0">
      <w:lvlJc w:val="left"/>
      <w:lvlText w:val="(%1)"/>
      <w:numFmt w:val="lowerLetter"/>
      <w:start w:val="5"/>
    </w:lvl>
  </w:abstractNum>
  <w:abstractNum w:abstractNumId="164">
    <w:nsid w:val="24E60401"/>
    <w:multiLevelType w:val="hybridMultilevel"/>
    <w:lvl w:ilvl="0">
      <w:lvlJc w:val="left"/>
      <w:lvlText w:val="(%1)"/>
      <w:numFmt w:val="lowerLetter"/>
      <w:start w:val="2"/>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1)"/>
      <w:numFmt w:val="lowerLetter"/>
      <w:start w:val="2"/>
    </w:lvl>
  </w:abstractNum>
  <w:abstractNum w:abstractNumId="167">
    <w:nsid w:val="36B2ACBC"/>
    <w:multiLevelType w:val="hybridMultilevel"/>
    <w:lvl w:ilvl="0">
      <w:lvlJc w:val="left"/>
      <w:lvlText w:val="(%1)"/>
      <w:numFmt w:val="lowerLetter"/>
      <w:start w:val="1"/>
    </w:lvl>
  </w:abstractNum>
  <w:abstractNum w:abstractNumId="168">
    <w:nsid w:val="779D8544"/>
    <w:multiLevelType w:val="hybridMultilevel"/>
    <w:lvl w:ilvl="0">
      <w:lvlJc w:val="left"/>
      <w:lvlText w:val="(%1)"/>
      <w:numFmt w:val="lowerLetter"/>
      <w:start w:val="2"/>
    </w:lvl>
  </w:abstractNum>
  <w:abstractNum w:abstractNumId="169">
    <w:nsid w:val="4AB26E78"/>
    <w:multiLevelType w:val="hybridMultilevel"/>
    <w:lvl w:ilvl="0">
      <w:lvlJc w:val="left"/>
      <w:lvlText w:val="(%1)"/>
      <w:numFmt w:val="lowerLetter"/>
      <w:start w:val="4"/>
    </w:lvl>
  </w:abstractNum>
  <w:abstractNum w:abstractNumId="170">
    <w:nsid w:val="21FAA2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1">
    <w:nsid w:val="5451CF49"/>
    <w:multiLevelType w:val="hybridMultilevel"/>
    <w:lvl w:ilvl="0">
      <w:lvlJc w:val="left"/>
      <w:lvlText w:val="(%1)"/>
      <w:numFmt w:val="lowerRoman"/>
      <w:start w:val="4"/>
    </w:lvl>
  </w:abstractNum>
  <w:abstractNum w:abstractNumId="172">
    <w:nsid w:val="6181EF69"/>
    <w:multiLevelType w:val="hybridMultilevel"/>
    <w:lvl w:ilvl="0">
      <w:lvlJc w:val="left"/>
      <w:lvlText w:val="(%1)"/>
      <w:numFmt w:val="lowerRoman"/>
      <w:start w:val="5"/>
    </w:lvl>
  </w:abstractNum>
  <w:abstractNum w:abstractNumId="173">
    <w:nsid w:val="3E6400E6"/>
    <w:multiLevelType w:val="hybridMultilevel"/>
    <w:lvl w:ilvl="0">
      <w:lvlJc w:val="left"/>
      <w:lvlText w:val="(%1)"/>
      <w:numFmt w:val="lowerRoman"/>
      <w:start w:val="6"/>
    </w:lvl>
  </w:abstractNum>
  <w:abstractNum w:abstractNumId="174">
    <w:nsid w:val="14217E23"/>
    <w:multiLevelType w:val="hybridMultilevel"/>
    <w:lvl w:ilvl="0">
      <w:lvlJc w:val="left"/>
      <w:lvlText w:val="(%1)"/>
      <w:numFmt w:val="lowerLetter"/>
      <w:start w:val="1"/>
    </w:lvl>
    <w:lvl w:ilvl="1">
      <w:lvlJc w:val="left"/>
      <w:lvlText w:val="(%2)"/>
      <w:numFmt w:val="lowerLetter"/>
      <w:start w:val="35"/>
    </w:lvl>
  </w:abstractNum>
  <w:abstractNum w:abstractNumId="175">
    <w:nsid w:val="710757D0"/>
    <w:multiLevelType w:val="hybridMultilevel"/>
    <w:lvl w:ilvl="0">
      <w:lvlJc w:val="left"/>
      <w:lvlText w:val="%1"/>
      <w:numFmt w:val="lowerRoman"/>
      <w:start w:val="1"/>
    </w:lvl>
    <w:lvl w:ilvl="1">
      <w:lvlJc w:val="left"/>
      <w:lvlText w:val="(%2)"/>
      <w:numFmt w:val="lowerRoman"/>
      <w:start w:val="3"/>
    </w:lvl>
  </w:abstractNum>
  <w:abstractNum w:abstractNumId="176">
    <w:nsid w:val="5015CD1A"/>
    <w:multiLevelType w:val="hybridMultilevel"/>
    <w:lvl w:ilvl="0">
      <w:lvlJc w:val="left"/>
      <w:lvlText w:val="%1."/>
      <w:numFmt w:val="lowerRoman"/>
      <w:start w:val="1"/>
    </w:lvl>
    <w:lvl w:ilvl="1">
      <w:lvlJc w:val="left"/>
      <w:lvlText w:val="%2"/>
      <w:numFmt w:val="lowerRoman"/>
      <w:start w:val="1"/>
    </w:lvl>
  </w:abstractNum>
  <w:abstractNum w:abstractNumId="177">
    <w:nsid w:val="424479DA"/>
    <w:multiLevelType w:val="hybridMultilevel"/>
    <w:lvl w:ilvl="0">
      <w:lvlJc w:val="left"/>
      <w:lvlText w:val="%1."/>
      <w:numFmt w:val="decimal"/>
      <w:start w:val="2"/>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lvl w:ilvl="1">
      <w:lvlJc w:val="left"/>
      <w:lvlText w:val="%2)"/>
      <w:numFmt w:val="lowerLetter"/>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2019-12-15T06:40:02Z</dcterms:created>
  <dcterms:modified xsi:type="dcterms:W3CDTF">2019-12-15T06:40:02Z</dcterms:modified>
</cp:coreProperties>
</file>