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ind w:left="4320"/>
        <w:spacing w:after="0"/>
        <w:rPr>
          <w:sz w:val="20"/>
          <w:szCs w:val="20"/>
          <w:color w:val="auto"/>
        </w:rPr>
      </w:pPr>
      <w:r>
        <w:rPr>
          <w:rFonts w:ascii="Arial" w:cs="Arial" w:eastAsia="Arial" w:hAnsi="Arial"/>
          <w:sz w:val="20"/>
          <w:szCs w:val="20"/>
          <w:color w:val="auto"/>
        </w:rPr>
        <w:t>____________________________</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SCHEDULE 13D/A</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 (Amendment No. 8)</w:t>
      </w: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of Issuer)</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983134 10 7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(CUSIP Number)</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Kim Sinatra</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Senior Vice President and General Counsel</w:t>
      </w: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jc w:val="center"/>
        <w:ind w:right="-19"/>
        <w:spacing w:after="0"/>
        <w:rPr>
          <w:sz w:val="20"/>
          <w:szCs w:val="20"/>
          <w:color w:val="auto"/>
        </w:rPr>
      </w:pPr>
      <w:r>
        <w:rPr>
          <w:rFonts w:ascii="Arial" w:cs="Arial" w:eastAsia="Arial" w:hAnsi="Arial"/>
          <w:sz w:val="20"/>
          <w:szCs w:val="20"/>
          <w:b w:val="1"/>
          <w:bCs w:val="1"/>
          <w:color w:val="auto"/>
        </w:rPr>
        <w:t>3131 Las Vegas Boulevard South</w:t>
      </w:r>
    </w:p>
    <w:p>
      <w:pPr>
        <w:jc w:val="center"/>
        <w:ind w:right="-19"/>
        <w:spacing w:after="0"/>
        <w:rPr>
          <w:sz w:val="20"/>
          <w:szCs w:val="20"/>
          <w:color w:val="auto"/>
        </w:rPr>
      </w:pPr>
      <w:r>
        <w:rPr>
          <w:rFonts w:ascii="Arial" w:cs="Arial" w:eastAsia="Arial" w:hAnsi="Arial"/>
          <w:sz w:val="20"/>
          <w:szCs w:val="20"/>
          <w:b w:val="1"/>
          <w:bCs w:val="1"/>
          <w:color w:val="auto"/>
        </w:rPr>
        <w:t>Las Vegas, Nevada 89109</w:t>
      </w:r>
    </w:p>
    <w:p>
      <w:pPr>
        <w:jc w:val="center"/>
        <w:ind w:right="-19"/>
        <w:spacing w:after="0"/>
        <w:rPr>
          <w:sz w:val="20"/>
          <w:szCs w:val="20"/>
          <w:color w:val="auto"/>
        </w:rPr>
      </w:pPr>
      <w:r>
        <w:rPr>
          <w:rFonts w:ascii="Arial" w:cs="Arial" w:eastAsia="Arial" w:hAnsi="Arial"/>
          <w:sz w:val="20"/>
          <w:szCs w:val="20"/>
          <w:b w:val="1"/>
          <w:bCs w:val="1"/>
          <w:color w:val="auto"/>
        </w:rPr>
        <w:t>(702) 770-2112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(Name, Address and Telephone Number of Person Authorized to</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Receive Notices and Communications)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December 15,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Event Which Requires Filing of This Statement)</w:t>
      </w:r>
    </w:p>
    <w:p>
      <w:pPr>
        <w:spacing w:after="0" w:line="243"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98" w:lineRule="exact"/>
        <w:rPr>
          <w:sz w:val="24"/>
          <w:szCs w:val="24"/>
          <w:color w:val="auto"/>
        </w:rPr>
      </w:pPr>
    </w:p>
    <w:p>
      <w:pPr>
        <w:spacing w:after="0" w:line="267" w:lineRule="auto"/>
        <w:rPr>
          <w:sz w:val="20"/>
          <w:szCs w:val="20"/>
          <w:color w:val="auto"/>
        </w:rPr>
      </w:pPr>
      <w:r>
        <w:rPr>
          <w:rFonts w:ascii="Arial" w:cs="Arial" w:eastAsia="Arial" w:hAnsi="Arial"/>
          <w:sz w:val="20"/>
          <w:szCs w:val="20"/>
          <w:b w:val="1"/>
          <w:bCs w:val="1"/>
          <w:color w:val="auto"/>
        </w:rPr>
        <w:t>Note</w:t>
      </w:r>
      <w:r>
        <w:rPr>
          <w:rFonts w:ascii="Arial" w:cs="Arial" w:eastAsia="Arial" w:hAnsi="Arial"/>
          <w:sz w:val="20"/>
          <w:szCs w:val="20"/>
          <w:color w:val="auto"/>
        </w:rPr>
        <w:t>: Schedules filed in paper format shall include a signed original and five copies of the schedule, including all exhibits. See § 240.13d-7</w:t>
      </w:r>
      <w:r>
        <w:rPr>
          <w:rFonts w:ascii="Arial" w:cs="Arial" w:eastAsia="Arial" w:hAnsi="Arial"/>
          <w:sz w:val="20"/>
          <w:szCs w:val="20"/>
          <w:b w:val="1"/>
          <w:bCs w:val="1"/>
          <w:color w:val="auto"/>
        </w:rPr>
        <w:t xml:space="preserve"> </w:t>
      </w:r>
      <w:r>
        <w:rPr>
          <w:rFonts w:ascii="Arial" w:cs="Arial" w:eastAsia="Arial" w:hAnsi="Arial"/>
          <w:sz w:val="20"/>
          <w:szCs w:val="20"/>
          <w:color w:val="auto"/>
        </w:rPr>
        <w:t>for other parties to whom copies are to be sent.</w:t>
      </w:r>
    </w:p>
    <w:p>
      <w:pPr>
        <w:spacing w:after="0" w:line="197" w:lineRule="exact"/>
        <w:rPr>
          <w:sz w:val="24"/>
          <w:szCs w:val="24"/>
          <w:color w:val="auto"/>
        </w:rPr>
      </w:pPr>
    </w:p>
    <w:p>
      <w:pPr>
        <w:ind w:left="500" w:hanging="6"/>
        <w:spacing w:after="0" w:line="316" w:lineRule="auto"/>
        <w:tabs>
          <w:tab w:leader="none" w:pos="69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7"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8525" cy="4787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8525" cy="478726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720" w:hanging="67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Stephen A. Wynn</w:t>
      </w:r>
    </w:p>
    <w:p>
      <w:pPr>
        <w:spacing w:after="0" w:line="279" w:lineRule="exact"/>
        <w:rPr>
          <w:rFonts w:ascii="Arial" w:cs="Arial" w:eastAsia="Arial" w:hAnsi="Arial"/>
          <w:sz w:val="18"/>
          <w:szCs w:val="18"/>
          <w:color w:val="auto"/>
        </w:rPr>
      </w:pPr>
    </w:p>
    <w:p>
      <w:pPr>
        <w:ind w:left="720" w:hanging="67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6"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(A)</w:t>
            </w:r>
          </w:p>
        </w:tc>
        <w:tc>
          <w:tcPr>
            <w:tcW w:w="1780" w:type="dxa"/>
            <w:vAlign w:val="bottom"/>
            <w:gridSpan w:val="3"/>
          </w:tcPr>
          <w:p>
            <w:pPr>
              <w:ind w:left="1440"/>
              <w:spacing w:after="0"/>
              <w:rPr>
                <w:sz w:val="20"/>
                <w:szCs w:val="20"/>
                <w:color w:val="auto"/>
              </w:rPr>
            </w:pPr>
            <w:r>
              <w:rPr>
                <w:rFonts w:ascii="Arial" w:cs="Arial" w:eastAsia="Arial" w:hAnsi="Arial"/>
                <w:sz w:val="18"/>
                <w:szCs w:val="18"/>
                <w:color w:val="auto"/>
                <w:w w:val="99"/>
              </w:rPr>
              <w:t>[ X ]</w:t>
            </w:r>
          </w:p>
        </w:tc>
      </w:tr>
      <w:tr>
        <w:trPr>
          <w:trHeight w:val="20"/>
        </w:trPr>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680" w:type="dxa"/>
            <w:vAlign w:val="bottom"/>
          </w:tcPr>
          <w:p>
            <w:pPr>
              <w:spacing w:after="0"/>
              <w:rPr>
                <w:sz w:val="20"/>
                <w:szCs w:val="20"/>
                <w:color w:val="auto"/>
              </w:rPr>
            </w:pPr>
            <w:r>
              <w:rPr>
                <w:rFonts w:ascii="Arial" w:cs="Arial" w:eastAsia="Arial" w:hAnsi="Arial"/>
                <w:sz w:val="18"/>
                <w:szCs w:val="18"/>
                <w:color w:val="auto"/>
              </w:rPr>
              <w:t>(B)</w:t>
            </w:r>
          </w:p>
        </w:tc>
        <w:tc>
          <w:tcPr>
            <w:tcW w:w="1780" w:type="dxa"/>
            <w:vAlign w:val="bottom"/>
            <w:gridSpan w:val="3"/>
          </w:tcPr>
          <w:p>
            <w:pPr>
              <w:ind w:left="1440"/>
              <w:spacing w:after="0"/>
              <w:rPr>
                <w:sz w:val="20"/>
                <w:szCs w:val="20"/>
                <w:color w:val="auto"/>
              </w:rPr>
            </w:pPr>
            <w:r>
              <w:rPr>
                <w:rFonts w:ascii="Arial" w:cs="Arial" w:eastAsia="Arial" w:hAnsi="Arial"/>
                <w:sz w:val="18"/>
                <w:szCs w:val="18"/>
                <w:color w:val="auto"/>
              </w:rPr>
              <w:t>[__]</w:t>
            </w:r>
          </w:p>
        </w:tc>
      </w:tr>
    </w:tbl>
    <w:p>
      <w:pPr>
        <w:spacing w:after="0" w:line="53" w:lineRule="exact"/>
        <w:rPr>
          <w:sz w:val="20"/>
          <w:szCs w:val="20"/>
          <w:color w:val="auto"/>
        </w:rPr>
      </w:pPr>
    </w:p>
    <w:p>
      <w:pPr>
        <w:ind w:left="720" w:hanging="67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720" w:right="8240" w:hanging="676"/>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1" w:lineRule="exact"/>
        <w:rPr>
          <w:rFonts w:ascii="Arial" w:cs="Arial" w:eastAsia="Arial" w:hAnsi="Arial"/>
          <w:sz w:val="18"/>
          <w:szCs w:val="18"/>
          <w:color w:val="auto"/>
        </w:rPr>
      </w:pPr>
    </w:p>
    <w:p>
      <w:pPr>
        <w:ind w:left="720" w:hanging="67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92" w:lineRule="exact"/>
        <w:rPr>
          <w:rFonts w:ascii="Arial" w:cs="Arial" w:eastAsia="Arial" w:hAnsi="Arial"/>
          <w:sz w:val="18"/>
          <w:szCs w:val="18"/>
          <w:color w:val="auto"/>
        </w:rPr>
      </w:pPr>
    </w:p>
    <w:p>
      <w:pPr>
        <w:ind w:left="720" w:right="8080" w:hanging="676"/>
        <w:spacing w:after="0" w:line="325"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Number of Shares</w:t>
            </w:r>
          </w:p>
        </w:tc>
        <w:tc>
          <w:tcPr>
            <w:tcW w:w="840" w:type="dxa"/>
            <w:vAlign w:val="bottom"/>
          </w:tcPr>
          <w:p>
            <w:pPr>
              <w:jc w:val="right"/>
              <w:ind w:right="570"/>
              <w:spacing w:after="0"/>
              <w:rPr>
                <w:sz w:val="20"/>
                <w:szCs w:val="20"/>
                <w:color w:val="auto"/>
              </w:rPr>
            </w:pPr>
            <w:r>
              <w:rPr>
                <w:rFonts w:ascii="Arial" w:cs="Arial" w:eastAsia="Arial" w:hAnsi="Arial"/>
                <w:sz w:val="18"/>
                <w:szCs w:val="18"/>
                <w:color w:val="auto"/>
              </w:rPr>
              <w:t>7.</w:t>
            </w:r>
          </w:p>
        </w:tc>
        <w:tc>
          <w:tcPr>
            <w:tcW w:w="7240" w:type="dxa"/>
            <w:vAlign w:val="bottom"/>
          </w:tcPr>
          <w:p>
            <w:pPr>
              <w:ind w:left="6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Beneficially Owned</w:t>
            </w:r>
          </w:p>
        </w:tc>
        <w:tc>
          <w:tcPr>
            <w:tcW w:w="840" w:type="dxa"/>
            <w:vAlign w:val="bottom"/>
          </w:tcPr>
          <w:p>
            <w:pPr>
              <w:spacing w:after="0"/>
              <w:rPr>
                <w:sz w:val="18"/>
                <w:szCs w:val="18"/>
                <w:color w:val="auto"/>
              </w:rPr>
            </w:pPr>
          </w:p>
        </w:tc>
        <w:tc>
          <w:tcPr>
            <w:tcW w:w="7240" w:type="dxa"/>
            <w:vAlign w:val="bottom"/>
          </w:tcPr>
          <w:p>
            <w:pPr>
              <w:ind w:left="6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color w:val="auto"/>
              </w:rPr>
              <w:t>by Each Reporting</w:t>
            </w:r>
          </w:p>
        </w:tc>
        <w:tc>
          <w:tcPr>
            <w:tcW w:w="840" w:type="dxa"/>
            <w:vAlign w:val="bottom"/>
            <w:tcBorders>
              <w:bottom w:val="single" w:sz="8" w:color="auto"/>
            </w:tcBorders>
          </w:tcPr>
          <w:p>
            <w:pPr>
              <w:spacing w:after="0"/>
              <w:rPr>
                <w:sz w:val="3"/>
                <w:szCs w:val="3"/>
                <w:color w:val="auto"/>
              </w:rPr>
            </w:pPr>
          </w:p>
        </w:tc>
        <w:tc>
          <w:tcPr>
            <w:tcW w:w="7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300" w:type="dxa"/>
            <w:vAlign w:val="bottom"/>
            <w:vMerge w:val="continue"/>
          </w:tcPr>
          <w:p>
            <w:pPr>
              <w:spacing w:after="0"/>
              <w:rPr>
                <w:sz w:val="13"/>
                <w:szCs w:val="13"/>
                <w:color w:val="auto"/>
              </w:rPr>
            </w:pPr>
          </w:p>
        </w:tc>
        <w:tc>
          <w:tcPr>
            <w:tcW w:w="840" w:type="dxa"/>
            <w:vAlign w:val="bottom"/>
            <w:vMerge w:val="restart"/>
          </w:tcPr>
          <w:p>
            <w:pPr>
              <w:jc w:val="right"/>
              <w:ind w:right="570"/>
              <w:spacing w:after="0"/>
              <w:rPr>
                <w:sz w:val="20"/>
                <w:szCs w:val="20"/>
                <w:color w:val="auto"/>
              </w:rPr>
            </w:pPr>
            <w:r>
              <w:rPr>
                <w:rFonts w:ascii="Arial" w:cs="Arial" w:eastAsia="Arial" w:hAnsi="Arial"/>
                <w:sz w:val="18"/>
                <w:szCs w:val="18"/>
                <w:color w:val="auto"/>
              </w:rPr>
              <w:t>8.</w:t>
            </w:r>
          </w:p>
        </w:tc>
        <w:tc>
          <w:tcPr>
            <w:tcW w:w="7240" w:type="dxa"/>
            <w:vAlign w:val="bottom"/>
            <w:vMerge w:val="restart"/>
          </w:tcPr>
          <w:p>
            <w:pPr>
              <w:ind w:left="6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3300" w:type="dxa"/>
            <w:vAlign w:val="bottom"/>
            <w:vMerge w:val="restart"/>
          </w:tcPr>
          <w:p>
            <w:pPr>
              <w:spacing w:after="0"/>
              <w:rPr>
                <w:sz w:val="20"/>
                <w:szCs w:val="20"/>
                <w:color w:val="auto"/>
              </w:rPr>
            </w:pPr>
            <w:r>
              <w:rPr>
                <w:rFonts w:ascii="Arial" w:cs="Arial" w:eastAsia="Arial" w:hAnsi="Arial"/>
                <w:sz w:val="18"/>
                <w:szCs w:val="18"/>
                <w:color w:val="auto"/>
              </w:rPr>
              <w:t>Person</w:t>
            </w:r>
          </w:p>
        </w:tc>
        <w:tc>
          <w:tcPr>
            <w:tcW w:w="840" w:type="dxa"/>
            <w:vAlign w:val="bottom"/>
            <w:vMerge w:val="continue"/>
          </w:tcPr>
          <w:p>
            <w:pPr>
              <w:spacing w:after="0"/>
              <w:rPr>
                <w:sz w:val="5"/>
                <w:szCs w:val="5"/>
                <w:color w:val="auto"/>
              </w:rPr>
            </w:pPr>
          </w:p>
        </w:tc>
        <w:tc>
          <w:tcPr>
            <w:tcW w:w="7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7240" w:type="dxa"/>
            <w:vAlign w:val="bottom"/>
          </w:tcPr>
          <w:p>
            <w:pPr>
              <w:ind w:left="660"/>
              <w:spacing w:after="0" w:line="177" w:lineRule="exact"/>
              <w:rPr>
                <w:sz w:val="20"/>
                <w:szCs w:val="20"/>
                <w:color w:val="auto"/>
              </w:rPr>
            </w:pPr>
            <w:r>
              <w:rPr>
                <w:rFonts w:ascii="Arial" w:cs="Arial" w:eastAsia="Arial" w:hAnsi="Arial"/>
                <w:sz w:val="15"/>
                <w:szCs w:val="15"/>
                <w:color w:val="auto"/>
              </w:rPr>
              <w:t xml:space="preserve">44,408,300 </w:t>
            </w:r>
            <w:r>
              <w:rPr>
                <w:rFonts w:ascii="Arial" w:cs="Arial" w:eastAsia="Arial" w:hAnsi="Arial"/>
                <w:sz w:val="20"/>
                <w:szCs w:val="20"/>
                <w:color w:val="auto"/>
                <w:vertAlign w:val="superscript"/>
              </w:rPr>
              <w:t>1, 2</w:t>
            </w:r>
          </w:p>
        </w:tc>
        <w:tc>
          <w:tcPr>
            <w:tcW w:w="0" w:type="dxa"/>
            <w:vAlign w:val="bottom"/>
          </w:tcPr>
          <w:p>
            <w:pPr>
              <w:spacing w:after="0"/>
              <w:rPr>
                <w:sz w:val="1"/>
                <w:szCs w:val="1"/>
                <w:color w:val="auto"/>
              </w:rPr>
            </w:pPr>
          </w:p>
        </w:tc>
      </w:tr>
      <w:tr>
        <w:trPr>
          <w:trHeight w:val="81"/>
        </w:trPr>
        <w:tc>
          <w:tcPr>
            <w:tcW w:w="330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7"/>
                <w:szCs w:val="7"/>
                <w:color w:val="auto"/>
              </w:rPr>
            </w:pPr>
          </w:p>
        </w:tc>
        <w:tc>
          <w:tcPr>
            <w:tcW w:w="7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300" w:type="dxa"/>
            <w:vAlign w:val="bottom"/>
            <w:vMerge w:val="continue"/>
          </w:tcPr>
          <w:p>
            <w:pPr>
              <w:spacing w:after="0"/>
              <w:rPr>
                <w:sz w:val="11"/>
                <w:szCs w:val="11"/>
                <w:color w:val="auto"/>
              </w:rPr>
            </w:pPr>
          </w:p>
        </w:tc>
        <w:tc>
          <w:tcPr>
            <w:tcW w:w="840" w:type="dxa"/>
            <w:vAlign w:val="bottom"/>
            <w:vMerge w:val="restart"/>
          </w:tcPr>
          <w:p>
            <w:pPr>
              <w:jc w:val="right"/>
              <w:ind w:right="570"/>
              <w:spacing w:after="0"/>
              <w:rPr>
                <w:sz w:val="20"/>
                <w:szCs w:val="20"/>
                <w:color w:val="auto"/>
              </w:rPr>
            </w:pPr>
            <w:r>
              <w:rPr>
                <w:rFonts w:ascii="Arial" w:cs="Arial" w:eastAsia="Arial" w:hAnsi="Arial"/>
                <w:sz w:val="18"/>
                <w:szCs w:val="18"/>
                <w:color w:val="auto"/>
              </w:rPr>
              <w:t>9.</w:t>
            </w:r>
          </w:p>
        </w:tc>
        <w:tc>
          <w:tcPr>
            <w:tcW w:w="7240" w:type="dxa"/>
            <w:vAlign w:val="bottom"/>
            <w:vMerge w:val="restart"/>
          </w:tcPr>
          <w:p>
            <w:pPr>
              <w:ind w:left="6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3"/>
        </w:trPr>
        <w:tc>
          <w:tcPr>
            <w:tcW w:w="3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40" w:type="dxa"/>
            <w:vAlign w:val="bottom"/>
          </w:tcPr>
          <w:p>
            <w:pPr>
              <w:ind w:left="6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840" w:right="4720" w:hanging="1460"/>
        <w:spacing w:after="0" w:line="250" w:lineRule="auto"/>
        <w:tabs>
          <w:tab w:leader="none" w:pos="4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Shared Dispositive Power 44,408,300 </w:t>
      </w:r>
      <w:r>
        <w:rPr>
          <w:rFonts w:ascii="Arial" w:cs="Arial" w:eastAsia="Arial" w:hAnsi="Arial"/>
          <w:sz w:val="25"/>
          <w:szCs w:val="25"/>
          <w:color w:val="auto"/>
          <w:vertAlign w:val="superscript"/>
        </w:rPr>
        <w:t>1, 2</w:t>
      </w:r>
    </w:p>
    <w:p>
      <w:pPr>
        <w:ind w:left="720" w:right="5900" w:hanging="676"/>
        <w:spacing w:after="0" w:line="242"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44,408,300 </w:t>
      </w:r>
      <w:r>
        <w:rPr>
          <w:rFonts w:ascii="Arial" w:cs="Arial" w:eastAsia="Arial" w:hAnsi="Arial"/>
          <w:sz w:val="25"/>
          <w:szCs w:val="25"/>
          <w:color w:val="auto"/>
          <w:vertAlign w:val="superscript"/>
        </w:rPr>
        <w:t>1, 2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12.</w:t>
            </w:r>
          </w:p>
        </w:tc>
        <w:tc>
          <w:tcPr>
            <w:tcW w:w="7080" w:type="dxa"/>
            <w:vAlign w:val="bottom"/>
          </w:tcPr>
          <w:p>
            <w:pPr>
              <w:ind w:left="220"/>
              <w:spacing w:after="0"/>
              <w:rPr>
                <w:sz w:val="20"/>
                <w:szCs w:val="20"/>
                <w:color w:val="auto"/>
              </w:rPr>
            </w:pPr>
            <w:r>
              <w:rPr>
                <w:rFonts w:ascii="Arial" w:cs="Arial" w:eastAsia="Arial" w:hAnsi="Arial"/>
                <w:sz w:val="18"/>
                <w:szCs w:val="18"/>
                <w:color w:val="auto"/>
                <w:w w:val="92"/>
              </w:rPr>
              <w:t>Check if the Aggregate Amount In Row (11) Excludes Certain Shares (See Instructions)   [__]</w:t>
            </w:r>
          </w:p>
        </w:tc>
      </w:tr>
    </w:tbl>
    <w:p>
      <w:pPr>
        <w:spacing w:after="0" w:line="200" w:lineRule="exact"/>
        <w:rPr>
          <w:sz w:val="20"/>
          <w:szCs w:val="20"/>
          <w:color w:val="auto"/>
        </w:rPr>
      </w:pPr>
    </w:p>
    <w:p>
      <w:pPr>
        <w:spacing w:after="0" w:line="269" w:lineRule="exact"/>
        <w:rPr>
          <w:sz w:val="20"/>
          <w:szCs w:val="20"/>
          <w:color w:val="auto"/>
        </w:rPr>
      </w:pPr>
    </w:p>
    <w:p>
      <w:pPr>
        <w:ind w:left="720" w:right="6940" w:hanging="676"/>
        <w:spacing w:after="0" w:line="250" w:lineRule="auto"/>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35.6% </w:t>
      </w:r>
      <w:r>
        <w:rPr>
          <w:rFonts w:ascii="Arial" w:cs="Arial" w:eastAsia="Arial" w:hAnsi="Arial"/>
          <w:sz w:val="25"/>
          <w:szCs w:val="25"/>
          <w:color w:val="auto"/>
          <w:vertAlign w:val="superscript"/>
        </w:rPr>
        <w:t>3</w:t>
      </w:r>
    </w:p>
    <w:p>
      <w:pPr>
        <w:ind w:left="720" w:hanging="676"/>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720" w:right="60" w:hanging="712"/>
        <w:spacing w:after="0" w:line="255"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10,026,708 shares (the “SAW Shares”) held by Stephen A. Wynn (“Mr. Wynn”) and 9,832,370 shares (the “EW Shares”) held by Elaine P. Wynn (“Ms. Wynn” and, together with Mr. Wynn, the “Reporting Persons”). The EW Shares were previously held as community property by Mr. Wynn and Ms. Wynn and they were transferred to Ms. Wynn pursuant to a divorce settlement on January 6, 2010. The EW Shares may be deemed to be beneficially owned by Mr. Wynn under the amended and restated stockholders agreement, dated as of January 6, 2010, among Mr. Wynn, Ms. Wynn and Aruze USA, Inc. (“Aruze USA”) (the “Amended and Restated Stockholders Agreement”). Mr. Wynn disclaims beneficial ownership of the EW Shares.</w:t>
      </w:r>
    </w:p>
    <w:p>
      <w:pPr>
        <w:spacing w:after="0" w:line="193" w:lineRule="exact"/>
        <w:rPr>
          <w:rFonts w:ascii="Arial" w:cs="Arial" w:eastAsia="Arial" w:hAnsi="Arial"/>
          <w:sz w:val="18"/>
          <w:szCs w:val="18"/>
          <w:color w:val="auto"/>
        </w:rPr>
      </w:pPr>
    </w:p>
    <w:p>
      <w:pPr>
        <w:ind w:left="720" w:right="680" w:hanging="712"/>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24,549,222 shares (the “Aruze Shares”) held by Aruze USA that may be deemed to be beneficially owned by Mr. Wynn under the Amended and Restated Stockholders Agreement. The Reporting Persons disclaim beneficial ownership of the Aruze Shares.</w:t>
      </w:r>
    </w:p>
    <w:p>
      <w:pPr>
        <w:spacing w:after="0" w:line="123" w:lineRule="exact"/>
        <w:rPr>
          <w:rFonts w:ascii="Arial" w:cs="Arial" w:eastAsia="Arial" w:hAnsi="Arial"/>
          <w:sz w:val="16"/>
          <w:szCs w:val="16"/>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Persons may be deemed to beneficially own is approximately</w:t>
      </w:r>
    </w:p>
    <w:p>
      <w:pPr>
        <w:spacing w:after="0" w:line="23" w:lineRule="exact"/>
        <w:rPr>
          <w:rFonts w:ascii="Arial" w:cs="Arial" w:eastAsia="Arial" w:hAnsi="Arial"/>
          <w:sz w:val="18"/>
          <w:szCs w:val="18"/>
          <w:color w:val="auto"/>
        </w:rPr>
      </w:pPr>
    </w:p>
    <w:p>
      <w:pPr>
        <w:ind w:left="720" w:right="580"/>
        <w:spacing w:after="0" w:line="323" w:lineRule="auto"/>
        <w:rPr>
          <w:rFonts w:ascii="Arial" w:cs="Arial" w:eastAsia="Arial" w:hAnsi="Arial"/>
          <w:sz w:val="18"/>
          <w:szCs w:val="18"/>
          <w:color w:val="auto"/>
        </w:rPr>
      </w:pPr>
      <w:r>
        <w:rPr>
          <w:rFonts w:ascii="Arial" w:cs="Arial" w:eastAsia="Arial" w:hAnsi="Arial"/>
          <w:sz w:val="16"/>
          <w:szCs w:val="16"/>
          <w:color w:val="auto"/>
        </w:rPr>
        <w:t>35.6%. Excluding the Aruze Shares that the Reporting Persons may be deemed to beneficially own as a result of the Amended and Restated Stockholders Agreement, each Reporting Person may be deemed to beneficially own approximately 15.9%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678180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983134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8525" cy="4787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4787265"/>
                    </a:xfrm>
                    <a:prstGeom prst="rect">
                      <a:avLst/>
                    </a:prstGeom>
                    <a:noFill/>
                  </pic:spPr>
                </pic:pic>
              </a:graphicData>
            </a:graphic>
          </wp:anchor>
        </w:drawing>
      </w:r>
    </w:p>
    <w:p>
      <w:pPr>
        <w:spacing w:after="0" w:line="273" w:lineRule="exact"/>
        <w:rPr>
          <w:sz w:val="20"/>
          <w:szCs w:val="20"/>
          <w:color w:val="auto"/>
        </w:rPr>
      </w:pPr>
    </w:p>
    <w:p>
      <w:pPr>
        <w:ind w:left="720" w:hanging="67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Elaine P. Wynn</w:t>
      </w:r>
    </w:p>
    <w:p>
      <w:pPr>
        <w:spacing w:after="0" w:line="279" w:lineRule="exact"/>
        <w:rPr>
          <w:rFonts w:ascii="Arial" w:cs="Arial" w:eastAsia="Arial" w:hAnsi="Arial"/>
          <w:sz w:val="18"/>
          <w:szCs w:val="18"/>
          <w:color w:val="auto"/>
        </w:rPr>
      </w:pPr>
    </w:p>
    <w:p>
      <w:pPr>
        <w:ind w:left="720" w:hanging="676"/>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46"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(A)</w:t>
            </w:r>
          </w:p>
        </w:tc>
        <w:tc>
          <w:tcPr>
            <w:tcW w:w="1780" w:type="dxa"/>
            <w:vAlign w:val="bottom"/>
            <w:gridSpan w:val="3"/>
          </w:tcPr>
          <w:p>
            <w:pPr>
              <w:ind w:left="1440"/>
              <w:spacing w:after="0"/>
              <w:rPr>
                <w:sz w:val="20"/>
                <w:szCs w:val="20"/>
                <w:color w:val="auto"/>
              </w:rPr>
            </w:pPr>
            <w:r>
              <w:rPr>
                <w:rFonts w:ascii="Arial" w:cs="Arial" w:eastAsia="Arial" w:hAnsi="Arial"/>
                <w:sz w:val="18"/>
                <w:szCs w:val="18"/>
                <w:color w:val="auto"/>
                <w:w w:val="99"/>
              </w:rPr>
              <w:t>[ X ]</w:t>
            </w:r>
          </w:p>
        </w:tc>
      </w:tr>
      <w:tr>
        <w:trPr>
          <w:trHeight w:val="20"/>
        </w:trPr>
        <w:tc>
          <w:tcPr>
            <w:tcW w:w="1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1680" w:type="dxa"/>
            <w:vAlign w:val="bottom"/>
          </w:tcPr>
          <w:p>
            <w:pPr>
              <w:spacing w:after="0"/>
              <w:rPr>
                <w:sz w:val="20"/>
                <w:szCs w:val="20"/>
                <w:color w:val="auto"/>
              </w:rPr>
            </w:pPr>
            <w:r>
              <w:rPr>
                <w:rFonts w:ascii="Arial" w:cs="Arial" w:eastAsia="Arial" w:hAnsi="Arial"/>
                <w:sz w:val="18"/>
                <w:szCs w:val="18"/>
                <w:color w:val="auto"/>
              </w:rPr>
              <w:t>(B)</w:t>
            </w:r>
          </w:p>
        </w:tc>
        <w:tc>
          <w:tcPr>
            <w:tcW w:w="1780" w:type="dxa"/>
            <w:vAlign w:val="bottom"/>
            <w:gridSpan w:val="3"/>
          </w:tcPr>
          <w:p>
            <w:pPr>
              <w:ind w:left="1440"/>
              <w:spacing w:after="0"/>
              <w:rPr>
                <w:sz w:val="20"/>
                <w:szCs w:val="20"/>
                <w:color w:val="auto"/>
              </w:rPr>
            </w:pPr>
            <w:r>
              <w:rPr>
                <w:rFonts w:ascii="Arial" w:cs="Arial" w:eastAsia="Arial" w:hAnsi="Arial"/>
                <w:sz w:val="18"/>
                <w:szCs w:val="18"/>
                <w:color w:val="auto"/>
              </w:rPr>
              <w:t>[__]</w:t>
            </w:r>
          </w:p>
        </w:tc>
      </w:tr>
    </w:tbl>
    <w:p>
      <w:pPr>
        <w:spacing w:after="0" w:line="53" w:lineRule="exact"/>
        <w:rPr>
          <w:sz w:val="20"/>
          <w:szCs w:val="20"/>
          <w:color w:val="auto"/>
        </w:rPr>
      </w:pPr>
    </w:p>
    <w:p>
      <w:pPr>
        <w:ind w:left="720" w:hanging="67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92" w:lineRule="exact"/>
        <w:rPr>
          <w:rFonts w:ascii="Arial" w:cs="Arial" w:eastAsia="Arial" w:hAnsi="Arial"/>
          <w:sz w:val="18"/>
          <w:szCs w:val="18"/>
          <w:color w:val="auto"/>
        </w:rPr>
      </w:pPr>
    </w:p>
    <w:p>
      <w:pPr>
        <w:ind w:left="720" w:right="8240" w:hanging="676"/>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Source of Funds (see Instructions) N/A</w:t>
      </w:r>
    </w:p>
    <w:p>
      <w:pPr>
        <w:spacing w:after="0" w:line="21" w:lineRule="exact"/>
        <w:rPr>
          <w:rFonts w:ascii="Arial" w:cs="Arial" w:eastAsia="Arial" w:hAnsi="Arial"/>
          <w:sz w:val="18"/>
          <w:szCs w:val="18"/>
          <w:color w:val="auto"/>
        </w:rPr>
      </w:pPr>
    </w:p>
    <w:p>
      <w:pPr>
        <w:ind w:left="720" w:hanging="676"/>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[__]</w:t>
      </w:r>
    </w:p>
    <w:p>
      <w:pPr>
        <w:spacing w:after="0" w:line="292" w:lineRule="exact"/>
        <w:rPr>
          <w:rFonts w:ascii="Arial" w:cs="Arial" w:eastAsia="Arial" w:hAnsi="Arial"/>
          <w:sz w:val="18"/>
          <w:szCs w:val="18"/>
          <w:color w:val="auto"/>
        </w:rPr>
      </w:pPr>
    </w:p>
    <w:p>
      <w:pPr>
        <w:ind w:left="720" w:right="8080" w:hanging="676"/>
        <w:spacing w:after="0" w:line="325"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Number of Shares</w:t>
            </w:r>
          </w:p>
        </w:tc>
        <w:tc>
          <w:tcPr>
            <w:tcW w:w="840" w:type="dxa"/>
            <w:vAlign w:val="bottom"/>
          </w:tcPr>
          <w:p>
            <w:pPr>
              <w:jc w:val="right"/>
              <w:ind w:right="570"/>
              <w:spacing w:after="0"/>
              <w:rPr>
                <w:sz w:val="20"/>
                <w:szCs w:val="20"/>
                <w:color w:val="auto"/>
              </w:rPr>
            </w:pPr>
            <w:r>
              <w:rPr>
                <w:rFonts w:ascii="Arial" w:cs="Arial" w:eastAsia="Arial" w:hAnsi="Arial"/>
                <w:sz w:val="18"/>
                <w:szCs w:val="18"/>
                <w:color w:val="auto"/>
              </w:rPr>
              <w:t>7.</w:t>
            </w:r>
          </w:p>
        </w:tc>
        <w:tc>
          <w:tcPr>
            <w:tcW w:w="7240" w:type="dxa"/>
            <w:vAlign w:val="bottom"/>
          </w:tcPr>
          <w:p>
            <w:pPr>
              <w:ind w:left="6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Beneficially Owned</w:t>
            </w:r>
          </w:p>
        </w:tc>
        <w:tc>
          <w:tcPr>
            <w:tcW w:w="840" w:type="dxa"/>
            <w:vAlign w:val="bottom"/>
          </w:tcPr>
          <w:p>
            <w:pPr>
              <w:spacing w:after="0"/>
              <w:rPr>
                <w:sz w:val="18"/>
                <w:szCs w:val="18"/>
                <w:color w:val="auto"/>
              </w:rPr>
            </w:pPr>
          </w:p>
        </w:tc>
        <w:tc>
          <w:tcPr>
            <w:tcW w:w="7240" w:type="dxa"/>
            <w:vAlign w:val="bottom"/>
          </w:tcPr>
          <w:p>
            <w:pPr>
              <w:ind w:left="6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1"/>
        </w:trPr>
        <w:tc>
          <w:tcPr>
            <w:tcW w:w="3300" w:type="dxa"/>
            <w:vAlign w:val="bottom"/>
            <w:vMerge w:val="restart"/>
          </w:tcPr>
          <w:p>
            <w:pPr>
              <w:spacing w:after="0"/>
              <w:rPr>
                <w:sz w:val="20"/>
                <w:szCs w:val="20"/>
                <w:color w:val="auto"/>
              </w:rPr>
            </w:pPr>
            <w:r>
              <w:rPr>
                <w:rFonts w:ascii="Arial" w:cs="Arial" w:eastAsia="Arial" w:hAnsi="Arial"/>
                <w:sz w:val="18"/>
                <w:szCs w:val="18"/>
                <w:color w:val="auto"/>
              </w:rPr>
              <w:t>by Each Reporting</w:t>
            </w:r>
          </w:p>
        </w:tc>
        <w:tc>
          <w:tcPr>
            <w:tcW w:w="840" w:type="dxa"/>
            <w:vAlign w:val="bottom"/>
            <w:tcBorders>
              <w:bottom w:val="single" w:sz="8" w:color="auto"/>
            </w:tcBorders>
          </w:tcPr>
          <w:p>
            <w:pPr>
              <w:spacing w:after="0"/>
              <w:rPr>
                <w:sz w:val="3"/>
                <w:szCs w:val="3"/>
                <w:color w:val="auto"/>
              </w:rPr>
            </w:pPr>
          </w:p>
        </w:tc>
        <w:tc>
          <w:tcPr>
            <w:tcW w:w="7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3300" w:type="dxa"/>
            <w:vAlign w:val="bottom"/>
            <w:vMerge w:val="continue"/>
          </w:tcPr>
          <w:p>
            <w:pPr>
              <w:spacing w:after="0"/>
              <w:rPr>
                <w:sz w:val="13"/>
                <w:szCs w:val="13"/>
                <w:color w:val="auto"/>
              </w:rPr>
            </w:pPr>
          </w:p>
        </w:tc>
        <w:tc>
          <w:tcPr>
            <w:tcW w:w="840" w:type="dxa"/>
            <w:vAlign w:val="bottom"/>
            <w:vMerge w:val="restart"/>
          </w:tcPr>
          <w:p>
            <w:pPr>
              <w:jc w:val="right"/>
              <w:ind w:right="570"/>
              <w:spacing w:after="0"/>
              <w:rPr>
                <w:sz w:val="20"/>
                <w:szCs w:val="20"/>
                <w:color w:val="auto"/>
              </w:rPr>
            </w:pPr>
            <w:r>
              <w:rPr>
                <w:rFonts w:ascii="Arial" w:cs="Arial" w:eastAsia="Arial" w:hAnsi="Arial"/>
                <w:sz w:val="18"/>
                <w:szCs w:val="18"/>
                <w:color w:val="auto"/>
              </w:rPr>
              <w:t>8.</w:t>
            </w:r>
          </w:p>
        </w:tc>
        <w:tc>
          <w:tcPr>
            <w:tcW w:w="7240" w:type="dxa"/>
            <w:vAlign w:val="bottom"/>
            <w:vMerge w:val="restart"/>
          </w:tcPr>
          <w:p>
            <w:pPr>
              <w:ind w:left="6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8"/>
        </w:trPr>
        <w:tc>
          <w:tcPr>
            <w:tcW w:w="3300" w:type="dxa"/>
            <w:vAlign w:val="bottom"/>
            <w:vMerge w:val="restart"/>
          </w:tcPr>
          <w:p>
            <w:pPr>
              <w:spacing w:after="0"/>
              <w:rPr>
                <w:sz w:val="20"/>
                <w:szCs w:val="20"/>
                <w:color w:val="auto"/>
              </w:rPr>
            </w:pPr>
            <w:r>
              <w:rPr>
                <w:rFonts w:ascii="Arial" w:cs="Arial" w:eastAsia="Arial" w:hAnsi="Arial"/>
                <w:sz w:val="18"/>
                <w:szCs w:val="18"/>
                <w:color w:val="auto"/>
              </w:rPr>
              <w:t>Person</w:t>
            </w:r>
          </w:p>
        </w:tc>
        <w:tc>
          <w:tcPr>
            <w:tcW w:w="840" w:type="dxa"/>
            <w:vAlign w:val="bottom"/>
            <w:vMerge w:val="continue"/>
          </w:tcPr>
          <w:p>
            <w:pPr>
              <w:spacing w:after="0"/>
              <w:rPr>
                <w:sz w:val="5"/>
                <w:szCs w:val="5"/>
                <w:color w:val="auto"/>
              </w:rPr>
            </w:pPr>
          </w:p>
        </w:tc>
        <w:tc>
          <w:tcPr>
            <w:tcW w:w="7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7240" w:type="dxa"/>
            <w:vAlign w:val="bottom"/>
          </w:tcPr>
          <w:p>
            <w:pPr>
              <w:ind w:left="660"/>
              <w:spacing w:after="0" w:line="177" w:lineRule="exact"/>
              <w:rPr>
                <w:sz w:val="20"/>
                <w:szCs w:val="20"/>
                <w:color w:val="auto"/>
              </w:rPr>
            </w:pPr>
            <w:r>
              <w:rPr>
                <w:rFonts w:ascii="Arial" w:cs="Arial" w:eastAsia="Arial" w:hAnsi="Arial"/>
                <w:sz w:val="15"/>
                <w:szCs w:val="15"/>
                <w:color w:val="auto"/>
              </w:rPr>
              <w:t xml:space="preserve">44,408,300 </w:t>
            </w:r>
            <w:r>
              <w:rPr>
                <w:rFonts w:ascii="Arial" w:cs="Arial" w:eastAsia="Arial" w:hAnsi="Arial"/>
                <w:sz w:val="20"/>
                <w:szCs w:val="20"/>
                <w:color w:val="auto"/>
                <w:vertAlign w:val="superscript"/>
              </w:rPr>
              <w:t>1, 2</w:t>
            </w:r>
          </w:p>
        </w:tc>
        <w:tc>
          <w:tcPr>
            <w:tcW w:w="0" w:type="dxa"/>
            <w:vAlign w:val="bottom"/>
          </w:tcPr>
          <w:p>
            <w:pPr>
              <w:spacing w:after="0"/>
              <w:rPr>
                <w:sz w:val="1"/>
                <w:szCs w:val="1"/>
                <w:color w:val="auto"/>
              </w:rPr>
            </w:pPr>
          </w:p>
        </w:tc>
      </w:tr>
      <w:tr>
        <w:trPr>
          <w:trHeight w:val="81"/>
        </w:trPr>
        <w:tc>
          <w:tcPr>
            <w:tcW w:w="330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840" w:type="dxa"/>
            <w:vAlign w:val="bottom"/>
            <w:tcBorders>
              <w:bottom w:val="single" w:sz="8" w:color="auto"/>
            </w:tcBorders>
          </w:tcPr>
          <w:p>
            <w:pPr>
              <w:spacing w:after="0"/>
              <w:rPr>
                <w:sz w:val="7"/>
                <w:szCs w:val="7"/>
                <w:color w:val="auto"/>
              </w:rPr>
            </w:pPr>
          </w:p>
        </w:tc>
        <w:tc>
          <w:tcPr>
            <w:tcW w:w="7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3300" w:type="dxa"/>
            <w:vAlign w:val="bottom"/>
            <w:vMerge w:val="continue"/>
          </w:tcPr>
          <w:p>
            <w:pPr>
              <w:spacing w:after="0"/>
              <w:rPr>
                <w:sz w:val="11"/>
                <w:szCs w:val="11"/>
                <w:color w:val="auto"/>
              </w:rPr>
            </w:pPr>
          </w:p>
        </w:tc>
        <w:tc>
          <w:tcPr>
            <w:tcW w:w="840" w:type="dxa"/>
            <w:vAlign w:val="bottom"/>
            <w:vMerge w:val="restart"/>
          </w:tcPr>
          <w:p>
            <w:pPr>
              <w:jc w:val="right"/>
              <w:ind w:right="570"/>
              <w:spacing w:after="0"/>
              <w:rPr>
                <w:sz w:val="20"/>
                <w:szCs w:val="20"/>
                <w:color w:val="auto"/>
              </w:rPr>
            </w:pPr>
            <w:r>
              <w:rPr>
                <w:rFonts w:ascii="Arial" w:cs="Arial" w:eastAsia="Arial" w:hAnsi="Arial"/>
                <w:sz w:val="18"/>
                <w:szCs w:val="18"/>
                <w:color w:val="auto"/>
              </w:rPr>
              <w:t>9.</w:t>
            </w:r>
          </w:p>
        </w:tc>
        <w:tc>
          <w:tcPr>
            <w:tcW w:w="7240" w:type="dxa"/>
            <w:vAlign w:val="bottom"/>
            <w:vMerge w:val="restart"/>
          </w:tcPr>
          <w:p>
            <w:pPr>
              <w:ind w:left="6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3"/>
        </w:trPr>
        <w:tc>
          <w:tcPr>
            <w:tcW w:w="33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240" w:type="dxa"/>
            <w:vAlign w:val="bottom"/>
          </w:tcPr>
          <w:p>
            <w:pPr>
              <w:ind w:left="6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4840" w:right="4720" w:hanging="1460"/>
        <w:spacing w:after="0" w:line="250" w:lineRule="auto"/>
        <w:tabs>
          <w:tab w:leader="none" w:pos="4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Shared Dispositive Power 44,408,300 </w:t>
      </w:r>
      <w:r>
        <w:rPr>
          <w:rFonts w:ascii="Arial" w:cs="Arial" w:eastAsia="Arial" w:hAnsi="Arial"/>
          <w:sz w:val="25"/>
          <w:szCs w:val="25"/>
          <w:color w:val="auto"/>
          <w:vertAlign w:val="superscript"/>
        </w:rPr>
        <w:t>1, 2</w:t>
      </w:r>
    </w:p>
    <w:p>
      <w:pPr>
        <w:ind w:left="720" w:right="5900" w:hanging="676"/>
        <w:spacing w:after="0" w:line="242"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44,408,300 </w:t>
      </w:r>
      <w:r>
        <w:rPr>
          <w:rFonts w:ascii="Arial" w:cs="Arial" w:eastAsia="Arial" w:hAnsi="Arial"/>
          <w:sz w:val="25"/>
          <w:szCs w:val="25"/>
          <w:color w:val="auto"/>
          <w:vertAlign w:val="superscript"/>
        </w:rPr>
        <w:t>1, 2</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12.</w:t>
            </w:r>
          </w:p>
        </w:tc>
        <w:tc>
          <w:tcPr>
            <w:tcW w:w="7080" w:type="dxa"/>
            <w:vAlign w:val="bottom"/>
          </w:tcPr>
          <w:p>
            <w:pPr>
              <w:ind w:left="220"/>
              <w:spacing w:after="0"/>
              <w:rPr>
                <w:sz w:val="20"/>
                <w:szCs w:val="20"/>
                <w:color w:val="auto"/>
              </w:rPr>
            </w:pPr>
            <w:r>
              <w:rPr>
                <w:rFonts w:ascii="Arial" w:cs="Arial" w:eastAsia="Arial" w:hAnsi="Arial"/>
                <w:sz w:val="18"/>
                <w:szCs w:val="18"/>
                <w:color w:val="auto"/>
                <w:w w:val="92"/>
              </w:rPr>
              <w:t>Check if the Aggregate Amount In Row (11) Excludes Certain Shares (See Instructions)   [__]</w:t>
            </w:r>
          </w:p>
        </w:tc>
      </w:tr>
    </w:tbl>
    <w:p>
      <w:pPr>
        <w:spacing w:after="0" w:line="200" w:lineRule="exact"/>
        <w:rPr>
          <w:sz w:val="20"/>
          <w:szCs w:val="20"/>
          <w:color w:val="auto"/>
        </w:rPr>
      </w:pPr>
    </w:p>
    <w:p>
      <w:pPr>
        <w:spacing w:after="0" w:line="269" w:lineRule="exact"/>
        <w:rPr>
          <w:sz w:val="20"/>
          <w:szCs w:val="20"/>
          <w:color w:val="auto"/>
        </w:rPr>
      </w:pPr>
    </w:p>
    <w:p>
      <w:pPr>
        <w:ind w:left="720" w:right="6940" w:hanging="676"/>
        <w:spacing w:after="0" w:line="250" w:lineRule="auto"/>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35.6% </w:t>
      </w:r>
      <w:r>
        <w:rPr>
          <w:rFonts w:ascii="Arial" w:cs="Arial" w:eastAsia="Arial" w:hAnsi="Arial"/>
          <w:sz w:val="25"/>
          <w:szCs w:val="25"/>
          <w:color w:val="auto"/>
          <w:vertAlign w:val="superscript"/>
        </w:rPr>
        <w:t>3</w:t>
      </w:r>
    </w:p>
    <w:p>
      <w:pPr>
        <w:ind w:left="720" w:hanging="676"/>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7"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72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SAW Shares held by Mr. Wynn that may be deemed to be beneficially owned by Ms. Wynn under the Amended and Restated Stockholders Agreement. Ms. Wynn disclaims beneficial ownership of the SAW Shares.</w:t>
      </w:r>
    </w:p>
    <w:p>
      <w:pPr>
        <w:spacing w:after="0" w:line="170" w:lineRule="exact"/>
        <w:rPr>
          <w:rFonts w:ascii="Arial" w:cs="Arial" w:eastAsia="Arial" w:hAnsi="Arial"/>
          <w:sz w:val="18"/>
          <w:szCs w:val="18"/>
          <w:color w:val="auto"/>
        </w:rPr>
      </w:pPr>
    </w:p>
    <w:p>
      <w:pPr>
        <w:ind w:left="720" w:right="400" w:hanging="712"/>
        <w:spacing w:after="0" w:line="277"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Aruze Shares held by Aruze USA that may be deemed to be beneficially owned by the Reporting Persons under the Amended and Restated Stockholders Agreement. The Reporting Persons disclaim beneficial ownership of the Aruze Shares.</w:t>
      </w:r>
    </w:p>
    <w:p>
      <w:pPr>
        <w:spacing w:after="0" w:line="170" w:lineRule="exact"/>
        <w:rPr>
          <w:rFonts w:ascii="Arial" w:cs="Arial" w:eastAsia="Arial" w:hAnsi="Arial"/>
          <w:sz w:val="18"/>
          <w:szCs w:val="18"/>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aggregate percentage of the outstanding shares that the Reporting Persons may be deemed to beneficially own is approximately</w:t>
      </w:r>
    </w:p>
    <w:p>
      <w:pPr>
        <w:spacing w:after="0" w:line="23" w:lineRule="exact"/>
        <w:rPr>
          <w:rFonts w:ascii="Arial" w:cs="Arial" w:eastAsia="Arial" w:hAnsi="Arial"/>
          <w:sz w:val="18"/>
          <w:szCs w:val="18"/>
          <w:color w:val="auto"/>
        </w:rPr>
      </w:pPr>
    </w:p>
    <w:p>
      <w:pPr>
        <w:ind w:left="720" w:right="580"/>
        <w:spacing w:after="0" w:line="323" w:lineRule="auto"/>
        <w:rPr>
          <w:rFonts w:ascii="Arial" w:cs="Arial" w:eastAsia="Arial" w:hAnsi="Arial"/>
          <w:sz w:val="18"/>
          <w:szCs w:val="18"/>
          <w:color w:val="auto"/>
        </w:rPr>
      </w:pPr>
      <w:r>
        <w:rPr>
          <w:rFonts w:ascii="Arial" w:cs="Arial" w:eastAsia="Arial" w:hAnsi="Arial"/>
          <w:sz w:val="16"/>
          <w:szCs w:val="16"/>
          <w:color w:val="auto"/>
        </w:rPr>
        <w:t>35.6%. Excluding the Aruze Shares that the Reporting Persons may be deemed to beneficially own as a result of the Amended and Restated Stockholders Agreement, each Reporting Person may be deemed to beneficially own approximately 15.9% of the outstanding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8"/>
          <w:szCs w:val="18"/>
          <w:color w:val="auto"/>
        </w:rPr>
        <w:t>This Schedule 13D/A (this “Amendment No. 8”) hereby amends and supplements the Schedule 13D filed by Mr. Wynn with the Securities and Exchange Commission (the “Commission”) on November 13, 2002 (the “Original Schedule 13D”), as amended by the Schedule 13D/A filed by the Reporting Persons with the Commission on April 21, 2003 (“Amendment No. 1”), as amended by the Schedule 13D/A filed by the Reporting Persons with the Commission on September 22, 2003 (“Amendment No. 2”), as amended by the Schedule 13D/A filed by the Reporting Persons with the Commission on November 13, 2006 (“Amendment No. 3”), as amended by the Schedule 13D/A filed by the Reporting Persons with the Commission on August 3, 2009 (“Amendment N o. 4”), as amended by the Schedule 13D/A filed by the Reporting Persons with the Commission on August 18, 2009 (“Amendment No. 5”), as amended by the Schedule 13D/A filed by the Reporting Persons with the Commission on January 6, 2010 (“Amendment No. 6”) and as amended by the Schedule 13D/A filed by the Reporting Persons with the Commission on December 3, 2010 (“Amendment No. 7” and, collectively with the Original Schedule 13D, Amendment No. 1, Amendment No. 2, Amendment No. 3, Amendment No. 4, Amendment No. 5 and Amendment No. 6, the “Schedule 13D”). Capitalized terms used but not defined herein shall have the respective meanings set forth in the Schedule 13D.</w:t>
      </w:r>
    </w:p>
    <w:p>
      <w:pPr>
        <w:spacing w:after="0" w:line="192"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The response set forth in Item 5 of Schedule 13D is hereby amended and restated in its entirety as follows:</w:t>
      </w:r>
    </w:p>
    <w:p>
      <w:pPr>
        <w:spacing w:after="0" w:line="237" w:lineRule="exact"/>
        <w:rPr>
          <w:sz w:val="20"/>
          <w:szCs w:val="20"/>
          <w:color w:val="auto"/>
        </w:rPr>
      </w:pPr>
    </w:p>
    <w:p>
      <w:pPr>
        <w:ind w:right="560" w:firstLine="8"/>
        <w:spacing w:after="0" w:line="267" w:lineRule="auto"/>
        <w:tabs>
          <w:tab w:leader="none" w:pos="269" w:val="left"/>
        </w:tabs>
        <w:numPr>
          <w:ilvl w:val="0"/>
          <w:numId w:val="14"/>
        </w:numPr>
        <w:rPr>
          <w:rFonts w:ascii="Arial" w:cs="Arial" w:eastAsia="Arial" w:hAnsi="Arial"/>
          <w:sz w:val="20"/>
          <w:szCs w:val="20"/>
          <w:color w:val="auto"/>
        </w:rPr>
      </w:pPr>
      <w:r>
        <w:rPr>
          <w:rFonts w:ascii="Arial" w:cs="Arial" w:eastAsia="Arial" w:hAnsi="Arial"/>
          <w:sz w:val="20"/>
          <w:szCs w:val="20"/>
          <w:b w:val="1"/>
          <w:bCs w:val="1"/>
          <w:color w:val="auto"/>
        </w:rPr>
        <w:t>Aggregate Number and Percentage of Securities</w:t>
      </w:r>
      <w:r>
        <w:rPr>
          <w:rFonts w:ascii="Arial" w:cs="Arial" w:eastAsia="Arial" w:hAnsi="Arial"/>
          <w:sz w:val="20"/>
          <w:szCs w:val="20"/>
          <w:color w:val="auto"/>
        </w:rPr>
        <w:t>. The Reporting Persons may be deemed to beneficially own 44,408,300 shares of</w:t>
      </w:r>
      <w:r>
        <w:rPr>
          <w:rFonts w:ascii="Arial" w:cs="Arial" w:eastAsia="Arial" w:hAnsi="Arial"/>
          <w:sz w:val="20"/>
          <w:szCs w:val="20"/>
          <w:b w:val="1"/>
          <w:bCs w:val="1"/>
          <w:color w:val="auto"/>
        </w:rPr>
        <w:t xml:space="preserve"> </w:t>
      </w:r>
      <w:r>
        <w:rPr>
          <w:rFonts w:ascii="Arial" w:cs="Arial" w:eastAsia="Arial" w:hAnsi="Arial"/>
          <w:sz w:val="20"/>
          <w:szCs w:val="20"/>
          <w:color w:val="auto"/>
        </w:rPr>
        <w:t>Common Stock, representing approximately 35.6% of the outstanding Common Stock of the Issuer.</w:t>
      </w:r>
    </w:p>
    <w:p>
      <w:pPr>
        <w:spacing w:after="0" w:line="19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Unless otherwise indicated, all percentages in this Amendment No. 8 assume there to be 124,832,358 shares of Common Stock outstanding, as of December 15, 2010.</w:t>
      </w:r>
    </w:p>
    <w:p>
      <w:pPr>
        <w:spacing w:after="0" w:line="198" w:lineRule="exact"/>
        <w:rPr>
          <w:sz w:val="20"/>
          <w:szCs w:val="20"/>
          <w:color w:val="auto"/>
        </w:rPr>
      </w:pPr>
    </w:p>
    <w:p>
      <w:pPr>
        <w:ind w:firstLine="8"/>
        <w:spacing w:after="0" w:line="271" w:lineRule="auto"/>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Power to Vote and Dispose</w:t>
      </w:r>
      <w:r>
        <w:rPr>
          <w:rFonts w:ascii="Arial" w:cs="Arial" w:eastAsia="Arial" w:hAnsi="Arial"/>
          <w:sz w:val="18"/>
          <w:szCs w:val="18"/>
          <w:color w:val="auto"/>
        </w:rPr>
        <w:t>. The Reporting Persons possess the shared power to vote and direct the vote of 19,859,078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representing the SAW Shares and the EW Shares, subject to the Amended and Restated Stockholders Agreement described in Item 6 below. As a result of the Amended and Restated Stockholders Agreement, the Reporting Persons possess shared power to vote or direct the vote of, and thus may be deemed to beneficially own, an additional 24,549,222 shares of Common Stock representing the Aruze Shares held by Aruze USA. In addition, pursuant to the Amended and Restated Stockholders Agreement, none of Mr. Wynn, Ms. Wynn or Aruze USA (nor any of their respective permitted transfer ees (except as described in Item 6 below)) shall transfer, or permit any of their respective affiliates to transfer, any shares of Common Stock beneficially owned by such person (other than the 4,445,805 shares of Common Stock owned by Aruze USA which have been released but not yet transferred) without the prior written consent of each of the others, and each Reporting Person may therefore share the power to dispose of all such shares of Common Stock. Pursuant to the Amended and Restated Stockholders Agreement and as described in Item 6 below, $10 million of the EW Shares are released from certain covenants and provisions set forth in the Amended and Restated Stockholders Agreement on January 6, 2010 and on each of the following nine anniversaries thereof. Mr. Wynn and Ms. Wynn each disclaim beneficial ownership of the other’s shares and of the Aruze Shares.</w:t>
      </w:r>
    </w:p>
    <w:p>
      <w:pPr>
        <w:spacing w:after="0" w:line="200" w:lineRule="exact"/>
        <w:rPr>
          <w:sz w:val="20"/>
          <w:szCs w:val="20"/>
          <w:color w:val="auto"/>
        </w:rPr>
      </w:pPr>
    </w:p>
    <w:p>
      <w:pPr>
        <w:jc w:val="both"/>
        <w:ind w:right="20"/>
        <w:spacing w:after="0" w:line="263" w:lineRule="auto"/>
        <w:rPr>
          <w:sz w:val="20"/>
          <w:szCs w:val="20"/>
          <w:color w:val="auto"/>
        </w:rPr>
      </w:pPr>
      <w:r>
        <w:rPr>
          <w:rFonts w:ascii="Arial" w:cs="Arial" w:eastAsia="Arial" w:hAnsi="Arial"/>
          <w:sz w:val="19"/>
          <w:szCs w:val="19"/>
          <w:color w:val="auto"/>
        </w:rPr>
        <w:t>Aruze USA is a Nevada corporation. The business address of Aruze USA is 745 Grier Drive, Las Vegas, NV 89119. To the knowledge of the Reporting Persons, Aruze USA beneficially owns the Aruze Shares, which constitute approximately 19.7% of the outstanding Common Stock of the Issuer. To the knowledge of the Reporting Persons, Universal Entertainment Corporation (f/k/a Aruze Corp.), a Japan public corporation and Aruze USA’s parent company, and Mr. Kazuo Okada, the founder, president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4" w:right="279" w:bottom="1440" w:gutter="0" w:footer="0" w:header="0"/>
        </w:sectPr>
      </w:pPr>
    </w:p>
    <w:bookmarkStart w:id="4" w:name="page5"/>
    <w:bookmarkEnd w:id="4"/>
    <w:p>
      <w:pPr>
        <w:spacing w:after="0"/>
        <w:rPr>
          <w:sz w:val="20"/>
          <w:szCs w:val="20"/>
          <w:color w:val="auto"/>
        </w:rPr>
      </w:pPr>
      <w:r>
        <w:rPr>
          <w:rFonts w:ascii="Arial" w:cs="Arial" w:eastAsia="Arial" w:hAnsi="Arial"/>
          <w:sz w:val="19"/>
          <w:szCs w:val="19"/>
          <w:color w:val="auto"/>
        </w:rPr>
        <w:t>controlling shareholder of Universal Entertainment Corporation, may be deemed to beneficially own the shares held by Aruze USA.</w:t>
      </w:r>
    </w:p>
    <w:p>
      <w:pPr>
        <w:spacing w:after="0" w:line="254" w:lineRule="exact"/>
        <w:rPr>
          <w:sz w:val="20"/>
          <w:szCs w:val="20"/>
          <w:color w:val="auto"/>
        </w:rPr>
      </w:pPr>
    </w:p>
    <w:p>
      <w:pPr>
        <w:jc w:val="both"/>
        <w:ind w:right="340"/>
        <w:spacing w:after="0" w:line="250" w:lineRule="auto"/>
        <w:rPr>
          <w:sz w:val="20"/>
          <w:szCs w:val="20"/>
          <w:color w:val="auto"/>
        </w:rPr>
      </w:pPr>
      <w:r>
        <w:rPr>
          <w:rFonts w:ascii="Arial" w:cs="Arial" w:eastAsia="Arial" w:hAnsi="Arial"/>
          <w:sz w:val="20"/>
          <w:szCs w:val="20"/>
          <w:color w:val="auto"/>
        </w:rPr>
        <w:t>Except as set forth in the Amended and Restated Stockholders Agreement, the Reporting Persons, on the one hand, and Aruze USA, on the other hand, do not have any other agreement, arrangement or understanding with respect to the acquisition, holding, voting or disposition of equity securities of the Issuer.</w:t>
      </w:r>
    </w:p>
    <w:p>
      <w:pPr>
        <w:spacing w:after="0" w:line="207" w:lineRule="exact"/>
        <w:rPr>
          <w:sz w:val="20"/>
          <w:szCs w:val="20"/>
          <w:color w:val="auto"/>
        </w:rPr>
      </w:pPr>
    </w:p>
    <w:p>
      <w:pPr>
        <w:ind w:right="460" w:firstLine="8"/>
        <w:spacing w:after="0" w:line="267" w:lineRule="auto"/>
        <w:tabs>
          <w:tab w:leader="none" w:pos="269" w:val="left"/>
        </w:tabs>
        <w:numPr>
          <w:ilvl w:val="0"/>
          <w:numId w:val="16"/>
        </w:numPr>
        <w:rPr>
          <w:rFonts w:ascii="Arial" w:cs="Arial" w:eastAsia="Arial" w:hAnsi="Arial"/>
          <w:sz w:val="20"/>
          <w:szCs w:val="20"/>
          <w:color w:val="auto"/>
        </w:rPr>
      </w:pPr>
      <w:r>
        <w:rPr>
          <w:rFonts w:ascii="Arial" w:cs="Arial" w:eastAsia="Arial" w:hAnsi="Arial"/>
          <w:sz w:val="20"/>
          <w:szCs w:val="20"/>
          <w:b w:val="1"/>
          <w:bCs w:val="1"/>
          <w:color w:val="auto"/>
        </w:rPr>
        <w:t>Transactions within the past 60 days</w:t>
      </w:r>
      <w:r>
        <w:rPr>
          <w:rFonts w:ascii="Arial" w:cs="Arial" w:eastAsia="Arial" w:hAnsi="Arial"/>
          <w:sz w:val="20"/>
          <w:szCs w:val="20"/>
          <w:color w:val="auto"/>
        </w:rPr>
        <w:t>. The following table sets forth the transactions in the Common Stock effected by the Reporting</w:t>
      </w:r>
      <w:r>
        <w:rPr>
          <w:rFonts w:ascii="Arial" w:cs="Arial" w:eastAsia="Arial" w:hAnsi="Arial"/>
          <w:sz w:val="20"/>
          <w:szCs w:val="20"/>
          <w:b w:val="1"/>
          <w:bCs w:val="1"/>
          <w:color w:val="auto"/>
        </w:rPr>
        <w:t xml:space="preserve"> </w:t>
      </w:r>
      <w:r>
        <w:rPr>
          <w:rFonts w:ascii="Arial" w:cs="Arial" w:eastAsia="Arial" w:hAnsi="Arial"/>
          <w:sz w:val="20"/>
          <w:szCs w:val="20"/>
          <w:color w:val="auto"/>
        </w:rPr>
        <w:t>Persons within sixty (60) days preceding the date hereof:</w:t>
      </w:r>
    </w:p>
    <w:p>
      <w:pPr>
        <w:spacing w:after="0" w:line="191" w:lineRule="exact"/>
        <w:rPr>
          <w:sz w:val="20"/>
          <w:szCs w:val="20"/>
          <w:color w:val="auto"/>
        </w:rPr>
      </w:pPr>
    </w:p>
    <w:tbl>
      <w:tblPr>
        <w:tblLayout w:type="fixed"/>
        <w:tblInd w:w="340" w:type="dxa"/>
        <w:tblCellMar>
          <w:top w:w="0" w:type="dxa"/>
          <w:left w:w="0" w:type="dxa"/>
          <w:bottom w:w="0" w:type="dxa"/>
          <w:right w:w="0" w:type="dxa"/>
        </w:tblCellMar>
      </w:tblPr>
      <w:tr>
        <w:trPr>
          <w:trHeight w:val="236"/>
        </w:trPr>
        <w:tc>
          <w:tcPr>
            <w:tcW w:w="1080" w:type="dxa"/>
            <w:vAlign w:val="bottom"/>
          </w:tcPr>
          <w:p>
            <w:pPr>
              <w:ind w:left="260"/>
              <w:spacing w:after="0"/>
              <w:rPr>
                <w:sz w:val="20"/>
                <w:szCs w:val="20"/>
                <w:color w:val="auto"/>
              </w:rPr>
            </w:pPr>
            <w:r>
              <w:rPr>
                <w:rFonts w:ascii="Arial" w:cs="Arial" w:eastAsia="Arial" w:hAnsi="Arial"/>
                <w:sz w:val="20"/>
                <w:szCs w:val="20"/>
                <w:b w:val="1"/>
                <w:bCs w:val="1"/>
                <w:color w:val="auto"/>
              </w:rPr>
              <w:t>Date</w:t>
            </w:r>
          </w:p>
        </w:tc>
        <w:tc>
          <w:tcPr>
            <w:tcW w:w="1480" w:type="dxa"/>
            <w:vAlign w:val="bottom"/>
          </w:tcPr>
          <w:p>
            <w:pPr>
              <w:ind w:left="720"/>
              <w:spacing w:after="0"/>
              <w:rPr>
                <w:sz w:val="20"/>
                <w:szCs w:val="20"/>
                <w:color w:val="auto"/>
              </w:rPr>
            </w:pPr>
            <w:r>
              <w:rPr>
                <w:rFonts w:ascii="Arial" w:cs="Arial" w:eastAsia="Arial" w:hAnsi="Arial"/>
                <w:sz w:val="20"/>
                <w:szCs w:val="20"/>
                <w:b w:val="1"/>
                <w:bCs w:val="1"/>
                <w:color w:val="auto"/>
              </w:rPr>
              <w:t>Party</w:t>
            </w:r>
          </w:p>
        </w:tc>
        <w:tc>
          <w:tcPr>
            <w:tcW w:w="2720" w:type="dxa"/>
            <w:vAlign w:val="bottom"/>
          </w:tcPr>
          <w:p>
            <w:pPr>
              <w:ind w:left="660"/>
              <w:spacing w:after="0"/>
              <w:rPr>
                <w:sz w:val="20"/>
                <w:szCs w:val="20"/>
                <w:color w:val="auto"/>
              </w:rPr>
            </w:pPr>
            <w:r>
              <w:rPr>
                <w:rFonts w:ascii="Arial" w:cs="Arial" w:eastAsia="Arial" w:hAnsi="Arial"/>
                <w:sz w:val="20"/>
                <w:szCs w:val="20"/>
                <w:b w:val="1"/>
                <w:bCs w:val="1"/>
                <w:color w:val="auto"/>
              </w:rPr>
              <w:t>Type of Transaction</w:t>
            </w:r>
          </w:p>
        </w:tc>
        <w:tc>
          <w:tcPr>
            <w:tcW w:w="2020" w:type="dxa"/>
            <w:vAlign w:val="bottom"/>
          </w:tcPr>
          <w:p>
            <w:pPr>
              <w:jc w:val="center"/>
              <w:ind w:left="61"/>
              <w:spacing w:after="0"/>
              <w:rPr>
                <w:sz w:val="20"/>
                <w:szCs w:val="20"/>
                <w:color w:val="auto"/>
              </w:rPr>
            </w:pPr>
            <w:r>
              <w:rPr>
                <w:rFonts w:ascii="Arial" w:cs="Arial" w:eastAsia="Arial" w:hAnsi="Arial"/>
                <w:sz w:val="20"/>
                <w:szCs w:val="20"/>
                <w:b w:val="1"/>
                <w:bCs w:val="1"/>
                <w:color w:val="auto"/>
                <w:w w:val="88"/>
              </w:rPr>
              <w:t>Type of Security</w:t>
            </w:r>
          </w:p>
        </w:tc>
        <w:tc>
          <w:tcPr>
            <w:tcW w:w="1980" w:type="dxa"/>
            <w:vAlign w:val="bottom"/>
          </w:tcPr>
          <w:p>
            <w:pPr>
              <w:ind w:left="260"/>
              <w:spacing w:after="0"/>
              <w:rPr>
                <w:sz w:val="20"/>
                <w:szCs w:val="20"/>
                <w:color w:val="auto"/>
              </w:rPr>
            </w:pPr>
            <w:r>
              <w:rPr>
                <w:rFonts w:ascii="Arial" w:cs="Arial" w:eastAsia="Arial" w:hAnsi="Arial"/>
                <w:sz w:val="20"/>
                <w:szCs w:val="20"/>
                <w:b w:val="1"/>
                <w:bCs w:val="1"/>
                <w:color w:val="auto"/>
                <w:w w:val="98"/>
              </w:rPr>
              <w:t>Number of Shares</w:t>
            </w:r>
          </w:p>
        </w:tc>
        <w:tc>
          <w:tcPr>
            <w:tcW w:w="1520" w:type="dxa"/>
            <w:vAlign w:val="bottom"/>
          </w:tcPr>
          <w:p>
            <w:pPr>
              <w:jc w:val="right"/>
              <w:spacing w:after="0"/>
              <w:rPr>
                <w:sz w:val="20"/>
                <w:szCs w:val="20"/>
                <w:color w:val="auto"/>
              </w:rPr>
            </w:pPr>
            <w:r>
              <w:rPr>
                <w:rFonts w:ascii="Arial" w:cs="Arial" w:eastAsia="Arial" w:hAnsi="Arial"/>
                <w:sz w:val="20"/>
                <w:szCs w:val="20"/>
                <w:b w:val="1"/>
                <w:bCs w:val="1"/>
                <w:color w:val="auto"/>
              </w:rPr>
              <w:t>Price Per Share</w:t>
            </w:r>
          </w:p>
        </w:tc>
      </w:tr>
      <w:tr>
        <w:trPr>
          <w:trHeight w:val="230"/>
        </w:trPr>
        <w:tc>
          <w:tcPr>
            <w:tcW w:w="1080" w:type="dxa"/>
            <w:vAlign w:val="bottom"/>
          </w:tcPr>
          <w:p>
            <w:pPr>
              <w:jc w:val="center"/>
              <w:ind w:right="61"/>
              <w:spacing w:after="0"/>
              <w:rPr>
                <w:sz w:val="20"/>
                <w:szCs w:val="20"/>
                <w:color w:val="auto"/>
              </w:rPr>
            </w:pPr>
            <w:r>
              <w:rPr>
                <w:rFonts w:ascii="Arial" w:cs="Arial" w:eastAsia="Arial" w:hAnsi="Arial"/>
                <w:sz w:val="20"/>
                <w:szCs w:val="20"/>
                <w:color w:val="auto"/>
                <w:w w:val="89"/>
              </w:rPr>
              <w:t>12/1/2010</w:t>
            </w:r>
          </w:p>
        </w:tc>
        <w:tc>
          <w:tcPr>
            <w:tcW w:w="1480" w:type="dxa"/>
            <w:vAlign w:val="bottom"/>
          </w:tcPr>
          <w:p>
            <w:pPr>
              <w:ind w:left="160"/>
              <w:spacing w:after="0"/>
              <w:rPr>
                <w:sz w:val="20"/>
                <w:szCs w:val="20"/>
                <w:color w:val="auto"/>
              </w:rPr>
            </w:pPr>
            <w:r>
              <w:rPr>
                <w:rFonts w:ascii="Arial" w:cs="Arial" w:eastAsia="Arial" w:hAnsi="Arial"/>
                <w:sz w:val="20"/>
                <w:szCs w:val="20"/>
                <w:color w:val="auto"/>
              </w:rPr>
              <w:t>Mr. Wynn</w:t>
            </w:r>
          </w:p>
        </w:tc>
        <w:tc>
          <w:tcPr>
            <w:tcW w:w="2720" w:type="dxa"/>
            <w:vAlign w:val="bottom"/>
          </w:tcPr>
          <w:p>
            <w:pPr>
              <w:ind w:left="260"/>
              <w:spacing w:after="0"/>
              <w:rPr>
                <w:sz w:val="20"/>
                <w:szCs w:val="20"/>
                <w:color w:val="auto"/>
              </w:rPr>
            </w:pPr>
            <w:r>
              <w:rPr>
                <w:rFonts w:ascii="Arial" w:cs="Arial" w:eastAsia="Arial" w:hAnsi="Arial"/>
                <w:sz w:val="20"/>
                <w:szCs w:val="20"/>
                <w:color w:val="auto"/>
              </w:rPr>
              <w:t>Private Sale</w:t>
            </w:r>
          </w:p>
        </w:tc>
        <w:tc>
          <w:tcPr>
            <w:tcW w:w="2020" w:type="dxa"/>
            <w:vAlign w:val="bottom"/>
          </w:tcPr>
          <w:p>
            <w:pPr>
              <w:jc w:val="center"/>
              <w:ind w:left="41"/>
              <w:spacing w:after="0"/>
              <w:rPr>
                <w:sz w:val="20"/>
                <w:szCs w:val="20"/>
                <w:color w:val="auto"/>
              </w:rPr>
            </w:pPr>
            <w:r>
              <w:rPr>
                <w:rFonts w:ascii="Arial" w:cs="Arial" w:eastAsia="Arial" w:hAnsi="Arial"/>
                <w:sz w:val="20"/>
                <w:szCs w:val="20"/>
                <w:color w:val="auto"/>
                <w:w w:val="90"/>
              </w:rPr>
              <w:t>Common Stock</w:t>
            </w: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1,000,000</w:t>
            </w:r>
          </w:p>
        </w:tc>
        <w:tc>
          <w:tcPr>
            <w:tcW w:w="1520" w:type="dxa"/>
            <w:vAlign w:val="bottom"/>
          </w:tcPr>
          <w:p>
            <w:pPr>
              <w:jc w:val="right"/>
              <w:ind w:right="241"/>
              <w:spacing w:after="0"/>
              <w:rPr>
                <w:sz w:val="20"/>
                <w:szCs w:val="20"/>
                <w:color w:val="auto"/>
              </w:rPr>
            </w:pPr>
            <w:r>
              <w:rPr>
                <w:rFonts w:ascii="Arial" w:cs="Arial" w:eastAsia="Arial" w:hAnsi="Arial"/>
                <w:sz w:val="20"/>
                <w:szCs w:val="20"/>
                <w:color w:val="auto"/>
              </w:rPr>
              <w:t>$103.30</w:t>
            </w:r>
          </w:p>
        </w:tc>
      </w:tr>
      <w:tr>
        <w:trPr>
          <w:trHeight w:val="230"/>
        </w:trPr>
        <w:tc>
          <w:tcPr>
            <w:tcW w:w="1080" w:type="dxa"/>
            <w:vAlign w:val="bottom"/>
          </w:tcPr>
          <w:p>
            <w:pPr>
              <w:jc w:val="center"/>
              <w:ind w:right="61"/>
              <w:spacing w:after="0"/>
              <w:rPr>
                <w:sz w:val="20"/>
                <w:szCs w:val="20"/>
                <w:color w:val="auto"/>
              </w:rPr>
            </w:pPr>
            <w:r>
              <w:rPr>
                <w:rFonts w:ascii="Arial" w:cs="Arial" w:eastAsia="Arial" w:hAnsi="Arial"/>
                <w:sz w:val="20"/>
                <w:szCs w:val="20"/>
                <w:color w:val="auto"/>
                <w:w w:val="89"/>
              </w:rPr>
              <w:t>12/1/2010</w:t>
            </w:r>
          </w:p>
        </w:tc>
        <w:tc>
          <w:tcPr>
            <w:tcW w:w="1480" w:type="dxa"/>
            <w:vAlign w:val="bottom"/>
          </w:tcPr>
          <w:p>
            <w:pPr>
              <w:ind w:left="160"/>
              <w:spacing w:after="0"/>
              <w:rPr>
                <w:sz w:val="20"/>
                <w:szCs w:val="20"/>
                <w:color w:val="auto"/>
              </w:rPr>
            </w:pPr>
            <w:r>
              <w:rPr>
                <w:rFonts w:ascii="Arial" w:cs="Arial" w:eastAsia="Arial" w:hAnsi="Arial"/>
                <w:sz w:val="20"/>
                <w:szCs w:val="20"/>
                <w:color w:val="auto"/>
              </w:rPr>
              <w:t>Ms. Wynn</w:t>
            </w:r>
          </w:p>
        </w:tc>
        <w:tc>
          <w:tcPr>
            <w:tcW w:w="2720" w:type="dxa"/>
            <w:vAlign w:val="bottom"/>
          </w:tcPr>
          <w:p>
            <w:pPr>
              <w:ind w:left="260"/>
              <w:spacing w:after="0"/>
              <w:rPr>
                <w:sz w:val="20"/>
                <w:szCs w:val="20"/>
                <w:color w:val="auto"/>
              </w:rPr>
            </w:pPr>
            <w:r>
              <w:rPr>
                <w:rFonts w:ascii="Arial" w:cs="Arial" w:eastAsia="Arial" w:hAnsi="Arial"/>
                <w:sz w:val="20"/>
                <w:szCs w:val="20"/>
                <w:color w:val="auto"/>
              </w:rPr>
              <w:t>Private Sale</w:t>
            </w:r>
          </w:p>
        </w:tc>
        <w:tc>
          <w:tcPr>
            <w:tcW w:w="2020" w:type="dxa"/>
            <w:vAlign w:val="bottom"/>
          </w:tcPr>
          <w:p>
            <w:pPr>
              <w:jc w:val="center"/>
              <w:ind w:left="41"/>
              <w:spacing w:after="0"/>
              <w:rPr>
                <w:sz w:val="20"/>
                <w:szCs w:val="20"/>
                <w:color w:val="auto"/>
              </w:rPr>
            </w:pPr>
            <w:r>
              <w:rPr>
                <w:rFonts w:ascii="Arial" w:cs="Arial" w:eastAsia="Arial" w:hAnsi="Arial"/>
                <w:sz w:val="20"/>
                <w:szCs w:val="20"/>
                <w:color w:val="auto"/>
                <w:w w:val="90"/>
              </w:rPr>
              <w:t>Common Stock</w:t>
            </w:r>
          </w:p>
        </w:tc>
        <w:tc>
          <w:tcPr>
            <w:tcW w:w="1980" w:type="dxa"/>
            <w:vAlign w:val="bottom"/>
          </w:tcPr>
          <w:p>
            <w:pPr>
              <w:jc w:val="center"/>
              <w:spacing w:after="0"/>
              <w:rPr>
                <w:sz w:val="20"/>
                <w:szCs w:val="20"/>
                <w:color w:val="auto"/>
              </w:rPr>
            </w:pPr>
            <w:r>
              <w:rPr>
                <w:rFonts w:ascii="Arial" w:cs="Arial" w:eastAsia="Arial" w:hAnsi="Arial"/>
                <w:sz w:val="20"/>
                <w:szCs w:val="20"/>
                <w:color w:val="auto"/>
                <w:w w:val="89"/>
              </w:rPr>
              <w:t>1,000,000</w:t>
            </w:r>
          </w:p>
        </w:tc>
        <w:tc>
          <w:tcPr>
            <w:tcW w:w="1520" w:type="dxa"/>
            <w:vAlign w:val="bottom"/>
          </w:tcPr>
          <w:p>
            <w:pPr>
              <w:jc w:val="right"/>
              <w:ind w:right="241"/>
              <w:spacing w:after="0"/>
              <w:rPr>
                <w:sz w:val="20"/>
                <w:szCs w:val="20"/>
                <w:color w:val="auto"/>
              </w:rPr>
            </w:pPr>
            <w:r>
              <w:rPr>
                <w:rFonts w:ascii="Arial" w:cs="Arial" w:eastAsia="Arial" w:hAnsi="Arial"/>
                <w:sz w:val="20"/>
                <w:szCs w:val="20"/>
                <w:color w:val="auto"/>
              </w:rPr>
              <w:t>$103.30</w:t>
            </w:r>
          </w:p>
        </w:tc>
      </w:tr>
      <w:tr>
        <w:trPr>
          <w:trHeight w:val="250"/>
        </w:trPr>
        <w:tc>
          <w:tcPr>
            <w:tcW w:w="1080" w:type="dxa"/>
            <w:vAlign w:val="bottom"/>
          </w:tcPr>
          <w:p>
            <w:pPr>
              <w:jc w:val="center"/>
              <w:ind w:right="81"/>
              <w:spacing w:after="0"/>
              <w:rPr>
                <w:sz w:val="20"/>
                <w:szCs w:val="20"/>
                <w:color w:val="auto"/>
              </w:rPr>
            </w:pPr>
            <w:r>
              <w:rPr>
                <w:rFonts w:ascii="Arial" w:cs="Arial" w:eastAsia="Arial" w:hAnsi="Arial"/>
                <w:sz w:val="20"/>
                <w:szCs w:val="20"/>
                <w:color w:val="auto"/>
                <w:w w:val="89"/>
              </w:rPr>
              <w:t>12/15/2010</w:t>
            </w:r>
          </w:p>
        </w:tc>
        <w:tc>
          <w:tcPr>
            <w:tcW w:w="1480" w:type="dxa"/>
            <w:vAlign w:val="bottom"/>
          </w:tcPr>
          <w:p>
            <w:pPr>
              <w:ind w:left="160"/>
              <w:spacing w:after="0"/>
              <w:rPr>
                <w:sz w:val="20"/>
                <w:szCs w:val="20"/>
                <w:color w:val="auto"/>
              </w:rPr>
            </w:pPr>
            <w:r>
              <w:rPr>
                <w:rFonts w:ascii="Arial" w:cs="Arial" w:eastAsia="Arial" w:hAnsi="Arial"/>
                <w:sz w:val="20"/>
                <w:szCs w:val="20"/>
                <w:color w:val="auto"/>
              </w:rPr>
              <w:t>Ms. Wynn</w:t>
            </w:r>
          </w:p>
        </w:tc>
        <w:tc>
          <w:tcPr>
            <w:tcW w:w="2720" w:type="dxa"/>
            <w:vAlign w:val="bottom"/>
          </w:tcPr>
          <w:p>
            <w:pPr>
              <w:ind w:left="260"/>
              <w:spacing w:after="0"/>
              <w:rPr>
                <w:sz w:val="20"/>
                <w:szCs w:val="20"/>
                <w:color w:val="auto"/>
              </w:rPr>
            </w:pPr>
            <w:r>
              <w:rPr>
                <w:rFonts w:ascii="Arial" w:cs="Arial" w:eastAsia="Arial" w:hAnsi="Arial"/>
                <w:sz w:val="20"/>
                <w:szCs w:val="20"/>
                <w:color w:val="auto"/>
              </w:rPr>
              <w:t>Open Market Sale</w:t>
            </w:r>
          </w:p>
        </w:tc>
        <w:tc>
          <w:tcPr>
            <w:tcW w:w="2020" w:type="dxa"/>
            <w:vAlign w:val="bottom"/>
          </w:tcPr>
          <w:p>
            <w:pPr>
              <w:jc w:val="center"/>
              <w:ind w:left="41"/>
              <w:spacing w:after="0"/>
              <w:rPr>
                <w:sz w:val="20"/>
                <w:szCs w:val="20"/>
                <w:color w:val="auto"/>
              </w:rPr>
            </w:pPr>
            <w:r>
              <w:rPr>
                <w:rFonts w:ascii="Arial" w:cs="Arial" w:eastAsia="Arial" w:hAnsi="Arial"/>
                <w:sz w:val="20"/>
                <w:szCs w:val="20"/>
                <w:color w:val="auto"/>
                <w:w w:val="90"/>
              </w:rPr>
              <w:t>Common Stock</w:t>
            </w:r>
          </w:p>
        </w:tc>
        <w:tc>
          <w:tcPr>
            <w:tcW w:w="1980" w:type="dxa"/>
            <w:vAlign w:val="bottom"/>
          </w:tcPr>
          <w:p>
            <w:pPr>
              <w:jc w:val="center"/>
              <w:spacing w:after="0"/>
              <w:rPr>
                <w:sz w:val="20"/>
                <w:szCs w:val="20"/>
                <w:color w:val="auto"/>
              </w:rPr>
            </w:pPr>
            <w:r>
              <w:rPr>
                <w:rFonts w:ascii="Arial" w:cs="Arial" w:eastAsia="Arial" w:hAnsi="Arial"/>
                <w:sz w:val="20"/>
                <w:szCs w:val="20"/>
                <w:color w:val="auto"/>
                <w:w w:val="91"/>
              </w:rPr>
              <w:t>61,956</w:t>
            </w:r>
          </w:p>
        </w:tc>
        <w:tc>
          <w:tcPr>
            <w:tcW w:w="1520" w:type="dxa"/>
            <w:vAlign w:val="bottom"/>
          </w:tcPr>
          <w:p>
            <w:pPr>
              <w:jc w:val="right"/>
              <w:ind w:right="41"/>
              <w:spacing w:after="0"/>
              <w:rPr>
                <w:sz w:val="20"/>
                <w:szCs w:val="20"/>
                <w:color w:val="auto"/>
              </w:rPr>
            </w:pPr>
            <w:r>
              <w:rPr>
                <w:rFonts w:ascii="Arial" w:cs="Arial" w:eastAsia="Arial" w:hAnsi="Arial"/>
                <w:sz w:val="20"/>
                <w:szCs w:val="20"/>
                <w:color w:val="auto"/>
              </w:rPr>
              <w:t>$100.8854</w:t>
            </w:r>
            <w:r>
              <w:rPr>
                <w:rFonts w:ascii="Arial" w:cs="Arial" w:eastAsia="Arial" w:hAnsi="Arial"/>
                <w:sz w:val="18"/>
                <w:szCs w:val="18"/>
                <w:color w:val="auto"/>
              </w:rPr>
              <w:t>(1)</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 Represents the weighted average price of multiple transactions with a range of prices between $100.66 and $101.05.</w:t>
      </w:r>
    </w:p>
    <w:p>
      <w:pPr>
        <w:spacing w:after="0" w:line="244"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Certain Rights of Other Persons</w:t>
      </w:r>
      <w:r>
        <w:rPr>
          <w:rFonts w:ascii="Arial" w:cs="Arial" w:eastAsia="Arial" w:hAnsi="Arial"/>
          <w:sz w:val="20"/>
          <w:szCs w:val="20"/>
          <w:color w:val="auto"/>
        </w:rPr>
        <w:t>. Not applicable.</w:t>
      </w:r>
    </w:p>
    <w:p>
      <w:pPr>
        <w:spacing w:after="0" w:line="242" w:lineRule="exact"/>
        <w:rPr>
          <w:rFonts w:ascii="Arial" w:cs="Arial" w:eastAsia="Arial" w:hAnsi="Arial"/>
          <w:sz w:val="20"/>
          <w:szCs w:val="20"/>
          <w:color w:val="auto"/>
        </w:rPr>
      </w:pPr>
    </w:p>
    <w:p>
      <w:pPr>
        <w:ind w:left="280" w:hanging="272"/>
        <w:spacing w:after="0"/>
        <w:tabs>
          <w:tab w:leader="none" w:pos="280" w:val="left"/>
        </w:tabs>
        <w:numPr>
          <w:ilvl w:val="0"/>
          <w:numId w:val="17"/>
        </w:numPr>
        <w:rPr>
          <w:rFonts w:ascii="Arial" w:cs="Arial" w:eastAsia="Arial" w:hAnsi="Arial"/>
          <w:sz w:val="20"/>
          <w:szCs w:val="20"/>
          <w:color w:val="auto"/>
        </w:rPr>
      </w:pPr>
      <w:r>
        <w:rPr>
          <w:rFonts w:ascii="Arial" w:cs="Arial" w:eastAsia="Arial" w:hAnsi="Arial"/>
          <w:sz w:val="20"/>
          <w:szCs w:val="20"/>
          <w:b w:val="1"/>
          <w:bCs w:val="1"/>
          <w:color w:val="auto"/>
        </w:rPr>
        <w:t>Date Ceased to be a 5% Owner</w:t>
      </w:r>
      <w:r>
        <w:rPr>
          <w:rFonts w:ascii="Arial" w:cs="Arial" w:eastAsia="Arial" w:hAnsi="Arial"/>
          <w:sz w:val="20"/>
          <w:szCs w:val="20"/>
          <w:color w:val="auto"/>
        </w:rPr>
        <w:t>. Not applicable.</w:t>
      </w:r>
    </w:p>
    <w:p>
      <w:pPr>
        <w:spacing w:after="0" w:line="24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49"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The response set forth in Item 6 of the Schedule 13D is hereby amended and supplemented by adding the following paragraphs at the end of such Item 6:</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2010 Waiver and Consent to Amended and Restated Stockholders Agreement</w:t>
      </w:r>
    </w:p>
    <w:p>
      <w:pPr>
        <w:spacing w:after="0" w:line="249" w:lineRule="exact"/>
        <w:rPr>
          <w:sz w:val="20"/>
          <w:szCs w:val="20"/>
          <w:color w:val="auto"/>
        </w:rPr>
      </w:pPr>
    </w:p>
    <w:p>
      <w:pPr>
        <w:spacing w:after="0" w:line="310" w:lineRule="auto"/>
        <w:rPr>
          <w:sz w:val="20"/>
          <w:szCs w:val="20"/>
          <w:color w:val="auto"/>
        </w:rPr>
      </w:pPr>
      <w:r>
        <w:rPr>
          <w:rFonts w:ascii="Arial" w:cs="Arial" w:eastAsia="Arial" w:hAnsi="Arial"/>
          <w:sz w:val="16"/>
          <w:szCs w:val="16"/>
          <w:color w:val="auto"/>
        </w:rPr>
        <w:t>On December 15, 2010, Mr. Wynn, Ms. Wynn and Aruze USA entered into a Waiver and Consent (the “December 2010 Waiver and Consent”) with respect to the Amended and Restated Stockholders Agreement. Pursuant to the December 2010 Waiver and Consent, (a) the parties agreed to accelerate the release of 61,956 shares (the “EW Released Shares”) of Common Stock to Ms. Wynn pursuant to Section 11 of the Amended and Restated Stockholders Agreement from January 6, 2011 to December 15, 2010, (b) Mr. Wynn agreed to waive his right of first refusal with respect to the EW Released Shares and (c) each of Mr. Wynn and Ms. Wynn consented to the transfer by Aruze USA of up to 1,000,000 shares (the “December 2010 Aruze Released Shares”) of Common Stock from t he Amended and Restated Stockholders Agreement. The parties agreed that the December 2010 Aruze Released Shares shall be released from all terms and restrictions set forth in the Amended and Restated Stockholders Agreement upon the transfer of such shares. The parties further agreed that until any such transfer, the December 2010 Aruze Released Shares shall remain subject to all terms and restrictions set forth in the Amended and Restated Stockholders Agreement.</w:t>
      </w:r>
    </w:p>
    <w:p>
      <w:pPr>
        <w:spacing w:after="0" w:line="171" w:lineRule="exact"/>
        <w:rPr>
          <w:sz w:val="20"/>
          <w:szCs w:val="20"/>
          <w:color w:val="auto"/>
        </w:rPr>
      </w:pPr>
    </w:p>
    <w:p>
      <w:pPr>
        <w:jc w:val="both"/>
        <w:ind w:right="720"/>
        <w:spacing w:after="0" w:line="386" w:lineRule="auto"/>
        <w:rPr>
          <w:sz w:val="20"/>
          <w:szCs w:val="20"/>
          <w:color w:val="auto"/>
        </w:rPr>
      </w:pPr>
      <w:r>
        <w:rPr>
          <w:rFonts w:ascii="Arial" w:cs="Arial" w:eastAsia="Arial" w:hAnsi="Arial"/>
          <w:sz w:val="16"/>
          <w:szCs w:val="16"/>
          <w:color w:val="auto"/>
        </w:rPr>
        <w:t>The foregoing description of the December 2010 Waiver and Consent does not purport to be complete and is qualified in its entirety by reference to the December 2010 Waiver and Consent which is filed herewith as Exhibit 10 and is incorporated herein by this reference.</w:t>
      </w:r>
    </w:p>
    <w:p>
      <w:pPr>
        <w:spacing w:after="0" w:line="104"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18"/>
          <w:szCs w:val="18"/>
          <w:b w:val="1"/>
          <w:bCs w:val="1"/>
          <w:color w:val="auto"/>
        </w:rPr>
        <w:t>Material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The response to Item 7 of the Schedule 13D is hereby amended and supplemented by adding the following items at the end of such Item 7:</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r>
              <w:rPr>
                <w:rFonts w:ascii="Arial" w:cs="Arial" w:eastAsia="Arial" w:hAnsi="Arial"/>
                <w:sz w:val="20"/>
                <w:szCs w:val="20"/>
                <w:color w:val="auto"/>
              </w:rPr>
              <w:t>Exhibit 10</w:t>
            </w:r>
          </w:p>
        </w:tc>
        <w:tc>
          <w:tcPr>
            <w:tcW w:w="10140" w:type="dxa"/>
            <w:vAlign w:val="bottom"/>
          </w:tcPr>
          <w:p>
            <w:pPr>
              <w:ind w:left="460"/>
              <w:spacing w:after="0"/>
              <w:rPr>
                <w:sz w:val="20"/>
                <w:szCs w:val="20"/>
                <w:color w:val="auto"/>
              </w:rPr>
            </w:pPr>
            <w:r>
              <w:rPr>
                <w:rFonts w:ascii="Arial" w:cs="Arial" w:eastAsia="Arial" w:hAnsi="Arial"/>
                <w:sz w:val="20"/>
                <w:szCs w:val="20"/>
                <w:color w:val="auto"/>
                <w:w w:val="91"/>
              </w:rPr>
              <w:t>Waiver and Consent, dated December 15, 2010, by and among Aruze USA, Inc., Stephen A. Wynn and Elaine P. Wynn</w:t>
            </w:r>
          </w:p>
        </w:tc>
      </w:tr>
      <w:tr>
        <w:trPr>
          <w:trHeight w:val="230"/>
        </w:trPr>
        <w:tc>
          <w:tcPr>
            <w:tcW w:w="1280" w:type="dxa"/>
            <w:vAlign w:val="bottom"/>
          </w:tcPr>
          <w:p>
            <w:pPr>
              <w:spacing w:after="0"/>
              <w:rPr>
                <w:sz w:val="19"/>
                <w:szCs w:val="19"/>
                <w:color w:val="auto"/>
              </w:rPr>
            </w:pPr>
          </w:p>
        </w:tc>
        <w:tc>
          <w:tcPr>
            <w:tcW w:w="10140" w:type="dxa"/>
            <w:vAlign w:val="bottom"/>
          </w:tcPr>
          <w:p>
            <w:pPr>
              <w:ind w:left="460"/>
              <w:spacing w:after="0"/>
              <w:rPr>
                <w:sz w:val="20"/>
                <w:szCs w:val="20"/>
                <w:color w:val="auto"/>
              </w:rPr>
            </w:pPr>
            <w:r>
              <w:rPr>
                <w:rFonts w:ascii="Arial" w:cs="Arial" w:eastAsia="Arial" w:hAnsi="Arial"/>
                <w:sz w:val="20"/>
                <w:szCs w:val="20"/>
                <w:color w:val="auto"/>
                <w:w w:val="91"/>
              </w:rPr>
              <w:t>(previously filed as Exhibit 10.1 to the Current Report on Form 8-K of Wynn Resort, Limited filed on December 15, 2010</w:t>
            </w:r>
          </w:p>
        </w:tc>
      </w:tr>
      <w:tr>
        <w:trPr>
          <w:trHeight w:val="250"/>
        </w:trPr>
        <w:tc>
          <w:tcPr>
            <w:tcW w:w="1280" w:type="dxa"/>
            <w:vAlign w:val="bottom"/>
          </w:tcPr>
          <w:p>
            <w:pPr>
              <w:spacing w:after="0"/>
              <w:rPr>
                <w:sz w:val="21"/>
                <w:szCs w:val="21"/>
                <w:color w:val="auto"/>
              </w:rPr>
            </w:pPr>
          </w:p>
        </w:tc>
        <w:tc>
          <w:tcPr>
            <w:tcW w:w="10140" w:type="dxa"/>
            <w:vAlign w:val="bottom"/>
          </w:tcPr>
          <w:p>
            <w:pPr>
              <w:ind w:left="460"/>
              <w:spacing w:after="0"/>
              <w:rPr>
                <w:sz w:val="20"/>
                <w:szCs w:val="20"/>
                <w:color w:val="auto"/>
              </w:rPr>
            </w:pPr>
            <w:r>
              <w:rPr>
                <w:rFonts w:ascii="Arial" w:cs="Arial" w:eastAsia="Arial" w:hAnsi="Arial"/>
                <w:sz w:val="20"/>
                <w:szCs w:val="20"/>
                <w:color w:val="auto"/>
              </w:rPr>
              <w:t>and incorporated herein by reference).</w:t>
            </w:r>
          </w:p>
        </w:tc>
      </w:tr>
      <w:tr>
        <w:trPr>
          <w:trHeight w:val="425"/>
        </w:trPr>
        <w:tc>
          <w:tcPr>
            <w:tcW w:w="1280" w:type="dxa"/>
            <w:vAlign w:val="bottom"/>
          </w:tcPr>
          <w:p>
            <w:pPr>
              <w:spacing w:after="0"/>
              <w:rPr>
                <w:sz w:val="20"/>
                <w:szCs w:val="20"/>
                <w:color w:val="auto"/>
              </w:rPr>
            </w:pPr>
            <w:r>
              <w:rPr>
                <w:rFonts w:ascii="Arial" w:cs="Arial" w:eastAsia="Arial" w:hAnsi="Arial"/>
                <w:sz w:val="20"/>
                <w:szCs w:val="20"/>
                <w:color w:val="auto"/>
              </w:rPr>
              <w:t>Exhibit 11</w:t>
            </w:r>
          </w:p>
        </w:tc>
        <w:tc>
          <w:tcPr>
            <w:tcW w:w="10140" w:type="dxa"/>
            <w:vAlign w:val="bottom"/>
          </w:tcPr>
          <w:p>
            <w:pPr>
              <w:ind w:left="460"/>
              <w:spacing w:after="0"/>
              <w:rPr>
                <w:sz w:val="20"/>
                <w:szCs w:val="20"/>
                <w:color w:val="auto"/>
              </w:rPr>
            </w:pPr>
            <w:r>
              <w:rPr>
                <w:rFonts w:ascii="Arial" w:cs="Arial" w:eastAsia="Arial" w:hAnsi="Arial"/>
                <w:sz w:val="20"/>
                <w:szCs w:val="20"/>
                <w:color w:val="auto"/>
                <w:w w:val="91"/>
              </w:rPr>
              <w:t>Joint Filing Agreement, dated April 21, 2003, between Stephen A. Wynn and Elaine P. Wynn (previously filed as Exhibit</w:t>
            </w:r>
          </w:p>
        </w:tc>
      </w:tr>
      <w:tr>
        <w:trPr>
          <w:trHeight w:val="230"/>
        </w:trPr>
        <w:tc>
          <w:tcPr>
            <w:tcW w:w="1280" w:type="dxa"/>
            <w:vAlign w:val="bottom"/>
          </w:tcPr>
          <w:p>
            <w:pPr>
              <w:spacing w:after="0"/>
              <w:rPr>
                <w:sz w:val="19"/>
                <w:szCs w:val="19"/>
                <w:color w:val="auto"/>
              </w:rPr>
            </w:pPr>
          </w:p>
        </w:tc>
        <w:tc>
          <w:tcPr>
            <w:tcW w:w="10140" w:type="dxa"/>
            <w:vAlign w:val="bottom"/>
          </w:tcPr>
          <w:p>
            <w:pPr>
              <w:ind w:left="460"/>
              <w:spacing w:after="0"/>
              <w:rPr>
                <w:sz w:val="20"/>
                <w:szCs w:val="20"/>
                <w:color w:val="auto"/>
              </w:rPr>
            </w:pPr>
            <w:r>
              <w:rPr>
                <w:rFonts w:ascii="Arial" w:cs="Arial" w:eastAsia="Arial" w:hAnsi="Arial"/>
                <w:sz w:val="20"/>
                <w:szCs w:val="20"/>
                <w:color w:val="auto"/>
                <w:w w:val="92"/>
              </w:rPr>
              <w:t>(g) to the Schedule 13D/A of Stephen A. Wynn and Elaine P. Wynn, Commission File No. 005-78590, filed on April 21,</w:t>
            </w:r>
          </w:p>
        </w:tc>
      </w:tr>
      <w:tr>
        <w:trPr>
          <w:trHeight w:val="250"/>
        </w:trPr>
        <w:tc>
          <w:tcPr>
            <w:tcW w:w="1280" w:type="dxa"/>
            <w:vAlign w:val="bottom"/>
          </w:tcPr>
          <w:p>
            <w:pPr>
              <w:spacing w:after="0"/>
              <w:rPr>
                <w:sz w:val="21"/>
                <w:szCs w:val="21"/>
                <w:color w:val="auto"/>
              </w:rPr>
            </w:pPr>
          </w:p>
        </w:tc>
        <w:tc>
          <w:tcPr>
            <w:tcW w:w="10140" w:type="dxa"/>
            <w:vAlign w:val="bottom"/>
          </w:tcPr>
          <w:p>
            <w:pPr>
              <w:ind w:left="460"/>
              <w:spacing w:after="0"/>
              <w:rPr>
                <w:sz w:val="20"/>
                <w:szCs w:val="20"/>
                <w:color w:val="auto"/>
              </w:rPr>
            </w:pPr>
            <w:r>
              <w:rPr>
                <w:rFonts w:ascii="Arial" w:cs="Arial" w:eastAsia="Arial" w:hAnsi="Arial"/>
                <w:sz w:val="20"/>
                <w:szCs w:val="20"/>
                <w:color w:val="auto"/>
              </w:rPr>
              <w:t>2003 and incorporated herein by reference).</w:t>
            </w:r>
          </w:p>
        </w:tc>
      </w:tr>
      <w:tr>
        <w:trPr>
          <w:trHeight w:val="655"/>
        </w:trPr>
        <w:tc>
          <w:tcPr>
            <w:tcW w:w="1280" w:type="dxa"/>
            <w:vAlign w:val="bottom"/>
            <w:tcBorders>
              <w:bottom w:val="single" w:sz="8" w:color="808080"/>
            </w:tcBorders>
          </w:tcPr>
          <w:p>
            <w:pPr>
              <w:spacing w:after="0"/>
              <w:rPr>
                <w:sz w:val="24"/>
                <w:szCs w:val="24"/>
                <w:color w:val="auto"/>
              </w:rPr>
            </w:pPr>
          </w:p>
        </w:tc>
        <w:tc>
          <w:tcPr>
            <w:tcW w:w="10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sectPr>
      </w:pPr>
    </w:p>
    <w:bookmarkStart w:id="6" w:name="page7"/>
    <w:bookmarkEnd w:id="6"/>
    <w:p>
      <w:pPr>
        <w:jc w:val="center"/>
        <w:ind w:right="-379"/>
        <w:spacing w:after="0"/>
        <w:rPr>
          <w:sz w:val="20"/>
          <w:szCs w:val="20"/>
          <w:color w:val="auto"/>
        </w:rPr>
      </w:pPr>
      <w:r>
        <w:rPr>
          <w:rFonts w:ascii="Arial" w:cs="Arial" w:eastAsia="Arial" w:hAnsi="Arial"/>
          <w:sz w:val="20"/>
          <w:szCs w:val="20"/>
          <w:b w:val="1"/>
          <w:bCs w:val="1"/>
          <w:color w:val="auto"/>
        </w:rPr>
        <w:t>SIGNATURE</w:t>
      </w:r>
    </w:p>
    <w:p>
      <w:pPr>
        <w:spacing w:after="0" w:line="24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color w:val="auto"/>
        </w:rPr>
        <w:t>Dated:</w:t>
        <w:tab/>
        <w:t>December 20, 2010</w:t>
      </w:r>
    </w:p>
    <w:p>
      <w:pPr>
        <w:spacing w:after="0" w:line="243"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STEPHEN A. WYNN</w:t>
      </w:r>
    </w:p>
    <w:p>
      <w:pPr>
        <w:spacing w:after="0" w:line="216"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0"/>
          <w:szCs w:val="20"/>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ELAINE P. WYNN</w:t>
      </w:r>
    </w:p>
    <w:p>
      <w:pPr>
        <w:spacing w:after="0" w:line="216"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/s/ 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10160</wp:posOffset>
            </wp:positionV>
            <wp:extent cx="2967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20"/>
          <w:szCs w:val="20"/>
          <w:color w:val="auto"/>
        </w:rPr>
        <w:t>Elaine P.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751" w:right="5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6"/>
        </w:trPr>
        <w:tc>
          <w:tcPr>
            <w:tcW w:w="6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80" w:type="dxa"/>
            <w:vAlign w:val="bottom"/>
          </w:tcPr>
          <w:p>
            <w:pPr>
              <w:ind w:left="2000"/>
              <w:spacing w:after="0"/>
              <w:rPr>
                <w:sz w:val="20"/>
                <w:szCs w:val="20"/>
                <w:color w:val="auto"/>
              </w:rPr>
            </w:pPr>
            <w:r>
              <w:rPr>
                <w:rFonts w:ascii="Arial" w:cs="Arial" w:eastAsia="Arial" w:hAnsi="Arial"/>
                <w:sz w:val="20"/>
                <w:szCs w:val="20"/>
                <w:b w:val="1"/>
                <w:bCs w:val="1"/>
                <w:color w:val="auto"/>
              </w:rPr>
              <w:t>EXHIBIT INDEX</w:t>
            </w:r>
          </w:p>
        </w:tc>
      </w:tr>
      <w:tr>
        <w:trPr>
          <w:trHeight w:val="428"/>
        </w:trPr>
        <w:tc>
          <w:tcPr>
            <w:tcW w:w="600" w:type="dxa"/>
            <w:vAlign w:val="bottom"/>
          </w:tcPr>
          <w:p>
            <w:pPr>
              <w:spacing w:after="0"/>
              <w:rPr>
                <w:sz w:val="20"/>
                <w:szCs w:val="20"/>
                <w:color w:val="auto"/>
              </w:rPr>
            </w:pPr>
            <w:r>
              <w:rPr>
                <w:rFonts w:ascii="Arial" w:cs="Arial" w:eastAsia="Arial" w:hAnsi="Arial"/>
                <w:sz w:val="20"/>
                <w:szCs w:val="20"/>
                <w:color w:val="auto"/>
                <w:w w:val="96"/>
              </w:rPr>
              <w:t>Exhibit</w:t>
            </w:r>
          </w:p>
        </w:tc>
        <w:tc>
          <w:tcPr>
            <w:tcW w:w="14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6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449"/>
        </w:trPr>
        <w:tc>
          <w:tcPr>
            <w:tcW w:w="600" w:type="dxa"/>
            <w:vAlign w:val="bottom"/>
          </w:tcPr>
          <w:p>
            <w:pPr>
              <w:spacing w:after="0"/>
              <w:rPr>
                <w:sz w:val="20"/>
                <w:szCs w:val="20"/>
                <w:color w:val="auto"/>
              </w:rPr>
            </w:pPr>
            <w:r>
              <w:rPr>
                <w:rFonts w:ascii="Arial" w:cs="Arial" w:eastAsia="Arial" w:hAnsi="Arial"/>
                <w:sz w:val="20"/>
                <w:szCs w:val="20"/>
                <w:color w:val="auto"/>
              </w:rPr>
              <w:t>10</w:t>
            </w:r>
          </w:p>
        </w:tc>
        <w:tc>
          <w:tcPr>
            <w:tcW w:w="14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w w:val="93"/>
              </w:rPr>
              <w:t>Waiver and Consent, dated December 15, 2010, by and among Aruze USA, Inc., Stephen A. Wynn and Elaine P.</w:t>
            </w:r>
          </w:p>
        </w:tc>
      </w:tr>
      <w:tr>
        <w:trPr>
          <w:trHeight w:val="230"/>
        </w:trPr>
        <w:tc>
          <w:tcPr>
            <w:tcW w:w="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rPr>
              <w:t>Wynn (previously filed as Exhibit 10.1 to the Current Report on Form 8-K of Wynn Resort, Limited filed on</w:t>
            </w:r>
          </w:p>
        </w:tc>
      </w:tr>
      <w:tr>
        <w:trPr>
          <w:trHeight w:val="250"/>
        </w:trPr>
        <w:tc>
          <w:tcPr>
            <w:tcW w:w="6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rPr>
              <w:t>December 15, 2010 and incorporated herein by reference).</w:t>
            </w:r>
          </w:p>
        </w:tc>
      </w:tr>
      <w:tr>
        <w:trPr>
          <w:trHeight w:val="425"/>
        </w:trPr>
        <w:tc>
          <w:tcPr>
            <w:tcW w:w="600" w:type="dxa"/>
            <w:vAlign w:val="bottom"/>
          </w:tcPr>
          <w:p>
            <w:pPr>
              <w:spacing w:after="0"/>
              <w:rPr>
                <w:sz w:val="20"/>
                <w:szCs w:val="20"/>
                <w:color w:val="auto"/>
              </w:rPr>
            </w:pPr>
            <w:r>
              <w:rPr>
                <w:rFonts w:ascii="Arial" w:cs="Arial" w:eastAsia="Arial" w:hAnsi="Arial"/>
                <w:sz w:val="20"/>
                <w:szCs w:val="20"/>
                <w:color w:val="auto"/>
              </w:rPr>
              <w:t>11</w:t>
            </w:r>
          </w:p>
        </w:tc>
        <w:tc>
          <w:tcPr>
            <w:tcW w:w="142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w w:val="94"/>
              </w:rPr>
              <w:t>Joint Filing Agreement, dated April 21, 2003, between Stephen A. Wynn and Elaine P. Wynn (previously filed as</w:t>
            </w:r>
          </w:p>
        </w:tc>
      </w:tr>
      <w:tr>
        <w:trPr>
          <w:trHeight w:val="230"/>
        </w:trPr>
        <w:tc>
          <w:tcPr>
            <w:tcW w:w="6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w w:val="90"/>
              </w:rPr>
              <w:t>Exhibit (g) to the Schedule 13D/A of Stephen A. Wynn and Elaine P. Wynn, Commission File No. 005-78590, filed on</w:t>
            </w:r>
          </w:p>
        </w:tc>
      </w:tr>
      <w:tr>
        <w:trPr>
          <w:trHeight w:val="250"/>
        </w:trPr>
        <w:tc>
          <w:tcPr>
            <w:tcW w:w="6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9400" w:type="dxa"/>
            <w:vAlign w:val="bottom"/>
            <w:gridSpan w:val="2"/>
          </w:tcPr>
          <w:p>
            <w:pPr>
              <w:spacing w:after="0"/>
              <w:rPr>
                <w:sz w:val="20"/>
                <w:szCs w:val="20"/>
                <w:color w:val="auto"/>
              </w:rPr>
            </w:pPr>
            <w:r>
              <w:rPr>
                <w:rFonts w:ascii="Arial" w:cs="Arial" w:eastAsia="Arial" w:hAnsi="Arial"/>
                <w:sz w:val="20"/>
                <w:szCs w:val="20"/>
                <w:color w:val="auto"/>
              </w:rPr>
              <w:t>April 21, 2003 and incorporated herein by reference).</w:t>
            </w:r>
          </w:p>
        </w:tc>
      </w:tr>
    </w:tbl>
    <w:p>
      <w:pPr>
        <w:spacing w:after="0" w:line="1" w:lineRule="exact"/>
        <w:rPr>
          <w:sz w:val="20"/>
          <w:szCs w:val="20"/>
          <w:color w:val="auto"/>
        </w:rPr>
      </w:pPr>
    </w:p>
    <w:sectPr>
      <w:pgSz w:w="11900" w:h="16838" w:orient="portrait"/>
      <w:cols w:equalWidth="0" w:num="1">
        <w:col w:w="11420"/>
      </w:cols>
      <w:pgMar w:left="240" w:top="5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1"/>
    </w:lvl>
    <w:lvl w:ilvl="1">
      <w:lvlJc w:val="left"/>
      <w:lvlText w:val="%2."/>
      <w:numFmt w:val="decimal"/>
      <w:start w:val="10"/>
    </w:lvl>
  </w:abstractNum>
  <w:abstractNum w:abstractNumId="4">
    <w:nsid w:val="1F16E9E8"/>
    <w:multiLevelType w:val="hybridMultilevel"/>
    <w:lvl w:ilvl="0">
      <w:lvlJc w:val="left"/>
      <w:lvlText w:val="%1."/>
      <w:numFmt w:val="decimal"/>
      <w:start w:val="11"/>
    </w:lvl>
    <w:lvl w:ilvl="1">
      <w:lvlJc w:val="left"/>
      <w:lvlText w:val="%2"/>
      <w:numFmt w:val="decimal"/>
      <w:start w:val="1"/>
    </w:lvl>
  </w:abstractNum>
  <w:abstractNum w:abstractNumId="5">
    <w:nsid w:val="1190CDE7"/>
    <w:multiLevelType w:val="hybridMultilevel"/>
    <w:lvl w:ilvl="0">
      <w:lvlJc w:val="left"/>
      <w:lvlText w:val="%1"/>
      <w:numFmt w:val="decimal"/>
      <w:start w:val="1"/>
    </w:lvl>
    <w:lvl w:ilvl="1">
      <w:lvlJc w:val="left"/>
      <w:lvlText w:val="%2."/>
      <w:numFmt w:val="decimal"/>
      <w:start w:val="13"/>
    </w:lvl>
  </w:abstractNum>
  <w:abstractNum w:abstractNumId="6">
    <w:nsid w:val="66EF438D"/>
    <w:multiLevelType w:val="hybridMultilevel"/>
    <w:lvl w:ilvl="0">
      <w:lvlJc w:val="left"/>
      <w:lvlText w:val="%1."/>
      <w:numFmt w:val="decimal"/>
      <w:start w:val="1"/>
    </w:lvl>
    <w:lvl w:ilvl="1">
      <w:lvlJc w:val="left"/>
      <w:lvlText w:val="%2"/>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3"/>
    </w:lvl>
  </w:abstractNum>
  <w:abstractNum w:abstractNumId="9">
    <w:nsid w:val="109CF92E"/>
    <w:multiLevelType w:val="hybridMultilevel"/>
    <w:lvl w:ilvl="0">
      <w:lvlJc w:val="left"/>
      <w:lvlText w:val="%1"/>
      <w:numFmt w:val="decimal"/>
      <w:start w:val="1"/>
    </w:lvl>
    <w:lvl w:ilvl="1">
      <w:lvlJc w:val="left"/>
      <w:lvlText w:val="%2."/>
      <w:numFmt w:val="decimal"/>
      <w:start w:val="10"/>
    </w:lvl>
  </w:abstractNum>
  <w:abstractNum w:abstractNumId="10">
    <w:nsid w:val="DED7263"/>
    <w:multiLevelType w:val="hybridMultilevel"/>
    <w:lvl w:ilvl="0">
      <w:lvlJc w:val="left"/>
      <w:lvlText w:val="%1."/>
      <w:numFmt w:val="decimal"/>
      <w:start w:val="11"/>
    </w:lvl>
    <w:lvl w:ilvl="1">
      <w:lvlJc w:val="left"/>
      <w:lvlText w:val="%2"/>
      <w:numFmt w:val="decimal"/>
      <w:start w:val="1"/>
    </w:lvl>
  </w:abstractNum>
  <w:abstractNum w:abstractNumId="11">
    <w:nsid w:val="7FDCC233"/>
    <w:multiLevelType w:val="hybridMultilevel"/>
    <w:lvl w:ilvl="0">
      <w:lvlJc w:val="left"/>
      <w:lvlText w:val="%1"/>
      <w:numFmt w:val="decimal"/>
      <w:start w:val="1"/>
    </w:lvl>
    <w:lvl w:ilvl="1">
      <w:lvlJc w:val="left"/>
      <w:lvlText w:val="%2."/>
      <w:numFmt w:val="decimal"/>
      <w:start w:val="13"/>
    </w:lvl>
  </w:abstractNum>
  <w:abstractNum w:abstractNumId="12">
    <w:nsid w:val="1BEFD79F"/>
    <w:multiLevelType w:val="hybridMultilevel"/>
    <w:lvl w:ilvl="0">
      <w:lvlJc w:val="left"/>
      <w:lvlText w:val="%1."/>
      <w:numFmt w:val="decimal"/>
      <w:start w:val="1"/>
    </w:lvl>
    <w:lvl w:ilvl="1">
      <w:lvlJc w:val="left"/>
      <w:lvlText w:val="%2"/>
      <w:numFmt w:val="decimal"/>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2"/>
    </w:lvl>
  </w:abstractNum>
  <w:abstractNum w:abstractNumId="15">
    <w:nsid w:val="4E6AFB66"/>
    <w:multiLevelType w:val="hybridMultilevel"/>
    <w:lvl w:ilvl="0">
      <w:lvlJc w:val="left"/>
      <w:lvlText w:val="(%1)"/>
      <w:numFmt w:val="lowerLetter"/>
      <w:start w:val="3"/>
    </w:lvl>
  </w:abstractNum>
  <w:abstractNum w:abstractNumId="16">
    <w:nsid w:val="25E45D32"/>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2019-12-10T22:06:15Z</dcterms:created>
  <dcterms:modified xsi:type="dcterms:W3CDTF">2019-12-10T22:06:15Z</dcterms:modified>
</cp:coreProperties>
</file>