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68580</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85090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Report (Date of earliest event reported): December 2, 2010</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WYNN RESORTS, LIMITED</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17"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Nevada</w:t>
            </w:r>
          </w:p>
        </w:tc>
        <w:tc>
          <w:tcPr>
            <w:tcW w:w="4280" w:type="dxa"/>
            <w:vAlign w:val="bottom"/>
          </w:tcPr>
          <w:p>
            <w:pPr>
              <w:jc w:val="right"/>
              <w:ind w:right="1701"/>
              <w:spacing w:after="0"/>
              <w:rPr>
                <w:sz w:val="20"/>
                <w:szCs w:val="20"/>
                <w:color w:val="auto"/>
              </w:rPr>
            </w:pPr>
            <w:r>
              <w:rPr>
                <w:rFonts w:ascii="Times New Roman" w:cs="Times New Roman" w:eastAsia="Times New Roman" w:hAnsi="Times New Roman"/>
                <w:sz w:val="20"/>
                <w:szCs w:val="20"/>
                <w:b w:val="1"/>
                <w:bCs w:val="1"/>
                <w:color w:val="auto"/>
              </w:rPr>
              <w:t>000-50028</w:t>
            </w:r>
          </w:p>
        </w:tc>
        <w:tc>
          <w:tcPr>
            <w:tcW w:w="3020" w:type="dxa"/>
            <w:vAlign w:val="bottom"/>
          </w:tcPr>
          <w:p>
            <w:pPr>
              <w:jc w:val="center"/>
              <w:ind w:left="41"/>
              <w:spacing w:after="0"/>
              <w:rPr>
                <w:sz w:val="20"/>
                <w:szCs w:val="20"/>
                <w:color w:val="auto"/>
              </w:rPr>
            </w:pPr>
            <w:r>
              <w:rPr>
                <w:rFonts w:ascii="Times New Roman" w:cs="Times New Roman" w:eastAsia="Times New Roman" w:hAnsi="Times New Roman"/>
                <w:sz w:val="20"/>
                <w:szCs w:val="20"/>
                <w:b w:val="1"/>
                <w:bCs w:val="1"/>
                <w:color w:val="auto"/>
                <w:w w:val="99"/>
              </w:rPr>
              <w:t>46-0484987</w:t>
            </w:r>
          </w:p>
        </w:tc>
      </w:tr>
      <w:tr>
        <w:trPr>
          <w:trHeight w:val="258"/>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(State or other jurisdiction of incorporation)</w:t>
            </w:r>
          </w:p>
        </w:tc>
        <w:tc>
          <w:tcPr>
            <w:tcW w:w="428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8"/>
              </w:rPr>
              <w:t>(Commission File Number)</w:t>
            </w:r>
          </w:p>
        </w:tc>
        <w:tc>
          <w:tcPr>
            <w:tcW w:w="30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(I.R.S. Employer Identification No.)</w:t>
            </w:r>
          </w:p>
        </w:tc>
      </w:tr>
      <w:tr>
        <w:trPr>
          <w:trHeight w:val="444"/>
        </w:trPr>
        <w:tc>
          <w:tcPr>
            <w:tcW w:w="3500" w:type="dxa"/>
            <w:vAlign w:val="bottom"/>
          </w:tcPr>
          <w:p>
            <w:pPr>
              <w:spacing w:after="0"/>
              <w:rPr>
                <w:sz w:val="24"/>
                <w:szCs w:val="24"/>
                <w:color w:val="auto"/>
              </w:rPr>
            </w:pPr>
          </w:p>
        </w:tc>
        <w:tc>
          <w:tcPr>
            <w:tcW w:w="428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WYNN LAS VEGAS, LLC</w:t>
            </w:r>
          </w:p>
        </w:tc>
        <w:tc>
          <w:tcPr>
            <w:tcW w:w="3020" w:type="dxa"/>
            <w:vAlign w:val="bottom"/>
          </w:tcPr>
          <w:p>
            <w:pPr>
              <w:spacing w:after="0"/>
              <w:rPr>
                <w:sz w:val="24"/>
                <w:szCs w:val="24"/>
                <w:color w:val="auto"/>
              </w:rPr>
            </w:pPr>
          </w:p>
        </w:tc>
      </w:tr>
      <w:tr>
        <w:trPr>
          <w:trHeight w:val="258"/>
        </w:trPr>
        <w:tc>
          <w:tcPr>
            <w:tcW w:w="3500" w:type="dxa"/>
            <w:vAlign w:val="bottom"/>
          </w:tcPr>
          <w:p>
            <w:pPr>
              <w:spacing w:after="0"/>
              <w:rPr>
                <w:sz w:val="22"/>
                <w:szCs w:val="22"/>
                <w:color w:val="auto"/>
              </w:rPr>
            </w:pPr>
          </w:p>
        </w:tc>
        <w:tc>
          <w:tcPr>
            <w:tcW w:w="428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9"/>
              </w:rPr>
              <w:t>(Exact name of registrant as specified in its charter)</w:t>
            </w:r>
          </w:p>
        </w:tc>
        <w:tc>
          <w:tcPr>
            <w:tcW w:w="3020" w:type="dxa"/>
            <w:vAlign w:val="bottom"/>
          </w:tcPr>
          <w:p>
            <w:pPr>
              <w:spacing w:after="0"/>
              <w:rPr>
                <w:sz w:val="22"/>
                <w:szCs w:val="22"/>
                <w:color w:val="auto"/>
              </w:rPr>
            </w:pPr>
          </w:p>
        </w:tc>
      </w:tr>
      <w:tr>
        <w:trPr>
          <w:trHeight w:val="444"/>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Nevada</w:t>
            </w:r>
          </w:p>
        </w:tc>
        <w:tc>
          <w:tcPr>
            <w:tcW w:w="4280" w:type="dxa"/>
            <w:vAlign w:val="bottom"/>
          </w:tcPr>
          <w:p>
            <w:pPr>
              <w:jc w:val="right"/>
              <w:ind w:right="1661"/>
              <w:spacing w:after="0"/>
              <w:rPr>
                <w:sz w:val="20"/>
                <w:szCs w:val="20"/>
                <w:color w:val="auto"/>
              </w:rPr>
            </w:pPr>
            <w:r>
              <w:rPr>
                <w:rFonts w:ascii="Times New Roman" w:cs="Times New Roman" w:eastAsia="Times New Roman" w:hAnsi="Times New Roman"/>
                <w:sz w:val="20"/>
                <w:szCs w:val="20"/>
                <w:b w:val="1"/>
                <w:bCs w:val="1"/>
                <w:color w:val="auto"/>
              </w:rPr>
              <w:t>333-100768</w:t>
            </w:r>
          </w:p>
        </w:tc>
        <w:tc>
          <w:tcPr>
            <w:tcW w:w="3020" w:type="dxa"/>
            <w:vAlign w:val="bottom"/>
          </w:tcPr>
          <w:p>
            <w:pPr>
              <w:jc w:val="center"/>
              <w:ind w:left="41"/>
              <w:spacing w:after="0"/>
              <w:rPr>
                <w:sz w:val="20"/>
                <w:szCs w:val="20"/>
                <w:color w:val="auto"/>
              </w:rPr>
            </w:pPr>
            <w:r>
              <w:rPr>
                <w:rFonts w:ascii="Times New Roman" w:cs="Times New Roman" w:eastAsia="Times New Roman" w:hAnsi="Times New Roman"/>
                <w:sz w:val="20"/>
                <w:szCs w:val="20"/>
                <w:b w:val="1"/>
                <w:bCs w:val="1"/>
                <w:color w:val="auto"/>
                <w:w w:val="99"/>
              </w:rPr>
              <w:t>88-0494875</w:t>
            </w:r>
          </w:p>
        </w:tc>
      </w:tr>
      <w:tr>
        <w:trPr>
          <w:trHeight w:val="258"/>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(State or other jurisdiction of incorporation)</w:t>
            </w:r>
          </w:p>
        </w:tc>
        <w:tc>
          <w:tcPr>
            <w:tcW w:w="428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8"/>
              </w:rPr>
              <w:t>(Commission File Number)</w:t>
            </w:r>
          </w:p>
        </w:tc>
        <w:tc>
          <w:tcPr>
            <w:tcW w:w="302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(I.R.S. Employer Identification No.)</w:t>
            </w:r>
          </w:p>
        </w:tc>
      </w:tr>
      <w:tr>
        <w:trPr>
          <w:trHeight w:val="656"/>
        </w:trPr>
        <w:tc>
          <w:tcPr>
            <w:tcW w:w="7780" w:type="dxa"/>
            <w:vAlign w:val="bottom"/>
            <w:gridSpan w:val="2"/>
          </w:tcPr>
          <w:p>
            <w:pPr>
              <w:jc w:val="center"/>
              <w:ind w:right="2281"/>
              <w:spacing w:after="0"/>
              <w:rPr>
                <w:sz w:val="20"/>
                <w:szCs w:val="20"/>
                <w:color w:val="auto"/>
              </w:rPr>
            </w:pPr>
            <w:r>
              <w:rPr>
                <w:rFonts w:ascii="Times New Roman" w:cs="Times New Roman" w:eastAsia="Times New Roman" w:hAnsi="Times New Roman"/>
                <w:sz w:val="20"/>
                <w:szCs w:val="20"/>
                <w:b w:val="1"/>
                <w:bCs w:val="1"/>
                <w:color w:val="auto"/>
                <w:w w:val="98"/>
              </w:rPr>
              <w:t>3131 Las Vegas Boulevard South</w:t>
            </w:r>
          </w:p>
        </w:tc>
        <w:tc>
          <w:tcPr>
            <w:tcW w:w="3020" w:type="dxa"/>
            <w:vAlign w:val="bottom"/>
          </w:tcPr>
          <w:p>
            <w:pPr>
              <w:spacing w:after="0"/>
              <w:rPr>
                <w:sz w:val="24"/>
                <w:szCs w:val="24"/>
                <w:color w:val="auto"/>
              </w:rPr>
            </w:pPr>
          </w:p>
        </w:tc>
      </w:tr>
      <w:tr>
        <w:trPr>
          <w:trHeight w:val="234"/>
        </w:trPr>
        <w:tc>
          <w:tcPr>
            <w:tcW w:w="3500" w:type="dxa"/>
            <w:vAlign w:val="bottom"/>
          </w:tcPr>
          <w:p>
            <w:pPr>
              <w:jc w:val="center"/>
              <w:ind w:left="1781"/>
              <w:spacing w:after="0"/>
              <w:rPr>
                <w:sz w:val="20"/>
                <w:szCs w:val="20"/>
                <w:color w:val="auto"/>
              </w:rPr>
            </w:pPr>
            <w:r>
              <w:rPr>
                <w:rFonts w:ascii="Times New Roman" w:cs="Times New Roman" w:eastAsia="Times New Roman" w:hAnsi="Times New Roman"/>
                <w:sz w:val="20"/>
                <w:szCs w:val="20"/>
                <w:b w:val="1"/>
                <w:bCs w:val="1"/>
                <w:color w:val="auto"/>
                <w:w w:val="97"/>
              </w:rPr>
              <w:t>Las Vegas, Nevada</w:t>
            </w:r>
          </w:p>
        </w:tc>
        <w:tc>
          <w:tcPr>
            <w:tcW w:w="4280" w:type="dxa"/>
            <w:vAlign w:val="bottom"/>
          </w:tcPr>
          <w:p>
            <w:pPr>
              <w:spacing w:after="0"/>
              <w:rPr>
                <w:sz w:val="20"/>
                <w:szCs w:val="20"/>
                <w:color w:val="auto"/>
              </w:rPr>
            </w:pPr>
          </w:p>
        </w:tc>
        <w:tc>
          <w:tcPr>
            <w:tcW w:w="3020" w:type="dxa"/>
            <w:vAlign w:val="bottom"/>
          </w:tcPr>
          <w:p>
            <w:pPr>
              <w:jc w:val="center"/>
              <w:ind w:left="61"/>
              <w:spacing w:after="0"/>
              <w:rPr>
                <w:sz w:val="20"/>
                <w:szCs w:val="20"/>
                <w:color w:val="auto"/>
              </w:rPr>
            </w:pPr>
            <w:r>
              <w:rPr>
                <w:rFonts w:ascii="Times New Roman" w:cs="Times New Roman" w:eastAsia="Times New Roman" w:hAnsi="Times New Roman"/>
                <w:sz w:val="20"/>
                <w:szCs w:val="20"/>
                <w:b w:val="1"/>
                <w:bCs w:val="1"/>
                <w:color w:val="auto"/>
                <w:w w:val="99"/>
              </w:rPr>
              <w:t>89109</w:t>
            </w:r>
          </w:p>
        </w:tc>
      </w:tr>
      <w:tr>
        <w:trPr>
          <w:trHeight w:val="258"/>
        </w:trPr>
        <w:tc>
          <w:tcPr>
            <w:tcW w:w="7780" w:type="dxa"/>
            <w:vAlign w:val="bottom"/>
            <w:gridSpan w:val="2"/>
          </w:tcPr>
          <w:p>
            <w:pPr>
              <w:jc w:val="center"/>
              <w:ind w:right="2281"/>
              <w:spacing w:after="0"/>
              <w:rPr>
                <w:sz w:val="20"/>
                <w:szCs w:val="20"/>
                <w:color w:val="auto"/>
              </w:rPr>
            </w:pPr>
            <w:r>
              <w:rPr>
                <w:rFonts w:ascii="Times New Roman" w:cs="Times New Roman" w:eastAsia="Times New Roman" w:hAnsi="Times New Roman"/>
                <w:sz w:val="20"/>
                <w:szCs w:val="20"/>
                <w:color w:val="auto"/>
                <w:w w:val="98"/>
              </w:rPr>
              <w:t>(Address of principal executive offices of each registrant)</w:t>
            </w:r>
          </w:p>
        </w:tc>
        <w:tc>
          <w:tcPr>
            <w:tcW w:w="302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9"/>
              </w:rPr>
              <w:t>(Zip Code)</w:t>
            </w:r>
          </w:p>
        </w:tc>
      </w:tr>
      <w:tr>
        <w:trPr>
          <w:trHeight w:val="444"/>
        </w:trPr>
        <w:tc>
          <w:tcPr>
            <w:tcW w:w="3500" w:type="dxa"/>
            <w:vAlign w:val="bottom"/>
          </w:tcPr>
          <w:p>
            <w:pPr>
              <w:spacing w:after="0"/>
              <w:rPr>
                <w:sz w:val="24"/>
                <w:szCs w:val="24"/>
                <w:color w:val="auto"/>
              </w:rPr>
            </w:pPr>
          </w:p>
        </w:tc>
        <w:tc>
          <w:tcPr>
            <w:tcW w:w="4280" w:type="dxa"/>
            <w:vAlign w:val="bottom"/>
          </w:tcPr>
          <w:p>
            <w:pPr>
              <w:jc w:val="right"/>
              <w:ind w:right="1501"/>
              <w:spacing w:after="0"/>
              <w:rPr>
                <w:sz w:val="20"/>
                <w:szCs w:val="20"/>
                <w:color w:val="auto"/>
              </w:rPr>
            </w:pPr>
            <w:r>
              <w:rPr>
                <w:rFonts w:ascii="Times New Roman" w:cs="Times New Roman" w:eastAsia="Times New Roman" w:hAnsi="Times New Roman"/>
                <w:sz w:val="20"/>
                <w:szCs w:val="20"/>
                <w:b w:val="1"/>
                <w:bCs w:val="1"/>
                <w:color w:val="auto"/>
              </w:rPr>
              <w:t>(702) 770-7555</w:t>
            </w:r>
          </w:p>
        </w:tc>
        <w:tc>
          <w:tcPr>
            <w:tcW w:w="3020" w:type="dxa"/>
            <w:vAlign w:val="bottom"/>
          </w:tcPr>
          <w:p>
            <w:pPr>
              <w:spacing w:after="0"/>
              <w:rPr>
                <w:sz w:val="24"/>
                <w:szCs w:val="24"/>
                <w:color w:val="auto"/>
              </w:rPr>
            </w:pPr>
          </w:p>
        </w:tc>
      </w:tr>
      <w:tr>
        <w:trPr>
          <w:trHeight w:val="258"/>
        </w:trPr>
        <w:tc>
          <w:tcPr>
            <w:tcW w:w="7780" w:type="dxa"/>
            <w:vAlign w:val="bottom"/>
            <w:gridSpan w:val="2"/>
          </w:tcPr>
          <w:p>
            <w:pPr>
              <w:jc w:val="center"/>
              <w:ind w:left="3221"/>
              <w:spacing w:after="0"/>
              <w:rPr>
                <w:sz w:val="20"/>
                <w:szCs w:val="20"/>
                <w:color w:val="auto"/>
              </w:rPr>
            </w:pPr>
            <w:r>
              <w:rPr>
                <w:rFonts w:ascii="Times New Roman" w:cs="Times New Roman" w:eastAsia="Times New Roman" w:hAnsi="Times New Roman"/>
                <w:sz w:val="20"/>
                <w:szCs w:val="20"/>
                <w:color w:val="auto"/>
                <w:w w:val="98"/>
              </w:rPr>
              <w:t>(Registrant’s telephone number, including area code)</w:t>
            </w:r>
          </w:p>
        </w:tc>
        <w:tc>
          <w:tcPr>
            <w:tcW w:w="3020" w:type="dxa"/>
            <w:vAlign w:val="bottom"/>
          </w:tcPr>
          <w:p>
            <w:pPr>
              <w:spacing w:after="0"/>
              <w:rPr>
                <w:sz w:val="22"/>
                <w:szCs w:val="22"/>
                <w:color w:val="auto"/>
              </w:rPr>
            </w:pPr>
          </w:p>
        </w:tc>
      </w:tr>
    </w:tbl>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21"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is intended to simultaneously satisfy the filing obligation of the registrant under any of the following provisions:</w:t>
      </w:r>
    </w:p>
    <w:p>
      <w:pPr>
        <w:spacing w:after="0" w:line="187" w:lineRule="exact"/>
        <w:rPr>
          <w:sz w:val="24"/>
          <w:szCs w:val="24"/>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Written communication pursuant to Rule 425 under the Securities Act (17 CFR 230.425)</w:t>
      </w:r>
    </w:p>
    <w:p>
      <w:pPr>
        <w:spacing w:after="0" w:line="21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1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1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3" w:right="2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8.01</w:t>
      </w:r>
      <w:r>
        <w:rPr>
          <w:sz w:val="20"/>
          <w:szCs w:val="20"/>
          <w:color w:val="auto"/>
        </w:rPr>
        <w:tab/>
      </w:r>
      <w:r>
        <w:rPr>
          <w:rFonts w:ascii="Times New Roman" w:cs="Times New Roman" w:eastAsia="Times New Roman" w:hAnsi="Times New Roman"/>
          <w:sz w:val="21"/>
          <w:szCs w:val="21"/>
          <w:b w:val="1"/>
          <w:bCs w:val="1"/>
          <w:color w:val="auto"/>
        </w:rPr>
        <w:t>Other Events.</w:t>
      </w:r>
    </w:p>
    <w:p>
      <w:pPr>
        <w:spacing w:after="0" w:line="237"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2"/>
          <w:szCs w:val="22"/>
          <w:color w:val="auto"/>
        </w:rPr>
        <w:t>On December 2, 2010, two of Wynn Resorts, Limited’s wholly owned subsidiaries, Wynn Las Vegas, LLC and Wynn Las Vegas Capital Corp. (together, the “Issuers”), completed their offer to exchange up to $1,320,000,000 of their outstanding 7¾% First Mortgage Notes issued on August 4, 2010 due 2020 (the “Original Notes”) for 7¾% First Mortgage Notes due 2020 that have been registered under the Securities Act of 1933, as amended (the “New Notes”). The exchange offer was made in order to satisfy certain obligations of the Issuers contained in a Registration Rights Agreement, dated as of August 4, 2010.</w:t>
      </w:r>
    </w:p>
    <w:p>
      <w:pPr>
        <w:spacing w:after="0" w:line="20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2"/>
          <w:szCs w:val="22"/>
          <w:color w:val="auto"/>
        </w:rPr>
        <w:t>The exchange offer expired at 5:00 p.m., New York City time, on November 29, 2010. All $1,320,000,000 in aggregate principal amount of the Original Notes were exchanged. The New Notes are substantially identical to the Original Notes, except that the New Notes have been registered under the Securities Act of 1933, as amended, and, as a result, the transfer restrictions and registration rights provisions applicable to the Original Notes do not apply to the New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713105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2" w:lineRule="exact"/>
        <w:rPr>
          <w:sz w:val="20"/>
          <w:szCs w:val="20"/>
          <w:color w:val="auto"/>
        </w:rPr>
      </w:pPr>
    </w:p>
    <w:p>
      <w:pPr>
        <w:ind w:firstLine="7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Date:</w:t>
        <w:tab/>
        <w:t>December 2, 2010</w:t>
      </w:r>
    </w:p>
    <w:p>
      <w:pPr>
        <w:spacing w:after="0" w:line="24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13970</wp:posOffset>
            </wp:positionV>
            <wp:extent cx="26073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Matt Maddox</w:t>
      </w:r>
    </w:p>
    <w:p>
      <w:pPr>
        <w:spacing w:after="0" w:line="1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Chief Financial Officer and</w:t>
      </w:r>
    </w:p>
    <w:p>
      <w:pPr>
        <w:ind w:left="6400"/>
        <w:spacing w:after="0"/>
        <w:rPr>
          <w:sz w:val="20"/>
          <w:szCs w:val="20"/>
          <w:color w:val="auto"/>
        </w:rPr>
      </w:pPr>
      <w:r>
        <w:rPr>
          <w:rFonts w:ascii="Times New Roman" w:cs="Times New Roman" w:eastAsia="Times New Roman" w:hAnsi="Times New Roman"/>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1027430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2" w:lineRule="exact"/>
        <w:rPr>
          <w:sz w:val="20"/>
          <w:szCs w:val="20"/>
          <w:color w:val="auto"/>
        </w:rPr>
      </w:pPr>
    </w:p>
    <w:p>
      <w:pPr>
        <w:ind w:firstLine="7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December 2, 2010</w:t>
      </w:r>
    </w:p>
    <w:p>
      <w:pPr>
        <w:spacing w:after="0" w:line="24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WYNN LAS VEGAS, LLC</w:t>
      </w:r>
    </w:p>
    <w:p>
      <w:pPr>
        <w:spacing w:after="0" w:line="2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By: Wynn Resorts Holdings, LLC, its</w:t>
      </w:r>
    </w:p>
    <w:p>
      <w:pPr>
        <w:spacing w:after="0" w:line="2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sole member</w:t>
      </w:r>
    </w:p>
    <w:p>
      <w:pPr>
        <w:spacing w:after="0" w:line="1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By: Wynn Resorts, Limited, its</w:t>
      </w:r>
    </w:p>
    <w:p>
      <w:pPr>
        <w:spacing w:after="0" w:line="2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sole member</w:t>
      </w:r>
    </w:p>
    <w:p>
      <w:pPr>
        <w:spacing w:after="0" w:line="1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13970</wp:posOffset>
            </wp:positionV>
            <wp:extent cx="25984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0"/>
          <w:szCs w:val="20"/>
          <w:color w:val="auto"/>
        </w:rPr>
        <w:t>Matt Maddox</w:t>
      </w:r>
    </w:p>
    <w:p>
      <w:pPr>
        <w:spacing w:after="0" w:line="1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0"/>
          <w:szCs w:val="20"/>
          <w:color w:val="auto"/>
        </w:rPr>
        <w:t>Chief Financial Officer and</w:t>
      </w:r>
    </w:p>
    <w:p>
      <w:pPr>
        <w:ind w:left="6420"/>
        <w:spacing w:after="0"/>
        <w:rPr>
          <w:sz w:val="20"/>
          <w:szCs w:val="20"/>
          <w:color w:val="auto"/>
        </w:rPr>
      </w:pPr>
      <w:r>
        <w:rPr>
          <w:rFonts w:ascii="Times New Roman" w:cs="Times New Roman" w:eastAsia="Times New Roman" w:hAnsi="Times New Roman"/>
          <w:sz w:val="20"/>
          <w:szCs w:val="20"/>
          <w:color w:val="auto"/>
        </w:rPr>
        <w:t>Treasurer</w:t>
      </w:r>
    </w:p>
    <w:sectPr>
      <w:pgSz w:w="11900" w:h="16838" w:orient="portrait"/>
      <w:cols w:equalWidth="0" w:num="1">
        <w:col w:w="11420"/>
      </w:cols>
      <w:pgMar w:left="240" w:top="5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2019-12-15T06:10:22Z</dcterms:created>
  <dcterms:modified xsi:type="dcterms:W3CDTF">2019-12-15T06:10:22Z</dcterms:modified>
</cp:coreProperties>
</file>