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287020</wp:posOffset>
            </wp:positionV>
            <wp:extent cx="28975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182245</wp:posOffset>
            </wp:positionV>
            <wp:extent cx="28975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193675</wp:posOffset>
            </wp:positionV>
            <wp:extent cx="2897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82" w:lineRule="exact"/>
        <w:rPr>
          <w:sz w:val="24"/>
          <w:szCs w:val="24"/>
          <w:color w:val="auto"/>
        </w:rPr>
      </w:pPr>
    </w:p>
    <w:tbl>
      <w:tblPr>
        <w:tblLayout w:type="fixed"/>
        <w:tblInd w:w="540" w:type="dxa"/>
        <w:tblCellMar>
          <w:top w:w="0" w:type="dxa"/>
          <w:left w:w="0" w:type="dxa"/>
          <w:bottom w:w="0" w:type="dxa"/>
          <w:right w:w="0" w:type="dxa"/>
        </w:tblCellMar>
      </w:tblPr>
      <w:tr>
        <w:trPr>
          <w:trHeight w:val="227"/>
        </w:trPr>
        <w:tc>
          <w:tcPr>
            <w:tcW w:w="280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6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20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46"/>
        </w:trPr>
        <w:tc>
          <w:tcPr>
            <w:tcW w:w="2800" w:type="dxa"/>
            <w:vAlign w:val="bottom"/>
          </w:tcPr>
          <w:p>
            <w:pPr>
              <w:jc w:val="center"/>
              <w:ind w:right="19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560" w:type="dxa"/>
            <w:vAlign w:val="bottom"/>
          </w:tcPr>
          <w:p>
            <w:pPr>
              <w:ind w:left="176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000" w:type="dxa"/>
            <w:vAlign w:val="bottom"/>
          </w:tcPr>
          <w:p>
            <w:pPr>
              <w:jc w:val="center"/>
              <w:ind w:left="78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0"/>
        </w:trPr>
        <w:tc>
          <w:tcPr>
            <w:tcW w:w="28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56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00" w:type="dxa"/>
            <w:vAlign w:val="bottom"/>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0"/>
        </w:trPr>
        <w:tc>
          <w:tcPr>
            <w:tcW w:w="280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w:t>
            </w:r>
          </w:p>
        </w:tc>
        <w:tc>
          <w:tcPr>
            <w:tcW w:w="45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7"/>
        </w:trPr>
        <w:tc>
          <w:tcPr>
            <w:tcW w:w="28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4560" w:type="dxa"/>
            <w:vAlign w:val="bottom"/>
          </w:tcPr>
          <w:p>
            <w:pPr>
              <w:spacing w:after="0"/>
              <w:rPr>
                <w:sz w:val="19"/>
                <w:szCs w:val="19"/>
                <w:color w:val="auto"/>
              </w:rPr>
            </w:pPr>
          </w:p>
        </w:tc>
        <w:tc>
          <w:tcPr>
            <w:tcW w:w="2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190"/>
        </w:trPr>
        <w:tc>
          <w:tcPr>
            <w:tcW w:w="28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60" w:type="dxa"/>
            <w:vAlign w:val="bottom"/>
          </w:tcPr>
          <w:p>
            <w:pPr>
              <w:spacing w:after="0"/>
              <w:rPr>
                <w:sz w:val="16"/>
                <w:szCs w:val="16"/>
                <w:color w:val="auto"/>
              </w:rPr>
            </w:pPr>
          </w:p>
        </w:tc>
        <w:tc>
          <w:tcPr>
            <w:tcW w:w="2000" w:type="dxa"/>
            <w:vAlign w:val="bottom"/>
          </w:tcPr>
          <w:p>
            <w:pPr>
              <w:jc w:val="center"/>
              <w:ind w:left="7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87"/>
        </w:trPr>
        <w:tc>
          <w:tcPr>
            <w:tcW w:w="28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200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000" w:type="dxa"/>
            <w:vAlign w:val="bottom"/>
          </w:tcPr>
          <w:p>
            <w:pPr>
              <w:spacing w:after="0"/>
              <w:rPr>
                <w:sz w:val="16"/>
                <w:szCs w:val="16"/>
                <w:color w:val="auto"/>
              </w:rPr>
            </w:pPr>
          </w:p>
        </w:tc>
      </w:tr>
      <w:tr>
        <w:trPr>
          <w:trHeight w:val="404"/>
        </w:trPr>
        <w:tc>
          <w:tcPr>
            <w:tcW w:w="28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00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000" w:type="dxa"/>
            <w:vAlign w:val="bottom"/>
          </w:tcPr>
          <w:p>
            <w:pPr>
              <w:spacing w:after="0"/>
              <w:rPr>
                <w:sz w:val="16"/>
                <w:szCs w:val="16"/>
                <w:color w:val="auto"/>
              </w:rPr>
            </w:pPr>
          </w:p>
        </w:tc>
      </w:tr>
      <w:tr>
        <w:trPr>
          <w:trHeight w:val="23"/>
        </w:trPr>
        <w:tc>
          <w:tcPr>
            <w:tcW w:w="28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r>
    </w:tbl>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60" w:type="dxa"/>
            <w:vAlign w:val="bottom"/>
          </w:tcPr>
          <w:p>
            <w:pPr>
              <w:spacing w:after="0"/>
              <w:rPr>
                <w:sz w:val="18"/>
                <w:szCs w:val="18"/>
                <w:color w:val="auto"/>
              </w:rPr>
            </w:pPr>
          </w:p>
        </w:tc>
        <w:tc>
          <w:tcPr>
            <w:tcW w:w="29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0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8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600" w:type="dxa"/>
            <w:vAlign w:val="bottom"/>
          </w:tcPr>
          <w:p>
            <w:pPr>
              <w:spacing w:after="0"/>
              <w:rPr>
                <w:sz w:val="21"/>
                <w:szCs w:val="21"/>
                <w:color w:val="auto"/>
              </w:rPr>
            </w:pPr>
          </w:p>
        </w:tc>
        <w:tc>
          <w:tcPr>
            <w:tcW w:w="230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WYNN</w:t>
            </w:r>
          </w:p>
        </w:tc>
        <w:tc>
          <w:tcPr>
            <w:tcW w:w="86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November 5, 2020, Wynn Resorts, Limited issued a press release announcing its results of operations for the quarter ended September 30, 2020.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4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set forth under Item 2.02 of this report is incorporated herein by reference.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2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22"/>
                <w:szCs w:val="22"/>
                <w:color w:val="auto"/>
              </w:rPr>
            </w:pPr>
          </w:p>
        </w:tc>
        <w:tc>
          <w:tcPr>
            <w:tcW w:w="9900" w:type="dxa"/>
            <w:vAlign w:val="bottom"/>
            <w:gridSpan w:val="4"/>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Press release, dated</w:t>
              </w:r>
              <w:r>
                <w:rPr>
                  <w:rFonts w:ascii="Times New Roman" w:cs="Times New Roman" w:eastAsia="Times New Roman" w:hAnsi="Times New Roman"/>
                  <w:sz w:val="18"/>
                  <w:szCs w:val="18"/>
                  <w:color w:val="0000FF"/>
                </w:rPr>
                <w:t xml:space="preserve"> November 5, </w:t>
              </w:r>
              <w:r>
                <w:rPr>
                  <w:rFonts w:ascii="Times New Roman" w:cs="Times New Roman" w:eastAsia="Times New Roman" w:hAnsi="Times New Roman"/>
                  <w:sz w:val="18"/>
                  <w:szCs w:val="18"/>
                  <w:u w:val="single" w:color="auto"/>
                  <w:color w:val="0000FF"/>
                </w:rPr>
                <w:t>2020, of Wynn Resorts, Limited.</w:t>
              </w:r>
            </w:hyperlink>
          </w:p>
        </w:tc>
      </w:tr>
      <w:tr>
        <w:trPr>
          <w:trHeight w:val="20"/>
        </w:trPr>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250"/>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21"/>
                <w:szCs w:val="21"/>
                <w:color w:val="auto"/>
              </w:rPr>
            </w:pP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36"/>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ectPr>
          <w:pgSz w:w="11900" w:h="16838" w:orient="portrait"/>
          <w:cols w:equalWidth="0" w:num="1">
            <w:col w:w="11240"/>
          </w:cols>
          <w:pgMar w:left="320" w:top="887" w:right="339" w:bottom="1440" w:gutter="0" w:footer="0" w:header="0"/>
        </w:sectPr>
      </w:pP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5, 2020</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24765</wp:posOffset>
            </wp:positionV>
            <wp:extent cx="26231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5740" w:space="720"/>
            <w:col w:w="4780"/>
          </w:cols>
          <w:pgMar w:left="320" w:top="887" w:right="339" w:bottom="1440" w:gutter="0" w:footer="0" w:header="0"/>
          <w:type w:val="continuous"/>
        </w:sectPr>
      </w:pPr>
    </w:p>
    <w:p>
      <w:pPr>
        <w:ind w:left="6560"/>
        <w:spacing w:after="0"/>
        <w:rPr>
          <w:sz w:val="20"/>
          <w:szCs w:val="20"/>
          <w:color w:val="auto"/>
        </w:rPr>
      </w:pPr>
      <w:r>
        <w:rPr>
          <w:rFonts w:ascii="Times New Roman" w:cs="Times New Roman" w:eastAsia="Times New Roman" w:hAnsi="Times New Roman"/>
          <w:sz w:val="18"/>
          <w:szCs w:val="18"/>
          <w:color w:val="auto"/>
        </w:rPr>
        <w:t>Craig S. Billings</w:t>
      </w:r>
    </w:p>
    <w:p>
      <w:pPr>
        <w:spacing w:after="0" w:line="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auto"/>
        </w:rPr>
        <w:t>President, Chief Financial Officer and Treasurer</w:t>
      </w:r>
    </w:p>
    <w:p>
      <w:pPr>
        <w:spacing w:after="0" w:line="3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887" w:right="33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Reports Third Quarter 2020 Results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LAS VEGAS, November 5, 2020 — Wynn Resorts, Limited (NASDAQ: WYNN) (the "Company") today reported financial results for the quarter ended September 30, 2020.</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Operating revenues were $370.5 million for the third quarter of 2020, a decrease of 77.5%, or $1.28 billion, from $1.65 billion for the third quarter of 2019. Net loss attributable to Wynn Resorts, Limited was $758.1 million, or $7.10 per diluted share, for the third quarter of 2020, compared to net loss attributable to Wynn Resorts, Limited of $3.5 million, or $0.03 per diluted share, in the third quarter of 2019. Net loss attributable to Wynn Resorts, Limited for the third quarter of 2020 reflects a provision for income taxes of $407.4 million, primarily related to an increase in the valuation allowance against deferred tax assets no longer expected to be realized. Adjusted Property EBITDA (1) was $(65.9) million for the third quarter of 2020, compared to Adjusted Property EBITDA of $396.9 million in the third quarter of 2019.</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encouraged by the progress we have made in each of our properties over the past several months, despite the ongoing impact of the virus and related operating limitations," said Matt Maddox, CEO of Wynn Resorts, Limited. "Encore Boston Harbor delivered record quarterly EBITDA during the third quarter, while Wynn Las Vegas continued to experience strong leisure demand on weekends with solid hotel occupancy and casino play. In Macau, visitation restrictions have begun to gradually and thoughtfully ease, allowing us to achieve EBITDA break-even in October. We are confident that Macau will continue to benefit from the return of consumer demand as we head into 2021."</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the development front, we have made substantial progress advancing Wynn Interactive, our majority owned sports betting and online gaming subsidiary. During the third quarter, we launched online sports and casino offerings in New Jersey to an encouraging initial customer response. Beyond New Jersey, we have secured market access in numerous other states, and are in the process of applying for licenses on a standalone basis in Tennessee and Virginia. We are also in discussions with potential partners regarding additional access agreements in other jurisdictions. Our nationally-recognized brand and unique product-led strategy position us well to generate our fair share of this important, fast-growing business over the coming years."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revenues were $370.5 million for the third quarter of 2020, a decrease of 77.5%, or $1.28 billion, from $1.65 billion for the third quarter of 2019. Operating revenues decreased $582.5 million, $422.9 million, $212.8 million, and $59.1 million at Wynn Palace, Wynn Macau, our Las Vegas Operations, and Encore Boston Harbor, respectively, from the third quarter of 2019.</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a U.S. generally accepted accounting principles ("GAAP") basis, net loss attributable to Wynn Resorts, Limited was $758.1 million, or $7.10 per diluted share, for the third quarter of 2020, compared to net loss attributable to Wynn Resorts, Limited of $3.5 million, or $0.03 per diluted share, in the third quarter of 2019. Net loss attributable to Wynn Resorts, Limited for the third quarter of 2020 reflects a provision for income taxes of $407.4 million, primarily related to an increase in the valuation allowance against deferred tax assets no longer expected to be realized. Adjusted net loss attributable to Wynn Resorts, Limited (2) was $751.4 million, or $7.04 per diluted share, for the third quarter of 2020, compared to adjusted net income attributable to Wynn Resorts, Limited of $18.5 million, or $0.17 per diluted share, for the third quarter of 2019.</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Property EBITDA was $(65.9) million for the third quarter of 2020, compared to $396.9 million for the third quarter of 2019. Adjusted Property EBITDA decreased $239.8 million, $173.4 million, and $67.8 million at Wynn Palace, Wynn Macau, and our Las Vegas Operations, respectively, and increased $18.2 million at Encore Boston Harbor.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Property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Macau Operations</w:t>
      </w:r>
    </w:p>
    <w:p>
      <w:pPr>
        <w:spacing w:after="0" w:line="25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casino operations at Wynn Palace and Wynn Macau were closed for a 15-day period in February 2020 and resumed operations on a reduced basis on February 20, 2020. Our casinos' operations have since been fully restored; however, certain COVID-19 specific protective measures, such as traveler quarantines and requirements for negative COVID-19 tests before entering Macau, limiting the number of seats per table game, slot machine spacing, temperature checks, mask protection, COVID-19 negative test results requirements for entry to gaming areas, and health declarations remain in effect at the present time. We are currently unable to determine when these measures will be lifted. On September 23, 2020, mainland China authorities fully resumed the Individual Visit Scheme exit visa program, subject to certain testing requirements and health declarations.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Palace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revenues from Wynn Palace were $15.7 million for the third quarter of 2020, a 97.4% decrease from $598.2 million for the third quarter of 2019. Adjusted Property EBITDA from Wynn Palace was $(77.6) million for the third quarter of 2020, compared with $162.2 million for the third quarter of 2019. VIP table games win as a percentage of turnover was 1.04%, below the property's expected range of 2.7% to 3.0% and below the 3.19% experienced in the third quarter of 2019. Table games win percentage in mass market operations was 22.0%, below the 25.0% experienced in the third quarter of 2019.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revenues from Wynn Macau were $51.4 million for the third quarter of 2020, an 89.2% decrease from $474.3 million for the third quarter of 2019. Adjusted Property EBITDA was $(34.5) million for the third quarter of 2020, compared with $139.0 million for the third quarter of 2019. VIP Table games win as a percentage of turnover was 3.95%, above the property's expected range of 2.7% to 3.0% and above the 2.76% experienced in the third quarter of 2019. Table games win percentage in mass market operations was 18.7%, below the 20.7% experienced in the third quarter of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Las Vegas Operations</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Wynn Las Vegas ceased all operations and closed to the public on March 17, 2020, and reopened on June 4, 2020 with certain COVID-19 specific protective measures in place, such as limiting the number of seats per table game, slot machine spacing, temperature checks, mask protection, and suspension of certain entertainment and nightlife offerings. Beginning October 19, 2020, Encore at Wynn Las Vegas adjusted its operating schedule to five days/four nights each week due to currently reduced customer demand levels. We are currently unable to determine when certain of these measures will be lifted.</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Operating revenues from our Las Vegas Operations were $186.7 million for the third quarter of 2020, a 53.3% decrease from $399.5 million for the third quarter of 2019. Adjusted Property EBITDA from our Las Vegas Operations for the third quarter of 2020 was $20.3 million, compared with $88.0 million for the third quarter of 2019. Table games win percentage was 20.2%, below the property's expected range of 22% to 26% and above the 19.9% experienced in the third quarter of 2019.</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Encore Boston Harbor</w:t>
      </w:r>
    </w:p>
    <w:p>
      <w:pPr>
        <w:spacing w:after="0" w:line="25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Encore Boston Harbor ceased all operations and closed to the public on March 15, 2020, and reopened on July 10, 2020 with certain COVID-19 specific protective measures in place, such as limiting the number of seats per table game, slot machine spacing, temperature checks, and mask protection. In addition, certain food and beverage outlets remain closed, and hotel reservations were limited to Thursday through Sunday through the third quarter of 2020. On November 2, 2020, the Governor of Massachusetts issued a directive limiting the operating hours of certain businesses, including restaurants and casinos, effective November 6, 2020. Encore Boston Harbor may modify its operations as a result of this directive. We are currently unable to determine when these measures will be lifted.</w:t>
      </w:r>
    </w:p>
    <w:p>
      <w:pPr>
        <w:spacing w:after="0" w:line="21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Operating revenues from Encore Boston Harbor were $116.7 million for the third quarter of 2020, a 33.6% decrease from $175.8 million for the third quarter of 2019. Adjusted Property EBITDA from Encore Boston Harbor for the third quarter of 2020 was $26.0 million, compared with $7.7 million for the third quarter of 2019. Table games win percentage was 21.8%, within the property's expected range of 18% to 22% and above the 19.7% experienced in the third quarter of 2019.</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Wynn Interactive</w:t>
      </w:r>
    </w:p>
    <w:p>
      <w:pPr>
        <w:spacing w:after="0" w:line="25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October 2020, Wynn Interactive, Ltd. ("Wynn Interactive") was formed through the merger of our U.S. online sports betting and gaming business, social casino business, and our strategic partner, BetBull Limited ("BetBull"). Following the merger, Wynn Resorts owns approximately 71% of Wynn Interactive and will consolidate Wynn Interactive going forward. We expect this transaction to position Wynn Resorts to capitalize on developing opportunities in digital and interactive sports betting and gaming throughout the U.S., by combining Wynn Resorts' nationally recognized brand with BetBull's digital sports betting operational capabilities and technology.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and cash equivalents as of September 30, 2020 totaled $3.55 billion, comprised of approximately $2.28 billion held by Wynn Macau, Limited ("WML") and subsidiaries, approximately $391.8 million held by Wynn Resorts Finance excluding WML, and approximately $881.9 million at Corporate and other.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2020, the available borrowing capacity under the Wynn Resorts Finance Revolver was $15.9 million. As of September 30, 2020, the Company had no available borrowing capacity under the Wynn Macau Revolver.</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current and long-term debt outstanding at September 30, 2020 was $12.79 billion, comprised of $5.96 billion of Macau related debt, $3.12 billion of Wynn Las Vegas debt, $3.10 billion of Wynn Resorts Finance debt, and $612.2 million of debt held by the retail joint venture which we consolidate.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on August 26, 2020, WML issued $250.0 million aggregate principal amount of 5.500% Senior Notes due 2026 and $600.0 million aggregate principal amount of 5.625% Senior Notes due 2028. WML used the net proceeds from the offering to facilitate the prepayment of term loans outstanding under the Wynn Macau Credit Facilities in September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Conference Call and Other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hold a conference call to discuss its results, including the results of Wynn Resorts Finance, LLC and Wynn Las Vegas, LLC, on November 5, 2020 at 1:30 p.m. PT (4:30 p.m. ET). Interested parties are invited to join the call by accessing a live audio webcast at http://www.wynnresorts.com.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or before November 13, 2020, the Company will make Wynn Resorts Finance, LLC and Wynn Las Vegas, LLC financial information for the quarter ended September 30, 2020 available to noteholders, prospective investors, broker-dealers and securities analysts. Please contact our investor relations office at 702-770-7555 or at investorrelations@wynnresorts.com, to obtain access to such financial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the recent global pandemic of COVID-19, caused by a novel strain of the coronavirus, and the continued impact of its consequences, extensive regulation of our business, pending or future legal proceedings, ability to maintain gaming licenses and concessions,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2019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firstLine="8"/>
        <w:spacing w:after="0" w:line="252" w:lineRule="auto"/>
        <w:tabs>
          <w:tab w:leader="none" w:pos="2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net income (loss) before interest, income taxes, depreciation and amortization, pre-opening expenses, property charges and other, management and license fees, corporate expenses and other (including intercompany golf course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21" w:lineRule="exact"/>
        <w:rPr>
          <w:rFonts w:ascii="Times New Roman" w:cs="Times New Roman" w:eastAsia="Times New Roman" w:hAnsi="Times New Roman"/>
          <w:sz w:val="18"/>
          <w:szCs w:val="18"/>
          <w:color w:val="auto"/>
        </w:rPr>
      </w:pPr>
    </w:p>
    <w:p>
      <w:pPr>
        <w:jc w:val="both"/>
        <w:ind w:firstLine="8"/>
        <w:spacing w:after="0" w:line="254" w:lineRule="auto"/>
        <w:tabs>
          <w:tab w:leader="none" w:pos="27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(loss) attributable to Wynn Resorts, Limited" is net income (loss) attributable to Wynn Resorts, Limited before nonrecurring regulatory expense, litigation settlement net gain, pre-opening expenses, property charges and other, change in derivatives fair value, loss on extinguishment of debt, foreign currency remeasurement gain (loss), and the impact from the enactment of U.S. tax reform, net of noncontrolling interests and income taxes calculated using the specific tax treatment applicable to the adjustments based on their respective jurisdictions. Adjusted net income (loss) attributable to Wynn Resorts, Limited and adjusted net income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(loss) and earnings per share computed in accordance with GAAP, as an additional basis for assessing period-to-period results of our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7"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Adjusted net income (loss) attributable to Wynn Resorts, Limited and adjusted net income (loss) attributable to Wynn Resorts, Limited per diluted share may be different from the calculation methods used by other companies and, therefore, comparability may be limited.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included schedules in the tables that accompany this release that reconcile (i) net income (loss) attributable to Wynn Resorts, Limited to adjusted net income (loss) attributable to Wynn Resorts, Limited, (ii) operating income (loss) to Adjusted Property EBITDA, and (iii) net income (loss) attributable to Wynn Resorts, Limited to Adjusted Property EBITDA.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3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201,872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1,108,364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782,074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3,435,968</w:t>
            </w:r>
          </w:p>
        </w:tc>
      </w:tr>
      <w:tr>
        <w:trPr>
          <w:trHeight w:val="229"/>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595,953</w:t>
            </w:r>
          </w:p>
        </w:tc>
      </w:tr>
      <w:tr>
        <w:trPr>
          <w:trHeight w:val="230"/>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619,749</w:t>
            </w:r>
          </w:p>
        </w:tc>
      </w:tr>
      <w:tr>
        <w:trPr>
          <w:trHeight w:val="229"/>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105,014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305,970</w:t>
            </w:r>
          </w:p>
        </w:tc>
      </w:tr>
      <w:tr>
        <w:trPr>
          <w:trHeight w:val="223"/>
        </w:trPr>
        <w:tc>
          <w:tcPr>
            <w:tcW w:w="58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370,452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1,647,762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1,409,866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4,957,640</w:t>
            </w:r>
          </w:p>
        </w:tc>
      </w:tr>
      <w:tr>
        <w:trPr>
          <w:trHeight w:val="20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2,197,750</w:t>
            </w:r>
          </w:p>
        </w:tc>
      </w:tr>
      <w:tr>
        <w:trPr>
          <w:trHeight w:val="229"/>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205,042</w:t>
            </w:r>
          </w:p>
        </w:tc>
      </w:tr>
      <w:tr>
        <w:trPr>
          <w:trHeight w:val="229"/>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527,502</w:t>
            </w:r>
          </w:p>
        </w:tc>
      </w:tr>
      <w:tr>
        <w:trPr>
          <w:trHeight w:val="230"/>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129,636</w:t>
            </w:r>
          </w:p>
        </w:tc>
      </w:tr>
      <w:tr>
        <w:trPr>
          <w:trHeight w:val="229"/>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665,988</w:t>
            </w:r>
          </w:p>
        </w:tc>
      </w:tr>
      <w:tr>
        <w:trPr>
          <w:trHeight w:val="229"/>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13,039</w:t>
            </w:r>
          </w:p>
        </w:tc>
      </w:tr>
      <w:tr>
        <w:trPr>
          <w:trHeight w:val="230"/>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99,212</w:t>
            </w:r>
          </w:p>
        </w:tc>
      </w:tr>
      <w:tr>
        <w:trPr>
          <w:trHeight w:val="229"/>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449,824</w:t>
            </w:r>
          </w:p>
        </w:tc>
      </w:tr>
      <w:tr>
        <w:trPr>
          <w:trHeight w:val="230"/>
        </w:trPr>
        <w:tc>
          <w:tcPr>
            <w:tcW w:w="5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17,920</w:t>
            </w:r>
          </w:p>
        </w:tc>
      </w:tr>
      <w:tr>
        <w:trPr>
          <w:trHeight w:val="223"/>
        </w:trPr>
        <w:tc>
          <w:tcPr>
            <w:tcW w:w="5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653,459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1,469,927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2,463,300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4,305,913</w:t>
            </w:r>
          </w:p>
        </w:tc>
      </w:tr>
      <w:tr>
        <w:trPr>
          <w:trHeight w:val="22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(283,007)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177,835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(1,053,434)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651,727</w:t>
            </w:r>
          </w:p>
        </w:tc>
      </w:tr>
      <w:tr>
        <w:trPr>
          <w:trHeight w:val="20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19,979</w:t>
            </w:r>
          </w:p>
        </w:tc>
      </w:tr>
      <w:tr>
        <w:trPr>
          <w:trHeight w:val="230"/>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(300,981)</w:t>
            </w:r>
          </w:p>
        </w:tc>
      </w:tr>
      <w:tr>
        <w:trPr>
          <w:trHeight w:val="230"/>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w:t>
            </w:r>
          </w:p>
        </w:tc>
      </w:tr>
      <w:tr>
        <w:trPr>
          <w:trHeight w:val="229"/>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w:t>
            </w:r>
          </w:p>
        </w:tc>
      </w:tr>
      <w:tr>
        <w:trPr>
          <w:trHeight w:val="230"/>
        </w:trPr>
        <w:tc>
          <w:tcPr>
            <w:tcW w:w="5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w:t>
            </w:r>
          </w:p>
        </w:tc>
      </w:tr>
      <w:tr>
        <w:trPr>
          <w:trHeight w:val="223"/>
        </w:trPr>
        <w:tc>
          <w:tcPr>
            <w:tcW w:w="5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(141,161)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(131,225)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(399,118)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(303,458)</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(424,168)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(1,452,552)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348,269</w:t>
            </w:r>
          </w:p>
        </w:tc>
      </w:tr>
      <w:tr>
        <w:trPr>
          <w:trHeight w:val="230"/>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(407,365)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(564,103)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(19,421)</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(831,533)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(2,016,655)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328,848</w:t>
            </w:r>
          </w:p>
        </w:tc>
      </w:tr>
      <w:tr>
        <w:trPr>
          <w:trHeight w:val="230"/>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(132,921)</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Wynn Resorts, Limited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(758,142)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(1,797,743)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195,927</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5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net income (loss) per common share:</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5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106,791</w:t>
            </w:r>
          </w:p>
        </w:tc>
      </w:tr>
      <w:tr>
        <w:trPr>
          <w:trHeight w:val="229"/>
        </w:trPr>
        <w:tc>
          <w:tcPr>
            <w:tcW w:w="5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107,024</w:t>
            </w: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87" w:right="339" w:bottom="1440" w:gutter="0" w:footer="0" w:header="0"/>
        </w:sectPr>
      </w:pPr>
    </w:p>
    <w:bookmarkStart w:id="9" w:name="page10"/>
    <w:bookmarkEnd w:id="9"/>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WYNN RESORTS, LIMITED AND SUBSIDIARIES RECONCILIATION OF NET INCOME (LOSS) ATTRIBUTABLE TO WYNN RESORTS, LIMITED TO ADJUSTED NET INCOME (LOSS) ATTRIBUTABLE TO WYNN RESORTS, LIMITED (in thousands, except per share data)</w:t>
      </w: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40" w:type="dxa"/>
            <w:vAlign w:val="bottom"/>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62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195,927</w:t>
            </w:r>
          </w:p>
        </w:tc>
        <w:tc>
          <w:tcPr>
            <w:tcW w:w="0" w:type="dxa"/>
            <w:vAlign w:val="bottom"/>
          </w:tcPr>
          <w:p>
            <w:pPr>
              <w:spacing w:after="0"/>
              <w:rPr>
                <w:sz w:val="1"/>
                <w:szCs w:val="1"/>
                <w:color w:val="auto"/>
              </w:rPr>
            </w:pPr>
          </w:p>
        </w:tc>
      </w:tr>
      <w:tr>
        <w:trPr>
          <w:trHeight w:val="230"/>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Nonrecurring regulatory expense</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Litigation settlement net gain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 expenses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99,212</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17,920</w:t>
            </w:r>
          </w:p>
        </w:tc>
        <w:tc>
          <w:tcPr>
            <w:tcW w:w="0" w:type="dxa"/>
            <w:vAlign w:val="bottom"/>
          </w:tcPr>
          <w:p>
            <w:pPr>
              <w:spacing w:after="0"/>
              <w:rPr>
                <w:sz w:val="1"/>
                <w:szCs w:val="1"/>
                <w:color w:val="auto"/>
              </w:rPr>
            </w:pPr>
          </w:p>
        </w:tc>
      </w:tr>
      <w:tr>
        <w:trPr>
          <w:trHeight w:val="229"/>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0" w:type="dxa"/>
            <w:vAlign w:val="bottom"/>
          </w:tcPr>
          <w:p>
            <w:pPr>
              <w:spacing w:after="0"/>
              <w:rPr>
                <w:sz w:val="1"/>
                <w:szCs w:val="1"/>
                <w:color w:val="auto"/>
              </w:rPr>
            </w:pPr>
          </w:p>
        </w:tc>
      </w:tr>
      <w:tr>
        <w:trPr>
          <w:trHeight w:val="230"/>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remeasurement (gain) loss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impact on adjustments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(18,994)</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Noncontrolling interests impact on adjustments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(loss) attributable to Wynn Resorts, Limited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(751,437)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18,544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(1,785,023)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345,033</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Adjusted net income (loss) attributable to Wynn Resorts, Limited per 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200" w:type="dxa"/>
            <w:vAlign w:val="bottom"/>
            <w:vMerge w:val="continue"/>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(7.04)</w:t>
            </w:r>
          </w:p>
        </w:tc>
        <w:tc>
          <w:tcPr>
            <w:tcW w:w="100" w:type="dxa"/>
            <w:vAlign w:val="bottom"/>
          </w:tcPr>
          <w:p>
            <w:pPr>
              <w:spacing w:after="0"/>
              <w:rPr>
                <w:sz w:val="10"/>
                <w:szCs w:val="10"/>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(16.73)</w:t>
            </w:r>
          </w:p>
        </w:tc>
        <w:tc>
          <w:tcPr>
            <w:tcW w:w="100" w:type="dxa"/>
            <w:vAlign w:val="bottom"/>
          </w:tcPr>
          <w:p>
            <w:pPr>
              <w:spacing w:after="0"/>
              <w:rPr>
                <w:sz w:val="10"/>
                <w:szCs w:val="10"/>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0" w:type="dxa"/>
            <w:vAlign w:val="bottom"/>
          </w:tcPr>
          <w:p>
            <w:pPr>
              <w:spacing w:after="0"/>
              <w:rPr>
                <w:sz w:val="1"/>
                <w:szCs w:val="1"/>
                <w:color w:val="auto"/>
              </w:rPr>
            </w:pPr>
          </w:p>
        </w:tc>
      </w:tr>
      <w:tr>
        <w:trPr>
          <w:trHeight w:val="208"/>
        </w:trPr>
        <w:tc>
          <w:tcPr>
            <w:tcW w:w="62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Pre-opening</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12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160" w:type="dxa"/>
            <w:vAlign w:val="bottom"/>
          </w:tcPr>
          <w:p>
            <w:pPr>
              <w:spacing w:after="0"/>
              <w:rPr>
                <w:sz w:val="11"/>
                <w:szCs w:val="11"/>
                <w:color w:val="auto"/>
              </w:rPr>
            </w:pPr>
          </w:p>
        </w:tc>
        <w:tc>
          <w:tcPr>
            <w:tcW w:w="820" w:type="dxa"/>
            <w:vAlign w:val="bottom"/>
          </w:tcPr>
          <w:p>
            <w:pPr>
              <w:jc w:val="right"/>
              <w:ind w:right="128"/>
              <w:spacing w:after="0" w:line="134"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charges and</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expenses and</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48"/>
              <w:spacing w:after="0" w:line="135"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and license fees</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69"/>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Macau Operations:</w:t>
            </w: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Wynn Palace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(150,477)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(77,647)</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Wynn Macau</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(34,457)</w:t>
            </w:r>
          </w:p>
        </w:tc>
        <w:tc>
          <w:tcPr>
            <w:tcW w:w="0" w:type="dxa"/>
            <w:vAlign w:val="bottom"/>
          </w:tcPr>
          <w:p>
            <w:pPr>
              <w:spacing w:after="0"/>
              <w:rPr>
                <w:sz w:val="1"/>
                <w:szCs w:val="1"/>
                <w:color w:val="auto"/>
              </w:rPr>
            </w:pPr>
          </w:p>
        </w:tc>
      </w:tr>
      <w:tr>
        <w:trPr>
          <w:trHeight w:val="189"/>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Macau</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(216,030)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90,780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4,500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5,635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(112,104)</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Las Vegas Operations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20,258</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Encore Boston Harbor</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25,986</w:t>
            </w:r>
          </w:p>
        </w:tc>
        <w:tc>
          <w:tcPr>
            <w:tcW w:w="0" w:type="dxa"/>
            <w:vAlign w:val="bottom"/>
          </w:tcPr>
          <w:p>
            <w:pPr>
              <w:spacing w:after="0"/>
              <w:rPr>
                <w:sz w:val="1"/>
                <w:szCs w:val="1"/>
                <w:color w:val="auto"/>
              </w:rPr>
            </w:pPr>
          </w:p>
        </w:tc>
      </w:tr>
      <w:tr>
        <w:trPr>
          <w:trHeight w:val="189"/>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(19,035)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(283,007)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877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183,486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9,905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12,826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10,053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(65,860)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Pre-opening</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12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140" w:type="dxa"/>
            <w:vAlign w:val="bottom"/>
          </w:tcPr>
          <w:p>
            <w:pPr>
              <w:spacing w:after="0"/>
              <w:rPr>
                <w:sz w:val="11"/>
                <w:szCs w:val="11"/>
                <w:color w:val="auto"/>
              </w:rPr>
            </w:pPr>
          </w:p>
        </w:tc>
        <w:tc>
          <w:tcPr>
            <w:tcW w:w="820" w:type="dxa"/>
            <w:vAlign w:val="bottom"/>
          </w:tcPr>
          <w:p>
            <w:pPr>
              <w:jc w:val="right"/>
              <w:ind w:right="128"/>
              <w:spacing w:after="0" w:line="134"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charges and</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expenses and</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28"/>
              <w:spacing w:after="0" w:line="135"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license fees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69"/>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Macau Operations:</w:t>
            </w: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Wynn Palace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69,148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162,167</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Wynn Macau</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138,989</w:t>
            </w:r>
          </w:p>
        </w:tc>
        <w:tc>
          <w:tcPr>
            <w:tcW w:w="0" w:type="dxa"/>
            <w:vAlign w:val="bottom"/>
          </w:tcPr>
          <w:p>
            <w:pPr>
              <w:spacing w:after="0"/>
              <w:rPr>
                <w:sz w:val="1"/>
                <w:szCs w:val="1"/>
                <w:color w:val="auto"/>
              </w:rPr>
            </w:pPr>
          </w:p>
        </w:tc>
      </w:tr>
      <w:tr>
        <w:trPr>
          <w:trHeight w:val="189"/>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Macau</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156,098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525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90,256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39,376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6,754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3,742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301,156</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Las Vegas Operations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88,046</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Encore Boston Harbor</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7,744</w:t>
            </w:r>
          </w:p>
        </w:tc>
        <w:tc>
          <w:tcPr>
            <w:tcW w:w="0" w:type="dxa"/>
            <w:vAlign w:val="bottom"/>
          </w:tcPr>
          <w:p>
            <w:pPr>
              <w:spacing w:after="0"/>
              <w:rPr>
                <w:sz w:val="1"/>
                <w:szCs w:val="1"/>
                <w:color w:val="auto"/>
              </w:rPr>
            </w:pPr>
          </w:p>
        </w:tc>
      </w:tr>
      <w:tr>
        <w:trPr>
          <w:trHeight w:val="189"/>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45,826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1,008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(66,886)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12,088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177,835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1,616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172,998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8,216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26,005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10,276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396,946</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TO ADJUSTED PROPERTY EBITDA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Pre-opening</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12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160" w:type="dxa"/>
            <w:vAlign w:val="bottom"/>
          </w:tcPr>
          <w:p>
            <w:pPr>
              <w:spacing w:after="0"/>
              <w:rPr>
                <w:sz w:val="11"/>
                <w:szCs w:val="11"/>
                <w:color w:val="auto"/>
              </w:rPr>
            </w:pPr>
          </w:p>
        </w:tc>
        <w:tc>
          <w:tcPr>
            <w:tcW w:w="820" w:type="dxa"/>
            <w:vAlign w:val="bottom"/>
          </w:tcPr>
          <w:p>
            <w:pPr>
              <w:jc w:val="right"/>
              <w:ind w:right="128"/>
              <w:spacing w:after="0" w:line="134"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charges and</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expenses and</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48"/>
              <w:spacing w:after="0" w:line="135"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and license fees</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69"/>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Macau Operations:</w:t>
            </w: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Wynn Palace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(427,481)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993</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(178,379)</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Wynn Macau</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(97,895)</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Macau</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(629,660)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993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274,121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26,671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26,588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11,195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13,818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(276,274)</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Las Vegas Operations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(77,383)</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Encore Boston Harbor</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(40,429)</w:t>
            </w:r>
          </w:p>
        </w:tc>
        <w:tc>
          <w:tcPr>
            <w:tcW w:w="0" w:type="dxa"/>
            <w:vAlign w:val="bottom"/>
          </w:tcPr>
          <w:p>
            <w:pPr>
              <w:spacing w:after="0"/>
              <w:rPr>
                <w:sz w:val="1"/>
                <w:szCs w:val="1"/>
                <w:color w:val="auto"/>
              </w:rPr>
            </w:pPr>
          </w:p>
        </w:tc>
      </w:tr>
      <w:tr>
        <w:trPr>
          <w:trHeight w:val="189"/>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38,972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2,377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(66,136)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19,789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(1,053,434)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5,614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541,498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43,701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28,034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40,501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(394,086)</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Corporate and other includes a $30.2 million net gain recorded in relation to a derivative litigation settlement.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Pre-opening</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120" w:type="dxa"/>
            <w:vAlign w:val="bottom"/>
          </w:tcPr>
          <w:p>
            <w:pPr>
              <w:spacing w:after="0"/>
              <w:rPr>
                <w:sz w:val="11"/>
                <w:szCs w:val="11"/>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160" w:type="dxa"/>
            <w:vAlign w:val="bottom"/>
          </w:tcPr>
          <w:p>
            <w:pPr>
              <w:spacing w:after="0"/>
              <w:rPr>
                <w:sz w:val="11"/>
                <w:szCs w:val="11"/>
                <w:color w:val="auto"/>
              </w:rPr>
            </w:pPr>
          </w:p>
        </w:tc>
        <w:tc>
          <w:tcPr>
            <w:tcW w:w="820" w:type="dxa"/>
            <w:vAlign w:val="bottom"/>
          </w:tcPr>
          <w:p>
            <w:pPr>
              <w:jc w:val="right"/>
              <w:ind w:right="128"/>
              <w:spacing w:after="0" w:line="134"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charges and</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expenses and</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48"/>
              <w:spacing w:after="0" w:line="135" w:lineRule="exact"/>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license fees</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0" w:type="dxa"/>
            <w:vAlign w:val="bottom"/>
          </w:tcPr>
          <w:p>
            <w:pPr>
              <w:spacing w:after="0"/>
              <w:rPr>
                <w:sz w:val="1"/>
                <w:szCs w:val="1"/>
                <w:color w:val="auto"/>
              </w:rPr>
            </w:pPr>
          </w:p>
        </w:tc>
      </w:tr>
      <w:tr>
        <w:trPr>
          <w:trHeight w:val="169"/>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Macau Operations:</w:t>
            </w: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Wynn Palace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270,983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73,258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551,918</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Wynn Macau</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338,660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66,847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478,751</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Macau</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597,604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268,618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6,578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128,859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17,031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11,454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1,030,669</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Las Vegas Operations</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116,710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333,747</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Encore Boston Harbor</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(161,443)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7,890</w:t>
            </w:r>
          </w:p>
        </w:tc>
        <w:tc>
          <w:tcPr>
            <w:tcW w:w="0" w:type="dxa"/>
            <w:vAlign w:val="bottom"/>
          </w:tcPr>
          <w:p>
            <w:pPr>
              <w:spacing w:after="0"/>
              <w:rPr>
                <w:sz w:val="1"/>
                <w:szCs w:val="1"/>
                <w:color w:val="auto"/>
              </w:rPr>
            </w:pPr>
          </w:p>
        </w:tc>
      </w:tr>
      <w:tr>
        <w:trPr>
          <w:trHeight w:val="189"/>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98,856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(206,154)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83,784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13,055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651,727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99,212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449,824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17,920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123,849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29,774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1,372,306</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8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(LOSS) ATTRIBUTABLE TO WYNN RESORTS, LIMITED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PROPERTY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7"/>
        </w:trPr>
        <w:tc>
          <w:tcPr>
            <w:tcW w:w="54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195,927</w:t>
            </w:r>
          </w:p>
        </w:tc>
      </w:tr>
      <w:tr>
        <w:trPr>
          <w:trHeight w:val="229"/>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132,921</w:t>
            </w:r>
          </w:p>
        </w:tc>
      </w:tr>
      <w:tr>
        <w:trPr>
          <w:trHeight w:val="230"/>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Pre-opening expenses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99,212</w:t>
            </w:r>
          </w:p>
        </w:tc>
      </w:tr>
      <w:tr>
        <w:trPr>
          <w:trHeight w:val="229"/>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449,824</w:t>
            </w:r>
          </w:p>
        </w:tc>
      </w:tr>
      <w:tr>
        <w:trPr>
          <w:trHeight w:val="229"/>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17,920</w:t>
            </w:r>
          </w:p>
        </w:tc>
      </w:tr>
      <w:tr>
        <w:trPr>
          <w:trHeight w:val="230"/>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123,849</w:t>
            </w:r>
          </w:p>
        </w:tc>
      </w:tr>
      <w:tr>
        <w:trPr>
          <w:trHeight w:val="229"/>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29,774</w:t>
            </w:r>
          </w:p>
        </w:tc>
      </w:tr>
      <w:tr>
        <w:trPr>
          <w:trHeight w:val="230"/>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(19,979)</w:t>
            </w:r>
          </w:p>
        </w:tc>
      </w:tr>
      <w:tr>
        <w:trPr>
          <w:trHeight w:val="229"/>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300,981</w:t>
            </w:r>
          </w:p>
        </w:tc>
      </w:tr>
      <w:tr>
        <w:trPr>
          <w:trHeight w:val="229"/>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w:t>
            </w:r>
          </w:p>
        </w:tc>
      </w:tr>
      <w:tr>
        <w:trPr>
          <w:trHeight w:val="230"/>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w:t>
            </w:r>
          </w:p>
        </w:tc>
      </w:tr>
      <w:tr>
        <w:trPr>
          <w:trHeight w:val="229"/>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r>
      <w:tr>
        <w:trPr>
          <w:trHeight w:val="230"/>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19,421</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Property EBITDA</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396,946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(394,086)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1,372,306</w:t>
            </w:r>
          </w:p>
        </w:tc>
      </w:tr>
      <w:tr>
        <w:trPr>
          <w:trHeight w:val="21"/>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87" w:right="339" w:bottom="1440" w:gutter="0" w:footer="0" w:header="0"/>
        </w:sectPr>
      </w:pPr>
    </w:p>
    <w:bookmarkStart w:id="13" w:name="page14"/>
    <w:bookmarkEnd w:id="13"/>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rPr>
                <w:sz w:val="16"/>
                <w:szCs w:val="16"/>
                <w:color w:val="auto"/>
              </w:rPr>
            </w:pPr>
          </w:p>
        </w:tc>
        <w:tc>
          <w:tcPr>
            <w:tcW w:w="29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32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Wynn Palace Supplemental Information</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497,657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208,449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1,649,377</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213"/>
        </w:trPr>
        <w:tc>
          <w:tcPr>
            <w:tcW w:w="3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26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44,884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26,647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131,382</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30,256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24,385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87,691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0" w:type="dxa"/>
            <w:vAlign w:val="bottom"/>
          </w:tcPr>
          <w:p>
            <w:pPr>
              <w:spacing w:after="0"/>
              <w:rPr>
                <w:sz w:val="1"/>
                <w:szCs w:val="1"/>
                <w:color w:val="auto"/>
              </w:rPr>
            </w:pPr>
          </w:p>
        </w:tc>
      </w:tr>
      <w:tr>
        <w:trPr>
          <w:trHeight w:val="213"/>
        </w:trPr>
        <w:tc>
          <w:tcPr>
            <w:tcW w:w="3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 xml:space="preserve">Entertainment, retail and other </w:t>
            </w:r>
            <w:r>
              <w:rPr>
                <w:rFonts w:ascii="Times New Roman" w:cs="Times New Roman" w:eastAsia="Times New Roman" w:hAnsi="Times New Roman"/>
                <w:sz w:val="14"/>
                <w:szCs w:val="14"/>
                <w:color w:val="auto"/>
              </w:rPr>
              <w:t>(7)</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(7,962)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25,374</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24,451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85,259</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0" w:type="dxa"/>
            <w:vAlign w:val="bottom"/>
          </w:tcPr>
          <w:p>
            <w:pPr>
              <w:spacing w:after="0"/>
              <w:rPr>
                <w:sz w:val="1"/>
                <w:szCs w:val="1"/>
                <w:color w:val="auto"/>
              </w:rPr>
            </w:pPr>
          </w:p>
        </w:tc>
      </w:tr>
      <w:tr>
        <w:trPr>
          <w:trHeight w:val="212"/>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15,701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598,171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283,932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1,953,709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(85.5)</w:t>
            </w:r>
          </w:p>
        </w:tc>
        <w:tc>
          <w:tcPr>
            <w:tcW w:w="0" w:type="dxa"/>
            <w:vAlign w:val="bottom"/>
          </w:tcPr>
          <w:p>
            <w:pPr>
              <w:spacing w:after="0"/>
              <w:rPr>
                <w:sz w:val="1"/>
                <w:szCs w:val="1"/>
                <w:color w:val="auto"/>
              </w:rPr>
            </w:pPr>
          </w:p>
        </w:tc>
      </w:tr>
      <w:tr>
        <w:trPr>
          <w:trHeight w:val="256"/>
        </w:trPr>
        <w:tc>
          <w:tcPr>
            <w:tcW w:w="3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 </w:t>
            </w:r>
            <w:r>
              <w:rPr>
                <w:rFonts w:ascii="Times New Roman" w:cs="Times New Roman" w:eastAsia="Times New Roman" w:hAnsi="Times New Roman"/>
                <w:sz w:val="14"/>
                <w:szCs w:val="14"/>
                <w:b w:val="1"/>
                <w:bCs w:val="1"/>
                <w:color w:val="auto"/>
              </w:rPr>
              <w:t>(6)</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(77,647)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162,167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(178,379)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551,918</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(132.3)</w:t>
            </w: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VIP:</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3"/>
        </w:trPr>
        <w:tc>
          <w:tcPr>
            <w:tcW w:w="32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VIP turnover</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311,676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10,517,685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6,823,955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36,533,594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VIP table games win </w:t>
            </w:r>
            <w:r>
              <w:rPr>
                <w:rFonts w:ascii="Times New Roman" w:cs="Times New Roman" w:eastAsia="Times New Roman" w:hAnsi="Times New Roman"/>
                <w:sz w:val="14"/>
                <w:szCs w:val="14"/>
                <w:color w:val="auto"/>
              </w:rPr>
              <w:t>(1)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335,277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113,007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1,232,870</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0" w:type="dxa"/>
            <w:vAlign w:val="bottom"/>
          </w:tcPr>
          <w:p>
            <w:pPr>
              <w:spacing w:after="0"/>
              <w:rPr>
                <w:sz w:val="1"/>
                <w:szCs w:val="1"/>
                <w:color w:val="auto"/>
              </w:rPr>
            </w:pPr>
          </w:p>
        </w:tc>
      </w:tr>
      <w:tr>
        <w:trPr>
          <w:trHeight w:val="213"/>
        </w:trPr>
        <w:tc>
          <w:tcPr>
            <w:tcW w:w="32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VIP table games win as a % of turnover</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33,595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40,868</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0" w:type="dxa"/>
            <w:vAlign w:val="bottom"/>
          </w:tcPr>
          <w:p>
            <w:pPr>
              <w:spacing w:after="0"/>
              <w:rPr>
                <w:sz w:val="1"/>
                <w:szCs w:val="1"/>
                <w:color w:val="auto"/>
              </w:rPr>
            </w:pPr>
          </w:p>
        </w:tc>
      </w:tr>
      <w:tr>
        <w:trPr>
          <w:trHeight w:val="213"/>
        </w:trPr>
        <w:tc>
          <w:tcPr>
            <w:tcW w:w="3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Mass market:</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32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86,347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1,298,827</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583,599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3,869,904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19,015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324,177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156,897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936,497</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0" w:type="dxa"/>
            <w:vAlign w:val="bottom"/>
          </w:tcPr>
          <w:p>
            <w:pPr>
              <w:spacing w:after="0"/>
              <w:rPr>
                <w:sz w:val="1"/>
                <w:szCs w:val="1"/>
                <w:color w:val="auto"/>
              </w:rPr>
            </w:pPr>
          </w:p>
        </w:tc>
      </w:tr>
      <w:tr>
        <w:trPr>
          <w:trHeight w:val="213"/>
        </w:trPr>
        <w:tc>
          <w:tcPr>
            <w:tcW w:w="32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Table games win %</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24.2 %</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16,346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16,071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13"/>
        </w:trPr>
        <w:tc>
          <w:tcPr>
            <w:tcW w:w="32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26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1,092</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Slot machine handle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78,580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973,676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542,708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2,886,566</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213"/>
        </w:trPr>
        <w:tc>
          <w:tcPr>
            <w:tcW w:w="32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3,995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47,289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24,796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142,257</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477</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13"/>
        </w:trPr>
        <w:tc>
          <w:tcPr>
            <w:tcW w:w="3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Room statistics: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Occupancy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Note: Our casino operations in Macau were closed for a 15-day period in February 2020 and resumed operations on a reduced basis on February 20, 2020. Our casinos’ operations have since been fully restored; however, certain COVID-19 specific protective measures, such as traveler quarantines and requirements for negative COVID-19 tests before entering Macau, limiting the number of seats per table game, slot machine spacing, temperature checks, mask protection, COVID-19 negative test results requirements for entry to gaming areas, and health declarations remain in effect at the present time. We are currently unable to determine when these measures will be lifted.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87" w:right="339" w:bottom="1440" w:gutter="0" w:footer="0" w:header="0"/>
        </w:sectPr>
      </w:pPr>
    </w:p>
    <w:bookmarkStart w:id="14" w:name="page15"/>
    <w:bookmarkEnd w:id="14"/>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3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Wynn Macau Supplemental Information</w:t>
            </w: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27,154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408,820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213,758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1,340,266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0" w:type="dxa"/>
            <w:vAlign w:val="bottom"/>
          </w:tcPr>
          <w:p>
            <w:pPr>
              <w:spacing w:after="0"/>
              <w:rPr>
                <w:sz w:val="1"/>
                <w:szCs w:val="1"/>
                <w:color w:val="auto"/>
              </w:rPr>
            </w:pPr>
          </w:p>
        </w:tc>
      </w:tr>
      <w:tr>
        <w:trPr>
          <w:trHeight w:val="213"/>
        </w:trPr>
        <w:tc>
          <w:tcPr>
            <w:tcW w:w="3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260" w:type="dxa"/>
            <w:vAlign w:val="bottom"/>
          </w:tcPr>
          <w:p>
            <w:pPr>
              <w:spacing w:after="0"/>
              <w:rPr>
                <w:sz w:val="18"/>
                <w:szCs w:val="18"/>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26,740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23,480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82,071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19,584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18,821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60,688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 xml:space="preserve">Entertainment, retail and other </w:t>
            </w:r>
            <w:r>
              <w:rPr>
                <w:rFonts w:ascii="Times New Roman" w:cs="Times New Roman" w:eastAsia="Times New Roman" w:hAnsi="Times New Roman"/>
                <w:sz w:val="14"/>
                <w:szCs w:val="14"/>
                <w:color w:val="auto"/>
              </w:rPr>
              <w:t>(7)</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13,670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19,137</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36,686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61,621</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51,368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474,281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292,745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1,544,646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(81.0)</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 </w:t>
            </w:r>
            <w:r>
              <w:rPr>
                <w:rFonts w:ascii="Times New Roman" w:cs="Times New Roman" w:eastAsia="Times New Roman" w:hAnsi="Times New Roman"/>
                <w:sz w:val="14"/>
                <w:szCs w:val="14"/>
                <w:b w:val="1"/>
                <w:bCs w:val="1"/>
                <w:color w:val="auto"/>
              </w:rPr>
              <w:t>(6)</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(34,457)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138,989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(97,895)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478,751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(120.4)</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VIP:</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3"/>
        </w:trPr>
        <w:tc>
          <w:tcPr>
            <w:tcW w:w="3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VIP turnover</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498,519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8,024,990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4,069,809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27,494,650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VIP table games win </w:t>
            </w:r>
            <w:r>
              <w:rPr>
                <w:rFonts w:ascii="Times New Roman" w:cs="Times New Roman" w:eastAsia="Times New Roman" w:hAnsi="Times New Roman"/>
                <w:sz w:val="14"/>
                <w:szCs w:val="14"/>
                <w:color w:val="auto"/>
              </w:rPr>
              <w:t>(1)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19,679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221,097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130,143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822,204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0" w:type="dxa"/>
            <w:vAlign w:val="bottom"/>
          </w:tcPr>
          <w:p>
            <w:pPr>
              <w:spacing w:after="0"/>
              <w:rPr>
                <w:sz w:val="1"/>
                <w:szCs w:val="1"/>
                <w:color w:val="auto"/>
              </w:rPr>
            </w:pPr>
          </w:p>
        </w:tc>
      </w:tr>
      <w:tr>
        <w:trPr>
          <w:trHeight w:val="213"/>
        </w:trPr>
        <w:tc>
          <w:tcPr>
            <w:tcW w:w="3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VIP table games win as a % of turnover</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23,036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27,634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213"/>
        </w:trPr>
        <w:tc>
          <w:tcPr>
            <w:tcW w:w="3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Mass market:</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32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133,006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1,319,405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752,058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4,018,533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24,898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272,511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146,231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816,180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213"/>
        </w:trPr>
        <w:tc>
          <w:tcPr>
            <w:tcW w:w="3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Table games win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14,440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14,551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0" w:type="dxa"/>
            <w:vAlign w:val="bottom"/>
          </w:tcPr>
          <w:p>
            <w:pPr>
              <w:spacing w:after="0"/>
              <w:rPr>
                <w:sz w:val="1"/>
                <w:szCs w:val="1"/>
                <w:color w:val="auto"/>
              </w:rPr>
            </w:pPr>
          </w:p>
        </w:tc>
      </w:tr>
      <w:tr>
        <w:trPr>
          <w:trHeight w:val="213"/>
        </w:trPr>
        <w:tc>
          <w:tcPr>
            <w:tcW w:w="3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260" w:type="dxa"/>
            <w:vAlign w:val="bottom"/>
          </w:tcPr>
          <w:p>
            <w:pPr>
              <w:spacing w:after="0"/>
              <w:rPr>
                <w:sz w:val="18"/>
                <w:szCs w:val="18"/>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Slot machine handle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87,988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999,985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516,537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2,720,137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0" w:type="dxa"/>
            <w:vAlign w:val="bottom"/>
          </w:tcPr>
          <w:p>
            <w:pPr>
              <w:spacing w:after="0"/>
              <w:rPr>
                <w:sz w:val="1"/>
                <w:szCs w:val="1"/>
                <w:color w:val="auto"/>
              </w:rPr>
            </w:pPr>
          </w:p>
        </w:tc>
      </w:tr>
      <w:tr>
        <w:trPr>
          <w:trHeight w:val="213"/>
        </w:trPr>
        <w:tc>
          <w:tcPr>
            <w:tcW w:w="32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3,072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46,981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18,993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127,690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13"/>
        </w:trPr>
        <w:tc>
          <w:tcPr>
            <w:tcW w:w="3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Poker rake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4,703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2,083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15,130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Room statistics: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Occupancy</w:t>
            </w:r>
          </w:p>
        </w:tc>
        <w:tc>
          <w:tcPr>
            <w:tcW w:w="260" w:type="dxa"/>
            <w:vAlign w:val="bottom"/>
          </w:tcPr>
          <w:p>
            <w:pPr>
              <w:spacing w:after="0"/>
              <w:rPr>
                <w:sz w:val="18"/>
                <w:szCs w:val="18"/>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0"/>
        </w:trPr>
        <w:tc>
          <w:tcPr>
            <w:tcW w:w="32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Note: Our casino operations in Macau were closed for a 15-day period in February 2020 and resumed operations on a reduced basis on February 20, 2020. Our casinos’ operations have since been fully restored; however, certain COVID-19 specific protective measures, such as traveler quarantines and requirements for negative COVID-19 tests before entering Macau, limiting the number of seats per table game, slot machine spacing, temperature checks, mask protection, COVID-19 negative test results requirements for entry to gaming areas, and health declarations remain in effect at the present time. We are currently unable to determine when these measures will be lifted.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87" w:right="339" w:bottom="1440" w:gutter="0" w:footer="0" w:header="0"/>
        </w:sectPr>
      </w:pPr>
    </w:p>
    <w:bookmarkStart w:id="15" w:name="page16"/>
    <w:bookmarkEnd w:id="15"/>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8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35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5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Las Vegas Operations Supplemental</w:t>
            </w:r>
          </w:p>
        </w:tc>
        <w:tc>
          <w:tcPr>
            <w:tcW w:w="2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87,002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161,354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318,439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3"/>
        </w:trPr>
        <w:tc>
          <w:tcPr>
            <w:tcW w:w="3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44,961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116,072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163,419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362,715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55,043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149,708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177,114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438,525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20,999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46,724</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73,520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145,002</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186,697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399,506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575,407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1,264,681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 xml:space="preserve">Adjusted Property EBITDA </w:t>
            </w:r>
            <w:r>
              <w:rPr>
                <w:rFonts w:ascii="Times New Roman" w:cs="Times New Roman" w:eastAsia="Times New Roman" w:hAnsi="Times New Roman"/>
                <w:sz w:val="14"/>
                <w:szCs w:val="14"/>
                <w:b w:val="1"/>
                <w:bCs w:val="1"/>
                <w:color w:val="auto"/>
              </w:rPr>
              <w:t>(6)</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88,046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(77,383)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333,747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324,939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430,837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830,745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1,275,676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3"/>
        </w:trPr>
        <w:tc>
          <w:tcPr>
            <w:tcW w:w="35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65,611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85,738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166,196</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323,503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3,927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4,982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1,793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35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Slot machine handle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739,291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883,931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1,650,517</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2,484,880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58,176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112,464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167,848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13"/>
        </w:trPr>
        <w:tc>
          <w:tcPr>
            <w:tcW w:w="35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Poker rake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2,977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9,557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0" w:type="dxa"/>
            <w:vAlign w:val="bottom"/>
          </w:tcPr>
          <w:p>
            <w:pPr>
              <w:spacing w:after="0"/>
              <w:rPr>
                <w:sz w:val="1"/>
                <w:szCs w:val="1"/>
                <w:color w:val="auto"/>
              </w:rPr>
            </w:pPr>
          </w:p>
        </w:tc>
      </w:tr>
      <w:tr>
        <w:trPr>
          <w:trHeight w:val="213"/>
        </w:trPr>
        <w:tc>
          <w:tcPr>
            <w:tcW w:w="3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Room statistics: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Occupancy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Note: Wynn Las Vegas ceased all operations and closed to the public on March 17, 2020 and reopened on June 4, 2020 with certain COVID-19 specific protective measures in place, such as limiting the number of seats per table game, slot machine spacing, temperature checks, mask protection, and suspension of certain entertainment and nightlife offerings. We are currently unable to determine when these measures will be lifted.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87" w:right="339" w:bottom="1440" w:gutter="0" w:footer="0" w:header="0"/>
        </w:sectPr>
      </w:pPr>
    </w:p>
    <w:bookmarkStart w:id="16" w:name="page17"/>
    <w:bookmarkEnd w:id="16"/>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8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35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Encore Boston Harbor Supplemental Information</w:t>
            </w:r>
          </w:p>
        </w:tc>
        <w:tc>
          <w:tcPr>
            <w:tcW w:w="2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(8)</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114,885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198,513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127,886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13"/>
        </w:trPr>
        <w:tc>
          <w:tcPr>
            <w:tcW w:w="3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6,739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18,180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17,694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19,785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28,960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29,687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32,845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4,143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13,779</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11,888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14,088</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116,686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175,804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257,782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194,604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 xml:space="preserve">Adjusted Property EBITDA </w:t>
            </w:r>
            <w:r>
              <w:rPr>
                <w:rFonts w:ascii="Times New Roman" w:cs="Times New Roman" w:eastAsia="Times New Roman" w:hAnsi="Times New Roman"/>
                <w:sz w:val="14"/>
                <w:szCs w:val="14"/>
                <w:b w:val="1"/>
                <w:bCs w:val="1"/>
                <w:color w:val="auto"/>
              </w:rPr>
              <w:t>(6)</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25,986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7,744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(40,429)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7,890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(612.4)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217,797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379,626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493,428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416,202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3"/>
        </w:trPr>
        <w:tc>
          <w:tcPr>
            <w:tcW w:w="35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47,528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74,882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104,814</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81,482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3,079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5,631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3,839</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5,639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35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Slot machine handle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813,435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892,706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1,581,174</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990,634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62,381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122,906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70,880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13"/>
        </w:trPr>
        <w:tc>
          <w:tcPr>
            <w:tcW w:w="35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Poker rake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5,984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6,664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3"/>
        </w:trPr>
        <w:tc>
          <w:tcPr>
            <w:tcW w:w="3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 statistics: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Occupancy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Note: Encore Boston Harbor ceased all operations and closed to the public on March 15, 2020, for the remainder of the first and second quarters of 2020. On July 10, 2020, Encore Boston Harbor reopened with certain COVID-19 specific protective measures in place, such as limiting the number of seats per table game, slot machine spacing, temperature checks, and mask protection. We are currently unable to determine when these measures will be lifted. In addition, certain food and beverage outlets remain closed, and hotel reservations were limited to Thursday through Sunday through the third quarter of 2020. Accordingly, Encore Boston Harbor's room statistics have been computed based on 47 and 121 days of operation for the three and nine months ended September 30, 2020, respectively.</w:t>
      </w:r>
    </w:p>
    <w:p>
      <w:pPr>
        <w:spacing w:after="0" w:line="202" w:lineRule="exact"/>
        <w:rPr>
          <w:sz w:val="20"/>
          <w:szCs w:val="20"/>
          <w:color w:val="auto"/>
        </w:rPr>
      </w:pPr>
    </w:p>
    <w:p>
      <w:pPr>
        <w:ind w:left="260" w:right="20" w:hanging="252"/>
        <w:spacing w:after="0" w:line="253" w:lineRule="auto"/>
        <w:tabs>
          <w:tab w:leader="none" w:pos="22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games win is shown before discounts, commissions and the allocation of casino revenues to rooms, food and beverage and other revenues for services provided to casino customers on a complimentary basis.</w:t>
      </w:r>
    </w:p>
    <w:p>
      <w:pPr>
        <w:ind w:left="260" w:hanging="252"/>
        <w:spacing w:after="0" w:line="241" w:lineRule="auto"/>
        <w:tabs>
          <w:tab w:leader="none" w:pos="22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Slot machine win is calculated as gross slot machine win minus progressive accruals and free play.</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ADR is average daily rate and is calculated by dividing total room revenues including complimentaries (less service charges, if any) by total rooms occupied.</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REVPAR is revenue per available room and is calculated by dividing total room revenues including complimentaries (less service charges, if any) by total rooms available.</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accompanying reconciliations of Operating Income (Loss) to Adjusted Property EBITDA and Net Income (Loss) Attributable to Wynn Resorts, Limited to Adjusted Property</w:t>
      </w:r>
    </w:p>
    <w:p>
      <w:pPr>
        <w:spacing w:after="0" w:line="1"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2020, reflects the impact of rent concessions provided to tenants.</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Encore Boston Harbor opened on June 23, 2019.</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88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SOURCE: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Vincent Zahn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investorrelations@wynnresorts.com</w:t>
      </w:r>
    </w:p>
    <w:p>
      <w:pPr>
        <w:spacing w:after="0" w:line="200" w:lineRule="exact"/>
        <w:rPr>
          <w:sz w:val="20"/>
          <w:szCs w:val="20"/>
          <w:color w:val="auto"/>
        </w:rPr>
      </w:pPr>
    </w:p>
    <w:p>
      <w:pPr>
        <w:spacing w:after="0" w:line="34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0139"/>
      </w:cols>
      <w:pgMar w:left="320" w:top="1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2020-11-05T16:26:43Z</dcterms:created>
  <dcterms:modified xsi:type="dcterms:W3CDTF">2020-11-05T16:26:43Z</dcterms:modified>
</cp:coreProperties>
</file>