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May 7, 2013, Wynn Resorts, Limited (the “Company”) held its 2013 Annual Meeting (the “Annual Meeting”) of Stockholders. The Company’s stockholders elected each of the director nominees named in the Company’s proxy statement and approved the other proposal presented. The proposals voted upon at the Annual Meeting and the final results of the stockholder vote on each proposal were as follows: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elect the following Class II directors, each to serve until the 2016 Annual Meeting of Stockholders and until his or her successor is elected and qualified, or until such director’s earlier death, resignation or removal:</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26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rPr>
              <w:t>Votes For</w:t>
            </w: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Votes Withheld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Ray R.</w:t>
            </w:r>
          </w:p>
        </w:tc>
        <w:tc>
          <w:tcPr>
            <w:tcW w:w="3400" w:type="dxa"/>
            <w:vAlign w:val="bottom"/>
          </w:tcPr>
          <w:p>
            <w:pPr>
              <w:ind w:left="40"/>
              <w:spacing w:after="0" w:line="188" w:lineRule="exact"/>
              <w:rPr>
                <w:sz w:val="20"/>
                <w:szCs w:val="20"/>
                <w:color w:val="auto"/>
              </w:rPr>
            </w:pPr>
            <w:r>
              <w:rPr>
                <w:rFonts w:ascii="Arial" w:cs="Arial" w:eastAsia="Arial" w:hAnsi="Arial"/>
                <w:sz w:val="18"/>
                <w:szCs w:val="18"/>
                <w:color w:val="auto"/>
              </w:rPr>
              <w:t>Irani</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62,907,464</w:t>
            </w:r>
          </w:p>
        </w:tc>
        <w:tc>
          <w:tcPr>
            <w:tcW w:w="14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19,524,169</w:t>
            </w:r>
          </w:p>
        </w:tc>
        <w:tc>
          <w:tcPr>
            <w:tcW w:w="140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7,269,819</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w w:val="90"/>
              </w:rPr>
              <w:t>65,833,156</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16,598,477</w:t>
            </w:r>
          </w:p>
        </w:tc>
        <w:tc>
          <w:tcPr>
            <w:tcW w:w="1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7,269,819</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w w:val="90"/>
              </w:rPr>
              <w:t>65,840,209</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16,591,424</w:t>
            </w:r>
          </w:p>
        </w:tc>
        <w:tc>
          <w:tcPr>
            <w:tcW w:w="1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7,269,819</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w w:val="90"/>
              </w:rPr>
              <w:t>80,079,751</w:t>
            </w:r>
          </w:p>
        </w:tc>
        <w:tc>
          <w:tcPr>
            <w:tcW w:w="880" w:type="dxa"/>
            <w:vAlign w:val="bottom"/>
          </w:tcPr>
          <w:p>
            <w:pPr>
              <w:jc w:val="right"/>
              <w:spacing w:after="0"/>
              <w:rPr>
                <w:sz w:val="20"/>
                <w:szCs w:val="20"/>
                <w:color w:val="auto"/>
              </w:rPr>
            </w:pPr>
            <w:r>
              <w:rPr>
                <w:rFonts w:ascii="Arial" w:cs="Arial" w:eastAsia="Arial" w:hAnsi="Arial"/>
                <w:sz w:val="18"/>
                <w:szCs w:val="18"/>
                <w:color w:val="auto"/>
              </w:rPr>
              <w:t>2,351,882</w:t>
            </w:r>
          </w:p>
        </w:tc>
        <w:tc>
          <w:tcPr>
            <w:tcW w:w="1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7,269,819</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Class I directors remain in office with their term expiring in 2015: Elaine P. Wynn, J. Edward Virtue, John J. Hagenbuch.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 remains in office with his term expiring in 2014: Robert J. Miller.</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ratify the Audit Committee’s appointment of Ernst &amp; Young LLP as the independent public accountants for the Company and all of its subsidiaries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Votes Against</w:t>
            </w:r>
          </w:p>
        </w:tc>
        <w:tc>
          <w:tcPr>
            <w:tcW w:w="1580" w:type="dxa"/>
            <w:vAlign w:val="bottom"/>
          </w:tcPr>
          <w:p>
            <w:pPr>
              <w:spacing w:after="0"/>
              <w:rPr>
                <w:sz w:val="15"/>
                <w:szCs w:val="15"/>
                <w:color w:val="auto"/>
              </w:rPr>
            </w:pPr>
          </w:p>
        </w:tc>
        <w:tc>
          <w:tcPr>
            <w:tcW w:w="2140" w:type="dxa"/>
            <w:vAlign w:val="bottom"/>
            <w:gridSpan w:val="2"/>
          </w:tcPr>
          <w:p>
            <w:pPr>
              <w:ind w:left="40"/>
              <w:spacing w:after="0"/>
              <w:rPr>
                <w:sz w:val="20"/>
                <w:szCs w:val="20"/>
                <w:color w:val="auto"/>
              </w:rPr>
            </w:pPr>
            <w:r>
              <w:rPr>
                <w:rFonts w:ascii="Arial" w:cs="Arial" w:eastAsia="Arial" w:hAnsi="Arial"/>
                <w:sz w:val="14"/>
                <w:szCs w:val="14"/>
                <w:b w:val="1"/>
                <w:bCs w:val="1"/>
                <w:color w:val="auto"/>
              </w:rPr>
              <w:t>Abstain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2"/>
              </w:rPr>
              <w:t>88,566,068</w:t>
            </w:r>
          </w:p>
        </w:tc>
        <w:tc>
          <w:tcPr>
            <w:tcW w:w="33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1,050,215</w:t>
            </w: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85,169</w:t>
            </w:r>
          </w:p>
        </w:tc>
        <w:tc>
          <w:tcPr>
            <w:tcW w:w="16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356"/>
        </w:trPr>
        <w:tc>
          <w:tcPr>
            <w:tcW w:w="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ind w:right="1372"/>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6"/>
          <w:szCs w:val="16"/>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Financial Officer and Treasurer</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2019-12-07T04:11:32Z</dcterms:created>
  <dcterms:modified xsi:type="dcterms:W3CDTF">2019-12-07T04:11:32Z</dcterms:modified>
</cp:coreProperties>
</file>