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0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August 12, 2021, Austerlitz Acquisition Corporation I, a Cayman Islands exempted company (“Austerlitz I”), filed an amendment to its preliminary proxy statement/registration statement on Form S-4 with the Securities and Exchange Commission (“SEC”), originally filed on June 24, 2021, related to the previously announced business combination between Austerlitz I and Wynn Interactive Ltd., an exempted company limited by shares incorporated in Bermuda and indirect, majority owned subsidiary of Wynn Resorts, Limited. The amended and original preliminary proxy statements/registration statements on Form S-4 are available on Austerlitz I’s SEC’s EDGAR page at www.sec.gov/edgar.</w:t>
      </w:r>
    </w:p>
    <w:p>
      <w:pPr>
        <w:spacing w:after="0" w:line="1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information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1561465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August 13,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2021-08-13T15:19:07Z</dcterms:created>
  <dcterms:modified xsi:type="dcterms:W3CDTF">2021-08-13T15:19:07Z</dcterms:modified>
</cp:coreProperties>
</file>