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 January 11, 2007</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p>
      <w:pPr>
        <w:ind w:left="1080"/>
        <w:spacing w:after="0"/>
        <w:tabs>
          <w:tab w:leader="none" w:pos="3660" w:val="left"/>
          <w:tab w:leader="none" w:pos="6320" w:val="left"/>
        </w:tabs>
        <w:rPr>
          <w:sz w:val="20"/>
          <w:szCs w:val="20"/>
          <w:color w:val="auto"/>
        </w:rPr>
      </w:pPr>
      <w:r>
        <w:rPr>
          <w:rFonts w:ascii="Arial" w:cs="Arial" w:eastAsia="Arial" w:hAnsi="Arial"/>
          <w:sz w:val="18"/>
          <w:szCs w:val="18"/>
          <w:b w:val="1"/>
          <w:bCs w:val="1"/>
          <w:color w:val="auto"/>
        </w:rPr>
        <w:t>Nevada</w:t>
      </w:r>
      <w:r>
        <w:rPr>
          <w:sz w:val="20"/>
          <w:szCs w:val="20"/>
          <w:color w:val="auto"/>
        </w:rPr>
        <w:tab/>
      </w:r>
      <w:r>
        <w:rPr>
          <w:rFonts w:ascii="Arial" w:cs="Arial" w:eastAsia="Arial" w:hAnsi="Arial"/>
          <w:sz w:val="18"/>
          <w:szCs w:val="18"/>
          <w:b w:val="1"/>
          <w:bCs w:val="1"/>
          <w:color w:val="auto"/>
        </w:rPr>
        <w:t>000-50028</w:t>
      </w:r>
      <w:r>
        <w:rPr>
          <w:sz w:val="20"/>
          <w:szCs w:val="20"/>
          <w:color w:val="auto"/>
        </w:rPr>
        <w:tab/>
      </w:r>
      <w:r>
        <w:rPr>
          <w:rFonts w:ascii="Arial" w:cs="Arial" w:eastAsia="Arial" w:hAnsi="Arial"/>
          <w:sz w:val="15"/>
          <w:szCs w:val="15"/>
          <w:b w:val="1"/>
          <w:bCs w:val="1"/>
          <w:color w:val="auto"/>
        </w:rPr>
        <w:t>46-0484987</w:t>
      </w:r>
    </w:p>
    <w:p>
      <w:pPr>
        <w:spacing w:after="0" w:line="21" w:lineRule="exact"/>
        <w:rPr>
          <w:sz w:val="24"/>
          <w:szCs w:val="24"/>
          <w:color w:val="auto"/>
        </w:rPr>
      </w:pPr>
    </w:p>
    <w:p>
      <w:pPr>
        <w:ind w:left="340"/>
        <w:spacing w:after="0"/>
        <w:tabs>
          <w:tab w:leader="none" w:pos="3060" w:val="left"/>
          <w:tab w:leader="none" w:pos="564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9" w:lineRule="exact"/>
        <w:rPr>
          <w:sz w:val="24"/>
          <w:szCs w:val="24"/>
          <w:color w:val="auto"/>
        </w:rPr>
      </w:pPr>
    </w:p>
    <w:p>
      <w:pPr>
        <w:ind w:left="860"/>
        <w:spacing w:after="0"/>
        <w:tabs>
          <w:tab w:leader="none" w:pos="6580"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213"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ind w:left="2020"/>
        <w:spacing w:after="0"/>
        <w:tabs>
          <w:tab w:leader="none" w:pos="6540" w:val="left"/>
        </w:tabs>
        <w:rPr>
          <w:sz w:val="20"/>
          <w:szCs w:val="20"/>
          <w:color w:val="auto"/>
        </w:rPr>
      </w:pPr>
      <w:r>
        <w:rPr>
          <w:rFonts w:ascii="Arial" w:cs="Arial" w:eastAsia="Arial" w:hAnsi="Arial"/>
          <w:sz w:val="18"/>
          <w:szCs w:val="18"/>
          <w:b w:val="1"/>
          <w:bCs w:val="1"/>
          <w:color w:val="auto"/>
        </w:rPr>
        <w:t>Las Vegas, Nevada</w:t>
      </w:r>
      <w:r>
        <w:rPr>
          <w:sz w:val="20"/>
          <w:szCs w:val="20"/>
          <w:color w:val="auto"/>
        </w:rPr>
        <w:tab/>
      </w:r>
      <w:r>
        <w:rPr>
          <w:rFonts w:ascii="Arial" w:cs="Arial" w:eastAsia="Arial" w:hAnsi="Arial"/>
          <w:sz w:val="15"/>
          <w:szCs w:val="15"/>
          <w:b w:val="1"/>
          <w:bCs w:val="1"/>
          <w:color w:val="auto"/>
        </w:rPr>
        <w:t>89109</w:t>
      </w:r>
    </w:p>
    <w:p>
      <w:pPr>
        <w:spacing w:after="0" w:line="9" w:lineRule="exact"/>
        <w:rPr>
          <w:sz w:val="24"/>
          <w:szCs w:val="24"/>
          <w:color w:val="auto"/>
        </w:rPr>
      </w:pPr>
    </w:p>
    <w:p>
      <w:pPr>
        <w:ind w:left="100"/>
        <w:spacing w:after="0"/>
        <w:tabs>
          <w:tab w:leader="none" w:pos="6360" w:val="left"/>
        </w:tabs>
        <w:rPr>
          <w:sz w:val="20"/>
          <w:szCs w:val="20"/>
          <w:color w:val="auto"/>
        </w:rPr>
      </w:pPr>
      <w:r>
        <w:rPr>
          <w:rFonts w:ascii="Arial" w:cs="Arial" w:eastAsia="Arial" w:hAnsi="Arial"/>
          <w:sz w:val="18"/>
          <w:szCs w:val="18"/>
          <w:color w:val="auto"/>
        </w:rPr>
        <w:t>(Address of principal executive offices of each registrant)</w:t>
      </w:r>
      <w:r>
        <w:rPr>
          <w:sz w:val="20"/>
          <w:szCs w:val="20"/>
          <w:color w:val="auto"/>
        </w:rPr>
        <w:tab/>
      </w:r>
      <w:r>
        <w:rPr>
          <w:rFonts w:ascii="Arial" w:cs="Arial" w:eastAsia="Arial" w:hAnsi="Arial"/>
          <w:sz w:val="16"/>
          <w:szCs w:val="16"/>
          <w:color w:val="auto"/>
        </w:rPr>
        <w:t>(Zip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23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55" w:lineRule="exact"/>
        <w:rPr>
          <w:sz w:val="24"/>
          <w:szCs w:val="24"/>
          <w:color w:val="auto"/>
        </w:rPr>
      </w:pPr>
    </w:p>
    <w:p>
      <w:pPr>
        <w:ind w:left="820" w:hanging="812"/>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 pursuant to Rule 425 under the Securities Act (17 CFR 230.425)</w:t>
      </w:r>
    </w:p>
    <w:p>
      <w:pPr>
        <w:spacing w:after="0" w:line="206" w:lineRule="exact"/>
        <w:rPr>
          <w:rFonts w:ascii="Arial" w:cs="Arial" w:eastAsia="Arial" w:hAnsi="Arial"/>
          <w:sz w:val="22"/>
          <w:szCs w:val="22"/>
          <w:color w:val="auto"/>
        </w:rPr>
      </w:pPr>
    </w:p>
    <w:p>
      <w:pPr>
        <w:ind w:left="820" w:hanging="812"/>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6" w:lineRule="exact"/>
        <w:rPr>
          <w:rFonts w:ascii="Arial" w:cs="Arial" w:eastAsia="Arial" w:hAnsi="Arial"/>
          <w:sz w:val="22"/>
          <w:szCs w:val="22"/>
          <w:color w:val="auto"/>
        </w:rPr>
      </w:pPr>
    </w:p>
    <w:p>
      <w:pPr>
        <w:ind w:left="820" w:right="2539" w:hanging="812"/>
        <w:spacing w:after="0" w:line="228" w:lineRule="auto"/>
        <w:tabs>
          <w:tab w:leader="none" w:pos="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22"/>
          <w:szCs w:val="22"/>
          <w:color w:val="auto"/>
        </w:rPr>
      </w:pPr>
    </w:p>
    <w:p>
      <w:pPr>
        <w:ind w:left="820" w:right="2499" w:hanging="812"/>
        <w:spacing w:after="0" w:line="228" w:lineRule="auto"/>
        <w:tabs>
          <w:tab w:leader="none" w:pos="82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497840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31" w:lineRule="exact"/>
        <w:rPr>
          <w:sz w:val="24"/>
          <w:szCs w:val="24"/>
          <w:color w:val="auto"/>
        </w:rPr>
      </w:pPr>
    </w:p>
    <w:p>
      <w:pPr>
        <w:ind w:right="2219" w:firstLine="648"/>
        <w:spacing w:after="0" w:line="298" w:lineRule="auto"/>
        <w:rPr>
          <w:sz w:val="20"/>
          <w:szCs w:val="20"/>
          <w:color w:val="auto"/>
        </w:rPr>
      </w:pPr>
      <w:r>
        <w:rPr>
          <w:rFonts w:ascii="Arial" w:cs="Arial" w:eastAsia="Arial" w:hAnsi="Arial"/>
          <w:sz w:val="16"/>
          <w:szCs w:val="16"/>
          <w:color w:val="auto"/>
        </w:rPr>
        <w:t>Wynn Resorts, Limited announced today that its wholly owned subsidiary, Wynn Resorts (Macau), S.A., will open the previously announced expansion of Wynn Macau in one phase in the third quarter of 2007, rather than in stages throughout the year. This change is a result of continued planning for the Diamond Suites tower at Wynn Macau that was announced in November 2006 and the integration of this new tower with Wynn Macau.</w:t>
      </w:r>
    </w:p>
    <w:p>
      <w:pPr>
        <w:spacing w:after="0" w:line="167" w:lineRule="exact"/>
        <w:rPr>
          <w:sz w:val="24"/>
          <w:szCs w:val="24"/>
          <w:color w:val="auto"/>
        </w:rPr>
      </w:pPr>
    </w:p>
    <w:p>
      <w:pPr>
        <w:ind w:right="2119" w:firstLine="648"/>
        <w:spacing w:after="0" w:line="253" w:lineRule="auto"/>
        <w:rPr>
          <w:sz w:val="20"/>
          <w:szCs w:val="20"/>
          <w:color w:val="auto"/>
        </w:rPr>
      </w:pPr>
      <w:r>
        <w:rPr>
          <w:rFonts w:ascii="Arial" w:cs="Arial" w:eastAsia="Arial" w:hAnsi="Arial"/>
          <w:sz w:val="18"/>
          <w:szCs w:val="18"/>
          <w:color w:val="auto"/>
        </w:rPr>
        <w:t>The expansion, including approximately 135,000 square feet of additional gaming space, is expected to open simultaneously with the new front feature and additional food, beverage and retail amenities, in the third quarter of 2007. While the table games and slot machines originally slated for opening in February will now open in July, we will open a total of approximately 40 additional table games and 266 additional slot machines for Chinese New Year, resulting in a total of 264 table games and 632 slot machines at Wynn Macau. After completion of the expansion in July, Wynn Macau is expected to have a total of approximately 420 table games and 1,280 slot machines.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628650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3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350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0219"/>
          </w:cols>
          <w:pgMar w:left="240" w:top="233" w:right="1440" w:bottom="136" w:gutter="0" w:footer="0" w:header="0"/>
          <w:type w:val="continuous"/>
        </w:sectPr>
      </w:pPr>
    </w:p>
    <w:bookmarkStart w:id="1" w:name="page2"/>
    <w:bookmarkEnd w:id="1"/>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Date: January 11, 2007</w:t>
            </w:r>
          </w:p>
        </w:tc>
        <w:tc>
          <w:tcPr>
            <w:tcW w:w="5240" w:type="dxa"/>
            <w:vAlign w:val="bottom"/>
            <w:gridSpan w:val="2"/>
          </w:tcPr>
          <w:p>
            <w:pPr>
              <w:ind w:left="1160"/>
              <w:spacing w:after="0"/>
              <w:rPr>
                <w:sz w:val="20"/>
                <w:szCs w:val="20"/>
                <w:color w:val="auto"/>
              </w:rPr>
            </w:pPr>
            <w:r>
              <w:rPr>
                <w:rFonts w:ascii="Arial" w:cs="Arial" w:eastAsia="Arial" w:hAnsi="Arial"/>
                <w:sz w:val="18"/>
                <w:szCs w:val="18"/>
                <w:color w:val="auto"/>
              </w:rPr>
              <w:t>WYNN RESORTS, LIMITED</w:t>
            </w:r>
          </w:p>
        </w:tc>
      </w:tr>
      <w:tr>
        <w:trPr>
          <w:trHeight w:val="231"/>
        </w:trPr>
        <w:tc>
          <w:tcPr>
            <w:tcW w:w="2780" w:type="dxa"/>
            <w:vAlign w:val="bottom"/>
          </w:tcPr>
          <w:p>
            <w:pPr>
              <w:spacing w:after="0"/>
              <w:rPr>
                <w:sz w:val="20"/>
                <w:szCs w:val="20"/>
                <w:color w:val="auto"/>
              </w:rPr>
            </w:pPr>
          </w:p>
        </w:tc>
        <w:tc>
          <w:tcPr>
            <w:tcW w:w="1840" w:type="dxa"/>
            <w:vAlign w:val="bottom"/>
          </w:tcPr>
          <w:p>
            <w:pPr>
              <w:ind w:left="116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Kim Sinatra</w:t>
            </w:r>
          </w:p>
        </w:tc>
      </w:tr>
      <w:tr>
        <w:trPr>
          <w:trHeight w:val="202"/>
        </w:trPr>
        <w:tc>
          <w:tcPr>
            <w:tcW w:w="2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Kim Sinatra</w:t>
            </w:r>
          </w:p>
        </w:tc>
      </w:tr>
      <w:tr>
        <w:trPr>
          <w:trHeight w:val="222"/>
        </w:trPr>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Senior Vice President &amp; Secretary</w:t>
            </w:r>
          </w:p>
        </w:tc>
      </w:tr>
      <w:tr>
        <w:trPr>
          <w:trHeight w:val="864"/>
        </w:trPr>
        <w:tc>
          <w:tcPr>
            <w:tcW w:w="2780" w:type="dxa"/>
            <w:vAlign w:val="bottom"/>
          </w:tcPr>
          <w:p>
            <w:pPr>
              <w:spacing w:after="0"/>
              <w:rPr>
                <w:sz w:val="24"/>
                <w:szCs w:val="24"/>
                <w:color w:val="auto"/>
              </w:rPr>
            </w:pPr>
          </w:p>
        </w:tc>
        <w:tc>
          <w:tcPr>
            <w:tcW w:w="1840" w:type="dxa"/>
            <w:vAlign w:val="bottom"/>
          </w:tcPr>
          <w:p>
            <w:pPr>
              <w:ind w:left="1140"/>
              <w:spacing w:after="0"/>
              <w:rPr>
                <w:sz w:val="20"/>
                <w:szCs w:val="20"/>
                <w:color w:val="auto"/>
              </w:rPr>
            </w:pPr>
            <w:r>
              <w:rPr>
                <w:rFonts w:ascii="Arial" w:cs="Arial" w:eastAsia="Arial" w:hAnsi="Arial"/>
                <w:sz w:val="18"/>
                <w:szCs w:val="18"/>
                <w:color w:val="auto"/>
              </w:rPr>
              <w:t>3</w:t>
            </w:r>
          </w:p>
        </w:tc>
        <w:tc>
          <w:tcPr>
            <w:tcW w:w="34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2019-12-12T03:18:11Z</dcterms:created>
  <dcterms:modified xsi:type="dcterms:W3CDTF">2019-12-12T03:18:11Z</dcterms:modified>
</cp:coreProperties>
</file>