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253365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13D/A</w:t>
      </w:r>
    </w:p>
    <w:p>
      <w:pPr>
        <w:spacing w:after="0" w:line="26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253365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33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1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983134 10 7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357" w:lineRule="exact"/>
        <w:rPr>
          <w:sz w:val="24"/>
          <w:szCs w:val="24"/>
          <w:color w:val="auto"/>
        </w:rPr>
      </w:pPr>
    </w:p>
    <w:tbl>
      <w:tblPr>
        <w:tblLayout w:type="fixed"/>
        <w:tblInd w:w="1520" w:type="dxa"/>
        <w:tblCellMar>
          <w:top w:w="0" w:type="dxa"/>
          <w:left w:w="0" w:type="dxa"/>
          <w:bottom w:w="0" w:type="dxa"/>
          <w:right w:w="0" w:type="dxa"/>
        </w:tblCellMar>
      </w:tblPr>
      <w:tr>
        <w:trPr>
          <w:trHeight w:val="216"/>
        </w:trPr>
        <w:tc>
          <w:tcPr>
            <w:tcW w:w="45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1"/>
              </w:rPr>
              <w:t>Paul D. Tosetti</w:t>
            </w:r>
          </w:p>
        </w:tc>
        <w:tc>
          <w:tcPr>
            <w:tcW w:w="3440" w:type="dxa"/>
            <w:vAlign w:val="bottom"/>
          </w:tcPr>
          <w:p>
            <w:pPr>
              <w:jc w:val="center"/>
              <w:ind w:left="1690"/>
              <w:spacing w:after="0"/>
              <w:rPr>
                <w:sz w:val="20"/>
                <w:szCs w:val="20"/>
                <w:color w:val="auto"/>
              </w:rPr>
            </w:pPr>
            <w:r>
              <w:rPr>
                <w:rFonts w:ascii="Arial" w:cs="Arial" w:eastAsia="Arial" w:hAnsi="Arial"/>
                <w:sz w:val="18"/>
                <w:szCs w:val="18"/>
                <w:b w:val="1"/>
                <w:bCs w:val="1"/>
                <w:color w:val="auto"/>
                <w:w w:val="92"/>
              </w:rPr>
              <w:t>Donald J. Campbell</w:t>
            </w:r>
          </w:p>
        </w:tc>
      </w:tr>
      <w:tr>
        <w:trPr>
          <w:trHeight w:val="216"/>
        </w:trPr>
        <w:tc>
          <w:tcPr>
            <w:tcW w:w="45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7"/>
              </w:rPr>
              <w:t>Latham &amp; Watkins LLP</w:t>
            </w:r>
          </w:p>
        </w:tc>
        <w:tc>
          <w:tcPr>
            <w:tcW w:w="3440" w:type="dxa"/>
            <w:vAlign w:val="bottom"/>
          </w:tcPr>
          <w:p>
            <w:pPr>
              <w:jc w:val="center"/>
              <w:ind w:left="1690"/>
              <w:spacing w:after="0"/>
              <w:rPr>
                <w:sz w:val="20"/>
                <w:szCs w:val="20"/>
                <w:color w:val="auto"/>
              </w:rPr>
            </w:pPr>
            <w:r>
              <w:rPr>
                <w:rFonts w:ascii="Arial" w:cs="Arial" w:eastAsia="Arial" w:hAnsi="Arial"/>
                <w:sz w:val="18"/>
                <w:szCs w:val="18"/>
                <w:b w:val="1"/>
                <w:bCs w:val="1"/>
                <w:color w:val="auto"/>
                <w:w w:val="93"/>
              </w:rPr>
              <w:t>Campbell &amp; Williams</w:t>
            </w:r>
          </w:p>
        </w:tc>
      </w:tr>
      <w:tr>
        <w:trPr>
          <w:trHeight w:val="216"/>
        </w:trPr>
        <w:tc>
          <w:tcPr>
            <w:tcW w:w="45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0"/>
              </w:rPr>
              <w:t>355 South Grand Avenue, Suite 100</w:t>
            </w:r>
          </w:p>
        </w:tc>
        <w:tc>
          <w:tcPr>
            <w:tcW w:w="3440" w:type="dxa"/>
            <w:vAlign w:val="bottom"/>
          </w:tcPr>
          <w:p>
            <w:pPr>
              <w:jc w:val="center"/>
              <w:ind w:left="1710"/>
              <w:spacing w:after="0"/>
              <w:rPr>
                <w:sz w:val="20"/>
                <w:szCs w:val="20"/>
                <w:color w:val="auto"/>
              </w:rPr>
            </w:pPr>
            <w:r>
              <w:rPr>
                <w:rFonts w:ascii="Arial" w:cs="Arial" w:eastAsia="Arial" w:hAnsi="Arial"/>
                <w:sz w:val="18"/>
                <w:szCs w:val="18"/>
                <w:b w:val="1"/>
                <w:bCs w:val="1"/>
                <w:color w:val="auto"/>
                <w:w w:val="89"/>
              </w:rPr>
              <w:t>700 South 7th Street</w:t>
            </w:r>
          </w:p>
        </w:tc>
      </w:tr>
      <w:tr>
        <w:trPr>
          <w:trHeight w:val="216"/>
        </w:trPr>
        <w:tc>
          <w:tcPr>
            <w:tcW w:w="4520" w:type="dxa"/>
            <w:vAlign w:val="bottom"/>
          </w:tcPr>
          <w:p>
            <w:pPr>
              <w:jc w:val="center"/>
              <w:ind w:right="1690"/>
              <w:spacing w:after="0"/>
              <w:rPr>
                <w:sz w:val="20"/>
                <w:szCs w:val="20"/>
                <w:color w:val="auto"/>
              </w:rPr>
            </w:pPr>
            <w:r>
              <w:rPr>
                <w:rFonts w:ascii="Arial" w:cs="Arial" w:eastAsia="Arial" w:hAnsi="Arial"/>
                <w:sz w:val="18"/>
                <w:szCs w:val="18"/>
                <w:b w:val="1"/>
                <w:bCs w:val="1"/>
                <w:color w:val="auto"/>
                <w:w w:val="89"/>
              </w:rPr>
              <w:t>Los Angeles, CA 90071</w:t>
            </w:r>
          </w:p>
        </w:tc>
        <w:tc>
          <w:tcPr>
            <w:tcW w:w="3440" w:type="dxa"/>
            <w:vAlign w:val="bottom"/>
          </w:tcPr>
          <w:p>
            <w:pPr>
              <w:jc w:val="center"/>
              <w:ind w:left="1690"/>
              <w:spacing w:after="0"/>
              <w:rPr>
                <w:sz w:val="20"/>
                <w:szCs w:val="20"/>
                <w:color w:val="auto"/>
              </w:rPr>
            </w:pPr>
            <w:r>
              <w:rPr>
                <w:rFonts w:ascii="Arial" w:cs="Arial" w:eastAsia="Arial" w:hAnsi="Arial"/>
                <w:sz w:val="18"/>
                <w:szCs w:val="18"/>
                <w:b w:val="1"/>
                <w:bCs w:val="1"/>
                <w:color w:val="auto"/>
                <w:w w:val="90"/>
              </w:rPr>
              <w:t>Las Vegas, NV 89101</w:t>
            </w:r>
          </w:p>
        </w:tc>
      </w:tr>
      <w:tr>
        <w:trPr>
          <w:trHeight w:val="234"/>
        </w:trPr>
        <w:tc>
          <w:tcPr>
            <w:tcW w:w="45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2"/>
              </w:rPr>
              <w:t>(213) 891-8770</w:t>
            </w:r>
          </w:p>
        </w:tc>
        <w:tc>
          <w:tcPr>
            <w:tcW w:w="3440" w:type="dxa"/>
            <w:vAlign w:val="bottom"/>
          </w:tcPr>
          <w:p>
            <w:pPr>
              <w:jc w:val="center"/>
              <w:ind w:left="1690"/>
              <w:spacing w:after="0"/>
              <w:rPr>
                <w:sz w:val="20"/>
                <w:szCs w:val="20"/>
                <w:color w:val="auto"/>
              </w:rPr>
            </w:pPr>
            <w:r>
              <w:rPr>
                <w:rFonts w:ascii="Arial" w:cs="Arial" w:eastAsia="Arial" w:hAnsi="Arial"/>
                <w:sz w:val="18"/>
                <w:szCs w:val="18"/>
                <w:b w:val="1"/>
                <w:bCs w:val="1"/>
                <w:color w:val="auto"/>
                <w:w w:val="92"/>
              </w:rPr>
              <w:t>(702) 382-5222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March 21,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263525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4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ind w:right="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4"/>
          <w:szCs w:val="24"/>
          <w:color w:val="auto"/>
        </w:rPr>
      </w:pPr>
    </w:p>
    <w:p>
      <w:pPr>
        <w:ind w:left="460" w:right="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983134 10 7</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6337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633730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Stephen A. Wynn</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00" w:type="dxa"/>
            <w:vAlign w:val="bottom"/>
            <w:gridSpan w:val="3"/>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spacing w:after="0"/>
              <w:rPr>
                <w:sz w:val="20"/>
                <w:szCs w:val="20"/>
                <w:color w:val="auto"/>
              </w:rPr>
            </w:pPr>
          </w:p>
        </w:tc>
        <w:tc>
          <w:tcPr>
            <w:tcW w:w="9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9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PF</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United States of America</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3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20" w:type="dxa"/>
            <w:vAlign w:val="bottom"/>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restart"/>
          </w:tcPr>
          <w:p>
            <w:pPr>
              <w:jc w:val="center"/>
              <w:ind w:right="163"/>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3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3"/>
                <w:szCs w:val="13"/>
                <w:color w:val="auto"/>
              </w:rPr>
            </w:pPr>
          </w:p>
        </w:tc>
        <w:tc>
          <w:tcPr>
            <w:tcW w:w="9820" w:type="dxa"/>
            <w:vAlign w:val="bottom"/>
          </w:tcPr>
          <w:p>
            <w:pPr>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vMerge w:val="restart"/>
          </w:tcPr>
          <w:p>
            <w:pPr>
              <w:spacing w:after="0"/>
              <w:rPr>
                <w:sz w:val="20"/>
                <w:szCs w:val="20"/>
                <w:color w:val="auto"/>
              </w:rPr>
            </w:pPr>
            <w:r>
              <w:rPr>
                <w:rFonts w:ascii="Arial" w:cs="Arial" w:eastAsia="Arial" w:hAnsi="Arial"/>
                <w:sz w:val="22"/>
                <w:szCs w:val="22"/>
                <w:color w:val="auto"/>
              </w:rPr>
              <w:t>8,026,708</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87"/>
              </w:rPr>
              <w:t>Each</w:t>
            </w:r>
          </w:p>
        </w:tc>
        <w:tc>
          <w:tcPr>
            <w:tcW w:w="38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6"/>
                <w:szCs w:val="6"/>
                <w:color w:val="auto"/>
              </w:rPr>
            </w:pPr>
          </w:p>
        </w:tc>
        <w:tc>
          <w:tcPr>
            <w:tcW w:w="98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right w:val="single" w:sz="8" w:color="auto"/>
            </w:tcBorders>
            <w:gridSpan w:val="3"/>
            <w:vMerge w:val="continue"/>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Borders>
              <w:right w:val="single" w:sz="8" w:color="auto"/>
            </w:tcBorders>
            <w:gridSpan w:val="2"/>
          </w:tcPr>
          <w:p>
            <w:pPr>
              <w:jc w:val="center"/>
              <w:ind w:right="163"/>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vMerge w:val="restart"/>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right w:val="single" w:sz="8" w:color="auto"/>
            </w:tcBorders>
          </w:tcPr>
          <w:p>
            <w:pPr>
              <w:jc w:val="center"/>
              <w:ind w:right="223"/>
              <w:spacing w:after="0" w:line="203" w:lineRule="exact"/>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8,026,708</w:t>
            </w:r>
          </w:p>
        </w:tc>
        <w:tc>
          <w:tcPr>
            <w:tcW w:w="0" w:type="dxa"/>
            <w:vAlign w:val="bottom"/>
          </w:tcPr>
          <w:p>
            <w:pPr>
              <w:spacing w:after="0"/>
              <w:rPr>
                <w:sz w:val="1"/>
                <w:szCs w:val="1"/>
                <w:color w:val="auto"/>
              </w:rPr>
            </w:pPr>
          </w:p>
        </w:tc>
      </w:tr>
      <w:tr>
        <w:trPr>
          <w:trHeight w:val="226"/>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6"/>
              </w:rPr>
              <w:t>8,026,708</w:t>
            </w: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7.8%</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983134 10 7</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6337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633730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Wynn Family Limited Partnership</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00" w:type="dxa"/>
            <w:vAlign w:val="bottom"/>
            <w:gridSpan w:val="3"/>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spacing w:after="0"/>
              <w:rPr>
                <w:sz w:val="20"/>
                <w:szCs w:val="20"/>
                <w:color w:val="auto"/>
              </w:rPr>
            </w:pPr>
          </w:p>
        </w:tc>
        <w:tc>
          <w:tcPr>
            <w:tcW w:w="9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9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3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20" w:type="dxa"/>
            <w:vAlign w:val="bottom"/>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restart"/>
          </w:tcPr>
          <w:p>
            <w:pPr>
              <w:jc w:val="center"/>
              <w:ind w:right="163"/>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3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3"/>
                <w:szCs w:val="13"/>
                <w:color w:val="auto"/>
              </w:rPr>
            </w:pPr>
          </w:p>
        </w:tc>
        <w:tc>
          <w:tcPr>
            <w:tcW w:w="9820" w:type="dxa"/>
            <w:vAlign w:val="bottom"/>
          </w:tcPr>
          <w:p>
            <w:pPr>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vMerge w:val="restart"/>
          </w:tcPr>
          <w:p>
            <w:pPr>
              <w:spacing w:after="0"/>
              <w:rPr>
                <w:sz w:val="20"/>
                <w:szCs w:val="20"/>
                <w:color w:val="auto"/>
              </w:rPr>
            </w:pPr>
            <w:r>
              <w:rPr>
                <w:rFonts w:ascii="Arial" w:cs="Arial" w:eastAsia="Arial" w:hAnsi="Arial"/>
                <w:sz w:val="22"/>
                <w:szCs w:val="22"/>
                <w:color w:val="auto"/>
              </w:rPr>
              <w:t>8,026,708</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87"/>
              </w:rPr>
              <w:t>Each</w:t>
            </w:r>
          </w:p>
        </w:tc>
        <w:tc>
          <w:tcPr>
            <w:tcW w:w="38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6"/>
                <w:szCs w:val="6"/>
                <w:color w:val="auto"/>
              </w:rPr>
            </w:pPr>
          </w:p>
        </w:tc>
        <w:tc>
          <w:tcPr>
            <w:tcW w:w="98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right w:val="single" w:sz="8" w:color="auto"/>
            </w:tcBorders>
            <w:gridSpan w:val="3"/>
            <w:vMerge w:val="continue"/>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Borders>
              <w:right w:val="single" w:sz="8" w:color="auto"/>
            </w:tcBorders>
            <w:gridSpan w:val="2"/>
          </w:tcPr>
          <w:p>
            <w:pPr>
              <w:jc w:val="center"/>
              <w:ind w:right="163"/>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vMerge w:val="restart"/>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right w:val="single" w:sz="8" w:color="auto"/>
            </w:tcBorders>
          </w:tcPr>
          <w:p>
            <w:pPr>
              <w:jc w:val="center"/>
              <w:ind w:right="223"/>
              <w:spacing w:after="0" w:line="203" w:lineRule="exact"/>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8,026,708</w:t>
            </w:r>
          </w:p>
        </w:tc>
        <w:tc>
          <w:tcPr>
            <w:tcW w:w="0" w:type="dxa"/>
            <w:vAlign w:val="bottom"/>
          </w:tcPr>
          <w:p>
            <w:pPr>
              <w:spacing w:after="0"/>
              <w:rPr>
                <w:sz w:val="1"/>
                <w:szCs w:val="1"/>
                <w:color w:val="auto"/>
              </w:rPr>
            </w:pPr>
          </w:p>
        </w:tc>
      </w:tr>
      <w:tr>
        <w:trPr>
          <w:trHeight w:val="226"/>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6"/>
              </w:rPr>
              <w:t>8,026,708</w:t>
            </w: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7.8%</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3" w:name="page4"/>
    <w:bookmarkEnd w:id="3"/>
    <w:p>
      <w:pPr>
        <w:jc w:val="both"/>
        <w:ind w:right="4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18 hereby amends and supplements the Schedule 13D filed with the Securities and Exchange Commission (the “Commission”) on November 13, 2002, as amended to date (the “Schedule 13D”), relating to the common stock, par value $0.01 (the “Common Stock”) of Wynn Resorts, Limited (the “Company”). Capitalized terms used but not defined herein shall have the respective meanings set forth in the Schedule 13D.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hereby supplemented with the following information:</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March 21, 2018, Wynn Family Limited Partnership (“WFLP”) sold an aggregate of 4,104,999 shares of Common Stock at a price of $180.00 per share in open market transactions pursuant to Rule 144 under the Securities Act of 1933 (“Rule 144”).</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previously disclosed, Mr. Wynn intends to sell all or a portion of the Common Stock controlled by him pursuant to one or more registered public offerings, in the open market in transactions pursuant to Rule 144 or in privately negotiated transactions. If he elects to sell any such Common Stock, he will seek to conduct such sales in an orderly fashion and in cooperation with the Company. No assurance can be provided that Mr. Wynn will elect to sell Common Stock, or the timing or terms of any such sale.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Any actions the Reporting Persons might undertake may be made at any time and from time to time without prior notice and will be dependent upon</w:t>
      </w:r>
    </w:p>
    <w:p>
      <w:pPr>
        <w:spacing w:after="0" w:line="3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Mr. Wynn’s review of numerous factors, including, but not limited to: an ongoing evaluation of the Company’s business, financial condition, operations and prospects; price levels of the Common Stock; general market, industry and economic conditions; regulatory considerations; the relative attractiveness of alternative business and investment opportunities; and other future developments.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response set forth in Item 5 of the Schedule 13D is hereby amended and restated in its entirety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 (b)</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following sets forth, as of the date of this Schedule 13D, the aggregate number of shares of Common Stock and percentage of Common Stock beneficially owned by each of the Reporting Persons, as well as the number of shares of Common Stock as to which each Reporting Person has the sole power to vote or to direct the vote, shared power to vote or to direct the vote, sole power to dispose or to direct the disposition, or shared power to dispose or to direct the disposition of, as of the date hereof, based on 103,017,861 shares of Common Stock outstanding as of February 15, 2018, as reported in the Company’s annual report on Form 10-K for the year ended December 31, 2017, as filed with the Commission on February 28, 2018.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7"/>
              </w:rPr>
              <w:t>Sole</w:t>
            </w: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Shared</w:t>
            </w: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Shared</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power to</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 to</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power to</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power to</w:t>
            </w: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dispose or</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dispose or</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5"/>
              </w:rPr>
              <w:t>Percent</w:t>
            </w: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vote or to</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vote or to</w:t>
            </w: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to direct</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 direct</w:t>
            </w:r>
          </w:p>
        </w:tc>
        <w:tc>
          <w:tcPr>
            <w:tcW w:w="0" w:type="dxa"/>
            <w:vAlign w:val="bottom"/>
          </w:tcPr>
          <w:p>
            <w:pPr>
              <w:spacing w:after="0"/>
              <w:rPr>
                <w:sz w:val="1"/>
                <w:szCs w:val="1"/>
                <w:color w:val="auto"/>
              </w:rPr>
            </w:pPr>
          </w:p>
        </w:tc>
      </w:tr>
      <w:tr>
        <w:trPr>
          <w:trHeight w:val="149"/>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Reporting Person</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960" w:type="dxa"/>
            <w:vAlign w:val="bottom"/>
            <w:gridSpan w:val="2"/>
            <w:vMerge w:val="continue"/>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direct the</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direct the</w:t>
            </w: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the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the</w:t>
            </w:r>
          </w:p>
        </w:tc>
        <w:tc>
          <w:tcPr>
            <w:tcW w:w="0" w:type="dxa"/>
            <w:vAlign w:val="bottom"/>
          </w:tcPr>
          <w:p>
            <w:pPr>
              <w:spacing w:after="0"/>
              <w:rPr>
                <w:sz w:val="1"/>
                <w:szCs w:val="1"/>
                <w:color w:val="auto"/>
              </w:rPr>
            </w:pPr>
          </w:p>
        </w:tc>
      </w:tr>
      <w:tr>
        <w:trPr>
          <w:trHeight w:val="171"/>
        </w:trPr>
        <w:tc>
          <w:tcPr>
            <w:tcW w:w="5380" w:type="dxa"/>
            <w:vAlign w:val="bottom"/>
            <w:gridSpan w:val="2"/>
            <w:vMerge w:val="continue"/>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owned</w:t>
            </w: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4"/>
              </w:rPr>
              <w:t>of class</w:t>
            </w: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vote</w:t>
            </w: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vote</w:t>
            </w: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disposition</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disposition</w:t>
            </w: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Stephen A. Wynn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8,026,708</w:t>
            </w:r>
          </w:p>
        </w:tc>
        <w:tc>
          <w:tcPr>
            <w:tcW w:w="36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8,026,708</w:t>
            </w:r>
          </w:p>
        </w:tc>
        <w:tc>
          <w:tcPr>
            <w:tcW w:w="36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vMerge w:val="continue"/>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8,026,708</w:t>
            </w: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i w:val="1"/>
                <w:iCs w:val="1"/>
                <w:color w:val="auto"/>
              </w:rPr>
              <w:t>WFLP</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8,026,708</w:t>
            </w:r>
          </w:p>
        </w:tc>
        <w:tc>
          <w:tcPr>
            <w:tcW w:w="36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7.8%</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8,026,708</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8,026,708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WFLP is the record holder of the shares reported herein. Mr. Wynn is trustee of the Stephen A. Wynn Revocable Trust U/D/T Dated June 24, 2010, which is the sole manager of Wynn GP, LLC, which is the general partner of WFLP.</w:t>
      </w:r>
    </w:p>
    <w:p>
      <w:pPr>
        <w:spacing w:after="0" w:line="170" w:lineRule="exact"/>
        <w:rPr>
          <w:sz w:val="20"/>
          <w:szCs w:val="20"/>
          <w:color w:val="auto"/>
        </w:rPr>
      </w:pPr>
    </w:p>
    <w:p>
      <w:pPr>
        <w:ind w:right="180" w:firstLine="8"/>
        <w:spacing w:after="0" w:line="277"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than as disclosed in Item 4 above, the Reporting Persons have not affected any transactions in the Common Stock since the most recent filing on Schedule 13D.</w:t>
      </w:r>
    </w:p>
    <w:p>
      <w:pPr>
        <w:spacing w:after="0" w:line="170" w:lineRule="exact"/>
        <w:rPr>
          <w:rFonts w:ascii="Arial" w:cs="Arial" w:eastAsia="Arial" w:hAnsi="Arial"/>
          <w:sz w:val="18"/>
          <w:szCs w:val="18"/>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74" w:right="239" w:bottom="1440" w:gutter="0" w:footer="0" w:header="0"/>
        </w:sectPr>
      </w:pPr>
    </w:p>
    <w:bookmarkStart w:id="4" w:name="page5"/>
    <w:bookmarkEnd w:id="4"/>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21,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A. Wynn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WYNN FAMILY LIMITED PARTNERSHIP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Wynn GP, LLC, its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Stephen A. Wynn Revocable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U/D/T/ Dated June 24, 2010, its manager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Stephen A. Wynn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Trustee</w:t>
      </w:r>
    </w:p>
    <w:sectPr>
      <w:pgSz w:w="11900" w:h="16838" w:orient="portrait"/>
      <w:cols w:equalWidth="0" w:num="1">
        <w:col w:w="10920"/>
      </w:cols>
      <w:pgMar w:left="2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2019-12-06T20:20:49Z</dcterms:created>
  <dcterms:modified xsi:type="dcterms:W3CDTF">2019-12-06T20:20:49Z</dcterms:modified>
</cp:coreProperties>
</file>