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2"/>
          <w:szCs w:val="22"/>
          <w:b w:val="1"/>
          <w:bCs w:val="1"/>
          <w:color w:val="auto"/>
        </w:rPr>
        <w:t>UNITED STATES</w:t>
      </w:r>
    </w:p>
    <w:p>
      <w:pPr>
        <w:spacing w:after="0" w:line="1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290" w:lineRule="exact"/>
        <w:rPr>
          <w:sz w:val="24"/>
          <w:szCs w:val="24"/>
          <w:color w:val="auto"/>
        </w:rPr>
      </w:pPr>
    </w:p>
    <w:p>
      <w:pPr>
        <w:ind w:left="4900"/>
        <w:spacing w:after="0"/>
        <w:rPr>
          <w:sz w:val="20"/>
          <w:szCs w:val="20"/>
          <w:color w:val="auto"/>
        </w:rPr>
      </w:pPr>
      <w:r>
        <w:rPr>
          <w:rFonts w:ascii="Arial" w:cs="Arial" w:eastAsia="Arial" w:hAnsi="Arial"/>
          <w:sz w:val="22"/>
          <w:szCs w:val="22"/>
          <w:b w:val="1"/>
          <w:bCs w:val="1"/>
          <w:color w:val="auto"/>
        </w:rPr>
        <w:t>SCHEDULE 13G</w:t>
      </w:r>
    </w:p>
    <w:p>
      <w:pPr>
        <w:spacing w:after="0" w:line="152" w:lineRule="exact"/>
        <w:rPr>
          <w:sz w:val="24"/>
          <w:szCs w:val="24"/>
          <w:color w:val="auto"/>
        </w:rPr>
      </w:pPr>
    </w:p>
    <w:p>
      <w:pPr>
        <w:ind w:left="3740"/>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52"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Amendment No. 7*</w:t>
      </w:r>
    </w:p>
    <w:p>
      <w:pPr>
        <w:spacing w:after="0" w:line="152" w:lineRule="exact"/>
        <w:rPr>
          <w:sz w:val="24"/>
          <w:szCs w:val="24"/>
          <w:color w:val="auto"/>
        </w:rPr>
      </w:pPr>
    </w:p>
    <w:p>
      <w:pPr>
        <w:ind w:left="4640"/>
        <w:spacing w:after="0"/>
        <w:rPr>
          <w:sz w:val="20"/>
          <w:szCs w:val="20"/>
          <w:color w:val="auto"/>
        </w:rPr>
      </w:pPr>
      <w:r>
        <w:rPr>
          <w:rFonts w:ascii="Arial" w:cs="Arial" w:eastAsia="Arial" w:hAnsi="Arial"/>
          <w:sz w:val="22"/>
          <w:szCs w:val="22"/>
          <w:b w:val="1"/>
          <w:bCs w:val="1"/>
          <w:color w:val="auto"/>
        </w:rPr>
        <w:t>Wynn Resorts, Limited</w:t>
      </w:r>
    </w:p>
    <w:p>
      <w:pPr>
        <w:spacing w:after="0" w:line="14" w:lineRule="exact"/>
        <w:rPr>
          <w:sz w:val="24"/>
          <w:szCs w:val="24"/>
          <w:color w:val="auto"/>
        </w:rPr>
      </w:pPr>
    </w:p>
    <w:p>
      <w:pPr>
        <w:ind w:left="4980"/>
        <w:spacing w:after="0"/>
        <w:rPr>
          <w:sz w:val="20"/>
          <w:szCs w:val="20"/>
          <w:color w:val="auto"/>
        </w:rPr>
      </w:pPr>
      <w:r>
        <w:rPr>
          <w:rFonts w:ascii="Arial" w:cs="Arial" w:eastAsia="Arial" w:hAnsi="Arial"/>
          <w:sz w:val="22"/>
          <w:szCs w:val="22"/>
          <w:color w:val="auto"/>
        </w:rPr>
        <w:t>(Name of Issuer)</w:t>
      </w:r>
    </w:p>
    <w:p>
      <w:pPr>
        <w:spacing w:after="0" w:line="128"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14" w:lineRule="exact"/>
        <w:rPr>
          <w:sz w:val="24"/>
          <w:szCs w:val="24"/>
          <w:color w:val="auto"/>
        </w:rPr>
      </w:pPr>
    </w:p>
    <w:p>
      <w:pPr>
        <w:ind w:left="4500"/>
        <w:spacing w:after="0"/>
        <w:rPr>
          <w:sz w:val="20"/>
          <w:szCs w:val="20"/>
          <w:color w:val="auto"/>
        </w:rPr>
      </w:pPr>
      <w:r>
        <w:rPr>
          <w:rFonts w:ascii="Arial" w:cs="Arial" w:eastAsia="Arial" w:hAnsi="Arial"/>
          <w:sz w:val="22"/>
          <w:szCs w:val="22"/>
          <w:color w:val="auto"/>
        </w:rPr>
        <w:t>(Title of Class of Securities)</w:t>
      </w:r>
    </w:p>
    <w:p>
      <w:pPr>
        <w:spacing w:after="0" w:line="128" w:lineRule="exact"/>
        <w:rPr>
          <w:sz w:val="24"/>
          <w:szCs w:val="24"/>
          <w:color w:val="auto"/>
        </w:rPr>
      </w:pPr>
    </w:p>
    <w:p>
      <w:pPr>
        <w:ind w:left="5220"/>
        <w:spacing w:after="0"/>
        <w:rPr>
          <w:sz w:val="20"/>
          <w:szCs w:val="20"/>
          <w:color w:val="auto"/>
        </w:rPr>
      </w:pPr>
      <w:r>
        <w:rPr>
          <w:rFonts w:ascii="Arial" w:cs="Arial" w:eastAsia="Arial" w:hAnsi="Arial"/>
          <w:sz w:val="22"/>
          <w:szCs w:val="22"/>
          <w:b w:val="1"/>
          <w:bCs w:val="1"/>
          <w:color w:val="auto"/>
        </w:rPr>
        <w:t>983134107</w:t>
      </w:r>
    </w:p>
    <w:p>
      <w:pPr>
        <w:spacing w:after="0" w:line="14" w:lineRule="exact"/>
        <w:rPr>
          <w:sz w:val="24"/>
          <w:szCs w:val="24"/>
          <w:color w:val="auto"/>
        </w:rPr>
      </w:pPr>
    </w:p>
    <w:p>
      <w:pPr>
        <w:ind w:left="4960"/>
        <w:spacing w:after="0"/>
        <w:rPr>
          <w:sz w:val="20"/>
          <w:szCs w:val="20"/>
          <w:color w:val="auto"/>
        </w:rPr>
      </w:pPr>
      <w:r>
        <w:rPr>
          <w:rFonts w:ascii="Arial" w:cs="Arial" w:eastAsia="Arial" w:hAnsi="Arial"/>
          <w:sz w:val="22"/>
          <w:szCs w:val="22"/>
          <w:color w:val="auto"/>
        </w:rPr>
        <w:t>(CUSIP Number)</w:t>
      </w:r>
    </w:p>
    <w:p>
      <w:pPr>
        <w:spacing w:after="0" w:line="128" w:lineRule="exact"/>
        <w:rPr>
          <w:sz w:val="24"/>
          <w:szCs w:val="24"/>
          <w:color w:val="auto"/>
        </w:rPr>
      </w:pPr>
    </w:p>
    <w:p>
      <w:pPr>
        <w:ind w:left="4840"/>
        <w:spacing w:after="0"/>
        <w:rPr>
          <w:sz w:val="20"/>
          <w:szCs w:val="20"/>
          <w:color w:val="auto"/>
        </w:rPr>
      </w:pPr>
      <w:r>
        <w:rPr>
          <w:rFonts w:ascii="Arial" w:cs="Arial" w:eastAsia="Arial" w:hAnsi="Arial"/>
          <w:sz w:val="22"/>
          <w:szCs w:val="22"/>
          <w:b w:val="1"/>
          <w:bCs w:val="1"/>
          <w:color w:val="auto"/>
        </w:rPr>
        <w:t>December 31, 2014</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22"/>
          <w:szCs w:val="22"/>
          <w:color w:val="auto"/>
        </w:rPr>
        <w:t>(Date of Event Which Requires Filing of this Statement)</w:t>
      </w:r>
    </w:p>
    <w:p>
      <w:pPr>
        <w:spacing w:after="0" w:line="290"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Check the appropriate box to designate the rule pursuant to which this Schedule is filed:</w:t>
      </w:r>
    </w:p>
    <w:p>
      <w:pPr>
        <w:spacing w:after="0" w:line="152" w:lineRule="exact"/>
        <w:rPr>
          <w:sz w:val="24"/>
          <w:szCs w:val="24"/>
          <w:color w:val="auto"/>
        </w:rPr>
      </w:pPr>
    </w:p>
    <w:p>
      <w:pPr>
        <w:jc w:val="both"/>
        <w:ind w:left="4960" w:right="4840" w:hanging="56"/>
        <w:spacing w:after="0" w:line="301" w:lineRule="auto"/>
        <w:tabs>
          <w:tab w:leader="none" w:pos="5263" w:val="left"/>
        </w:tabs>
        <w:numPr>
          <w:ilvl w:val="1"/>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Rule 13d-1(b) [ ] Rule 13d-1(c) [ ] Rule 13d-1(d)</w:t>
      </w:r>
    </w:p>
    <w:p>
      <w:pPr>
        <w:spacing w:after="0" w:line="75" w:lineRule="exact"/>
        <w:rPr>
          <w:rFonts w:ascii="Arial" w:cs="Arial" w:eastAsia="Arial" w:hAnsi="Arial"/>
          <w:sz w:val="19"/>
          <w:szCs w:val="19"/>
          <w:b w:val="1"/>
          <w:bCs w:val="1"/>
          <w:color w:val="auto"/>
        </w:rPr>
      </w:pPr>
    </w:p>
    <w:p>
      <w:pPr>
        <w:spacing w:after="0"/>
        <w:rPr>
          <w:rFonts w:ascii="Arial" w:cs="Arial" w:eastAsia="Arial" w:hAnsi="Arial"/>
          <w:sz w:val="19"/>
          <w:szCs w:val="19"/>
          <w:b w:val="1"/>
          <w:bCs w:val="1"/>
          <w:color w:val="auto"/>
        </w:rPr>
      </w:pPr>
      <w:r>
        <w:rPr>
          <w:rFonts w:ascii="Arial" w:cs="Arial" w:eastAsia="Arial" w:hAnsi="Arial"/>
          <w:sz w:val="22"/>
          <w:szCs w:val="22"/>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2" w:lineRule="exact"/>
        <w:rPr>
          <w:sz w:val="24"/>
          <w:szCs w:val="24"/>
          <w:color w:val="auto"/>
        </w:rPr>
      </w:pPr>
    </w:p>
    <w:p>
      <w:pPr>
        <w:ind w:right="40"/>
        <w:spacing w:after="0"/>
        <w:rPr>
          <w:sz w:val="20"/>
          <w:szCs w:val="20"/>
          <w:color w:val="auto"/>
        </w:rPr>
      </w:pPr>
      <w:r>
        <w:rPr>
          <w:rFonts w:ascii="Arial" w:cs="Arial" w:eastAsia="Arial" w:hAnsi="Arial"/>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360"/>
          </w:cols>
          <w:pgMar w:left="240" w:top="220"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CUSIP No. 983134107</w:t>
            </w:r>
          </w:p>
        </w:tc>
        <w:tc>
          <w:tcPr>
            <w:tcW w:w="800" w:type="dxa"/>
            <w:vAlign w:val="bottom"/>
          </w:tcPr>
          <w:p>
            <w:pPr>
              <w:ind w:left="42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Ivy Investment Management Company Tax ID No. 03-0481447</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2"/>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560" w:type="dxa"/>
            <w:vAlign w:val="bottom"/>
          </w:tcPr>
          <w:p>
            <w:pPr>
              <w:ind w:left="840"/>
              <w:spacing w:after="0"/>
              <w:rPr>
                <w:sz w:val="20"/>
                <w:szCs w:val="20"/>
                <w:color w:val="auto"/>
              </w:rPr>
            </w:pPr>
            <w:r>
              <w:rPr>
                <w:rFonts w:ascii="Arial" w:cs="Arial" w:eastAsia="Arial" w:hAnsi="Arial"/>
                <w:sz w:val="22"/>
                <w:szCs w:val="22"/>
                <w:color w:val="auto"/>
                <w:w w:val="87"/>
              </w:rPr>
              <w:t>99,662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5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560" w:type="dxa"/>
            <w:vAlign w:val="bottom"/>
          </w:tcPr>
          <w:p>
            <w:pPr>
              <w:ind w:left="840"/>
              <w:spacing w:after="0"/>
              <w:rPr>
                <w:sz w:val="20"/>
                <w:szCs w:val="20"/>
                <w:color w:val="auto"/>
              </w:rPr>
            </w:pPr>
            <w:r>
              <w:rPr>
                <w:rFonts w:ascii="Arial" w:cs="Arial" w:eastAsia="Arial" w:hAnsi="Arial"/>
                <w:sz w:val="22"/>
                <w:szCs w:val="22"/>
                <w:color w:val="auto"/>
                <w:w w:val="87"/>
              </w:rPr>
              <w:t>99,662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5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99,662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0.1</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3"/>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0219"/>
          </w:cols>
          <w:pgMar w:left="240" w:top="26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CUSIP No. 983134107</w:t>
            </w:r>
          </w:p>
        </w:tc>
        <w:tc>
          <w:tcPr>
            <w:tcW w:w="800" w:type="dxa"/>
            <w:vAlign w:val="bottom"/>
          </w:tcPr>
          <w:p>
            <w:pPr>
              <w:ind w:left="42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89" w:lineRule="auto"/>
        <w:tabs>
          <w:tab w:leader="none" w:pos="460" w:val="left"/>
        </w:tabs>
        <w:numPr>
          <w:ilvl w:val="0"/>
          <w:numId w:val="4"/>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NAME OF REPORTING PERSON </w:t>
      </w:r>
      <w:r>
        <w:rPr>
          <w:rFonts w:ascii="Arial" w:cs="Arial" w:eastAsia="Arial" w:hAnsi="Arial"/>
          <w:sz w:val="19"/>
          <w:szCs w:val="19"/>
          <w:color w:val="auto"/>
        </w:rPr>
        <w:t>(S.S. or I.R.S. Identification No. of Above Person)</w:t>
      </w:r>
      <w:r>
        <w:rPr>
          <w:rFonts w:ascii="Arial" w:cs="Arial" w:eastAsia="Arial" w:hAnsi="Arial"/>
          <w:sz w:val="19"/>
          <w:szCs w:val="19"/>
          <w:b w:val="1"/>
          <w:bCs w:val="1"/>
          <w:color w:val="auto"/>
        </w:rPr>
        <w:t xml:space="preserve"> </w:t>
      </w:r>
      <w:r>
        <w:rPr>
          <w:rFonts w:ascii="Arial" w:cs="Arial" w:eastAsia="Arial" w:hAnsi="Arial"/>
          <w:sz w:val="19"/>
          <w:szCs w:val="19"/>
          <w:color w:val="auto"/>
        </w:rPr>
        <w:t>Waddell &amp; Reed Investment Management Company Tax ID No. 48-1106973</w:t>
      </w:r>
    </w:p>
    <w:p>
      <w:pPr>
        <w:spacing w:after="0" w:line="1" w:lineRule="exact"/>
        <w:rPr>
          <w:rFonts w:ascii="Arial" w:cs="Arial" w:eastAsia="Arial" w:hAnsi="Arial"/>
          <w:sz w:val="19"/>
          <w:szCs w:val="19"/>
          <w:b w:val="1"/>
          <w:bCs w:val="1"/>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1120" w:hanging="666"/>
        <w:spacing w:after="0"/>
        <w:tabs>
          <w:tab w:leader="none" w:pos="11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1120" w:hanging="666"/>
        <w:spacing w:after="0"/>
        <w:tabs>
          <w:tab w:leader="none" w:pos="1120" w:val="left"/>
        </w:tabs>
        <w:numPr>
          <w:ilvl w:val="1"/>
          <w:numId w:val="4"/>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Kansas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347,230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347,230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347,230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0.3</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5"/>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IA</w:t>
      </w:r>
    </w:p>
    <w:p>
      <w:pPr>
        <w:sectPr>
          <w:pgSz w:w="11900" w:h="16838" w:orient="portrait"/>
          <w:cols w:equalWidth="0" w:num="1">
            <w:col w:w="10219"/>
          </w:cols>
          <w:pgMar w:left="240" w:top="26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CUSIP No. 983134107</w:t>
            </w:r>
          </w:p>
        </w:tc>
        <w:tc>
          <w:tcPr>
            <w:tcW w:w="800" w:type="dxa"/>
            <w:vAlign w:val="bottom"/>
          </w:tcPr>
          <w:p>
            <w:pPr>
              <w:ind w:left="42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Inc. Tax ID No. 43-1235675</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6"/>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6"/>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347,230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347,230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347,230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0.3</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BD</w:t>
      </w:r>
    </w:p>
    <w:p>
      <w:pPr>
        <w:sectPr>
          <w:pgSz w:w="11900" w:h="16838" w:orient="portrait"/>
          <w:cols w:equalWidth="0" w:num="1">
            <w:col w:w="10219"/>
          </w:cols>
          <w:pgMar w:left="240" w:top="26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CUSIP No. 983134107</w:t>
            </w:r>
          </w:p>
        </w:tc>
        <w:tc>
          <w:tcPr>
            <w:tcW w:w="800" w:type="dxa"/>
            <w:vAlign w:val="bottom"/>
          </w:tcPr>
          <w:p>
            <w:pPr>
              <w:ind w:left="42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Services, Inc. Tax ID No. 43-1414157</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8"/>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8"/>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Missouri</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347,230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347,230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347,230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0.3</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9"/>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0219"/>
          </w:cols>
          <w:pgMar w:left="240" w:top="26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CUSIP No. 983134107</w:t>
            </w:r>
          </w:p>
        </w:tc>
        <w:tc>
          <w:tcPr>
            <w:tcW w:w="800" w:type="dxa"/>
            <w:vAlign w:val="bottom"/>
          </w:tcPr>
          <w:p>
            <w:pPr>
              <w:ind w:left="420"/>
              <w:spacing w:after="0"/>
              <w:rPr>
                <w:sz w:val="20"/>
                <w:szCs w:val="20"/>
                <w:color w:val="auto"/>
              </w:rPr>
            </w:pPr>
            <w:r>
              <w:rPr>
                <w:rFonts w:ascii="Arial" w:cs="Arial" w:eastAsia="Arial" w:hAnsi="Arial"/>
                <w:sz w:val="22"/>
                <w:szCs w:val="22"/>
                <w:color w:val="auto"/>
                <w:w w:val="86"/>
              </w:rPr>
              <w:t>13G</w:t>
            </w:r>
          </w:p>
        </w:tc>
      </w:tr>
    </w:tbl>
    <w:p>
      <w:pPr>
        <w:spacing w:after="0" w:line="16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460" w:right="2039" w:hanging="452"/>
        <w:spacing w:after="0" w:line="422" w:lineRule="auto"/>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NAME OF REPORTING PERSON </w:t>
      </w:r>
      <w:r>
        <w:rPr>
          <w:rFonts w:ascii="Arial" w:cs="Arial" w:eastAsia="Arial" w:hAnsi="Arial"/>
          <w:sz w:val="22"/>
          <w:szCs w:val="22"/>
          <w:color w:val="auto"/>
        </w:rPr>
        <w:t>(S.S. or I.R.S. Identification No. of Above Person)</w:t>
      </w:r>
      <w:r>
        <w:rPr>
          <w:rFonts w:ascii="Arial" w:cs="Arial" w:eastAsia="Arial" w:hAnsi="Arial"/>
          <w:sz w:val="22"/>
          <w:szCs w:val="22"/>
          <w:b w:val="1"/>
          <w:bCs w:val="1"/>
          <w:color w:val="auto"/>
        </w:rPr>
        <w:t xml:space="preserve"> </w:t>
      </w:r>
      <w:r>
        <w:rPr>
          <w:rFonts w:ascii="Arial" w:cs="Arial" w:eastAsia="Arial" w:hAnsi="Arial"/>
          <w:sz w:val="22"/>
          <w:szCs w:val="22"/>
          <w:color w:val="auto"/>
        </w:rPr>
        <w:t>Waddell &amp; Reed Financial, Inc. Tax ID No. 51-0261715</w:t>
      </w:r>
    </w:p>
    <w:p>
      <w:pPr>
        <w:spacing w:after="0" w:line="1" w:lineRule="exact"/>
        <w:rPr>
          <w:rFonts w:ascii="Arial" w:cs="Arial" w:eastAsia="Arial" w:hAnsi="Arial"/>
          <w:sz w:val="22"/>
          <w:szCs w:val="22"/>
          <w:b w:val="1"/>
          <w:bCs w:val="1"/>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CHECK THE APPROPRIATE BOX IF A MEMBER OF A GROUP</w:t>
      </w:r>
      <w:r>
        <w:rPr>
          <w:rFonts w:ascii="Arial" w:cs="Arial" w:eastAsia="Arial" w:hAnsi="Arial"/>
          <w:sz w:val="22"/>
          <w:szCs w:val="22"/>
          <w:color w:val="auto"/>
        </w:rPr>
        <w:t>:</w:t>
      </w:r>
    </w:p>
    <w:p>
      <w:pPr>
        <w:spacing w:after="0" w:line="198" w:lineRule="exact"/>
        <w:rPr>
          <w:rFonts w:ascii="Arial" w:cs="Arial" w:eastAsia="Arial" w:hAnsi="Arial"/>
          <w:sz w:val="22"/>
          <w:szCs w:val="22"/>
          <w:b w:val="1"/>
          <w:bCs w:val="1"/>
          <w:color w:val="auto"/>
        </w:rPr>
      </w:pPr>
    </w:p>
    <w:p>
      <w:pPr>
        <w:ind w:left="960" w:hanging="506"/>
        <w:spacing w:after="0"/>
        <w:tabs>
          <w:tab w:leader="none" w:pos="96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8" w:lineRule="exact"/>
        <w:rPr>
          <w:rFonts w:ascii="Arial" w:cs="Arial" w:eastAsia="Arial" w:hAnsi="Arial"/>
          <w:sz w:val="22"/>
          <w:szCs w:val="22"/>
          <w:color w:val="auto"/>
        </w:rPr>
      </w:pPr>
    </w:p>
    <w:p>
      <w:pPr>
        <w:ind w:left="980" w:hanging="526"/>
        <w:spacing w:after="0"/>
        <w:tabs>
          <w:tab w:leader="none" w:pos="980" w:val="left"/>
        </w:tabs>
        <w:numPr>
          <w:ilvl w:val="1"/>
          <w:numId w:val="10"/>
        </w:numPr>
        <w:rPr>
          <w:rFonts w:ascii="Arial" w:cs="Arial" w:eastAsia="Arial" w:hAnsi="Arial"/>
          <w:sz w:val="22"/>
          <w:szCs w:val="22"/>
          <w:color w:val="auto"/>
        </w:rPr>
      </w:pPr>
      <w:r>
        <w:rPr>
          <w:rFonts w:ascii="Arial" w:cs="Arial" w:eastAsia="Arial" w:hAnsi="Arial"/>
          <w:sz w:val="22"/>
          <w:szCs w:val="22"/>
          <w:color w:val="auto"/>
        </w:rPr>
        <w:t>[ ]</w:t>
      </w:r>
    </w:p>
    <w:p>
      <w:pPr>
        <w:spacing w:after="0" w:line="168" w:lineRule="exact"/>
        <w:rPr>
          <w:rFonts w:ascii="Arial" w:cs="Arial" w:eastAsia="Arial" w:hAnsi="Arial"/>
          <w:sz w:val="22"/>
          <w:szCs w:val="22"/>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SEC USE ONLY</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10"/>
        </w:numPr>
        <w:rPr>
          <w:rFonts w:ascii="Arial" w:cs="Arial" w:eastAsia="Arial" w:hAnsi="Arial"/>
          <w:sz w:val="22"/>
          <w:szCs w:val="22"/>
          <w:b w:val="1"/>
          <w:bCs w:val="1"/>
          <w:color w:val="auto"/>
        </w:rPr>
      </w:pPr>
      <w:r>
        <w:rPr>
          <w:rFonts w:ascii="Arial" w:cs="Arial" w:eastAsia="Arial" w:hAnsi="Arial"/>
          <w:sz w:val="22"/>
          <w:szCs w:val="22"/>
          <w:b w:val="1"/>
          <w:bCs w:val="1"/>
          <w:color w:val="auto"/>
        </w:rPr>
        <w:t>CITIZENSHIP OR PLACE OF ORGANIZATION</w:t>
      </w:r>
      <w:r>
        <w:rPr>
          <w:rFonts w:ascii="Arial" w:cs="Arial" w:eastAsia="Arial" w:hAnsi="Arial"/>
          <w:sz w:val="22"/>
          <w:szCs w:val="22"/>
          <w:color w:val="auto"/>
        </w:rPr>
        <w:t>: Delaware</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NUMBER OF SHARES BENEFICIALLY OWNED BY EACH REPORTING PERSON WITH</w:t>
      </w:r>
      <w:r>
        <w:rPr>
          <w:rFonts w:ascii="Arial" w:cs="Arial" w:eastAsia="Arial" w:hAnsi="Arial"/>
          <w:sz w:val="21"/>
          <w:szCs w:val="21"/>
          <w:color w:val="auto"/>
        </w:rPr>
        <w:t>:</w:t>
      </w:r>
    </w:p>
    <w:p>
      <w:pPr>
        <w:spacing w:after="0" w:line="204" w:lineRule="exact"/>
        <w:rPr>
          <w:sz w:val="20"/>
          <w:szCs w:val="20"/>
          <w:color w:val="auto"/>
        </w:rPr>
      </w:pPr>
    </w:p>
    <w:tbl>
      <w:tblPr>
        <w:tblLayout w:type="fixed"/>
        <w:tblInd w:w="460" w:type="dxa"/>
        <w:tblCellMar>
          <w:top w:w="0" w:type="dxa"/>
          <w:left w:w="0" w:type="dxa"/>
          <w:bottom w:w="0" w:type="dxa"/>
          <w:right w:w="0" w:type="dxa"/>
        </w:tblCellMar>
      </w:tblPr>
      <w:tr>
        <w:trPr>
          <w:trHeight w:val="281"/>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5.</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446,892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6.</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VOTING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7.</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SOLE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w w:val="87"/>
              </w:rPr>
              <w:t>446,892 (See Item 4)</w:t>
            </w:r>
          </w:p>
        </w:tc>
      </w:tr>
      <w:tr>
        <w:trPr>
          <w:trHeight w:val="459"/>
        </w:trPr>
        <w:tc>
          <w:tcPr>
            <w:tcW w:w="420" w:type="dxa"/>
            <w:vAlign w:val="bottom"/>
          </w:tcPr>
          <w:p>
            <w:pPr>
              <w:jc w:val="right"/>
              <w:ind w:right="152"/>
              <w:spacing w:after="0"/>
              <w:rPr>
                <w:sz w:val="20"/>
                <w:szCs w:val="20"/>
                <w:color w:val="auto"/>
              </w:rPr>
            </w:pPr>
            <w:r>
              <w:rPr>
                <w:rFonts w:ascii="Arial" w:cs="Arial" w:eastAsia="Arial" w:hAnsi="Arial"/>
                <w:sz w:val="22"/>
                <w:szCs w:val="22"/>
                <w:b w:val="1"/>
                <w:bCs w:val="1"/>
                <w:color w:val="auto"/>
                <w:w w:val="76"/>
              </w:rPr>
              <w:t>8.</w:t>
            </w:r>
          </w:p>
        </w:tc>
        <w:tc>
          <w:tcPr>
            <w:tcW w:w="4320" w:type="dxa"/>
            <w:vAlign w:val="bottom"/>
          </w:tcPr>
          <w:p>
            <w:pPr>
              <w:ind w:left="240"/>
              <w:spacing w:after="0"/>
              <w:rPr>
                <w:sz w:val="20"/>
                <w:szCs w:val="20"/>
                <w:color w:val="auto"/>
              </w:rPr>
            </w:pPr>
            <w:r>
              <w:rPr>
                <w:rFonts w:ascii="Arial" w:cs="Arial" w:eastAsia="Arial" w:hAnsi="Arial"/>
                <w:sz w:val="22"/>
                <w:szCs w:val="22"/>
                <w:b w:val="1"/>
                <w:bCs w:val="1"/>
                <w:color w:val="auto"/>
              </w:rPr>
              <w:t>SHARED DISPOSITIVE POWER</w:t>
            </w:r>
          </w:p>
        </w:tc>
        <w:tc>
          <w:tcPr>
            <w:tcW w:w="2660" w:type="dxa"/>
            <w:vAlign w:val="bottom"/>
          </w:tcPr>
          <w:p>
            <w:pPr>
              <w:ind w:left="840"/>
              <w:spacing w:after="0"/>
              <w:rPr>
                <w:sz w:val="20"/>
                <w:szCs w:val="20"/>
                <w:color w:val="auto"/>
              </w:rPr>
            </w:pPr>
            <w:r>
              <w:rPr>
                <w:rFonts w:ascii="Arial" w:cs="Arial" w:eastAsia="Arial" w:hAnsi="Arial"/>
                <w:sz w:val="22"/>
                <w:szCs w:val="22"/>
                <w:color w:val="auto"/>
              </w:rPr>
              <w:t>0</w:t>
            </w:r>
          </w:p>
        </w:tc>
      </w:tr>
    </w:tbl>
    <w:p>
      <w:pPr>
        <w:spacing w:after="0" w:line="165" w:lineRule="exact"/>
        <w:rPr>
          <w:sz w:val="20"/>
          <w:szCs w:val="20"/>
          <w:color w:val="auto"/>
        </w:rPr>
      </w:pPr>
    </w:p>
    <w:p>
      <w:pPr>
        <w:ind w:left="460" w:right="1379" w:hanging="452"/>
        <w:spacing w:after="0" w:line="256" w:lineRule="auto"/>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AGGREGATE AMOUNT BENEFICIALLY OWNED BY EACH REPORTING PERSON</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446,892 (See Item 4)</w:t>
      </w:r>
    </w:p>
    <w:p>
      <w:pPr>
        <w:spacing w:after="0" w:line="149" w:lineRule="exact"/>
        <w:rPr>
          <w:rFonts w:ascii="Arial" w:cs="Arial" w:eastAsia="Arial" w:hAnsi="Arial"/>
          <w:sz w:val="22"/>
          <w:szCs w:val="22"/>
          <w:b w:val="1"/>
          <w:bCs w:val="1"/>
          <w:color w:val="auto"/>
        </w:rPr>
      </w:pPr>
    </w:p>
    <w:p>
      <w:pPr>
        <w:ind w:left="460" w:right="1419" w:hanging="452"/>
        <w:spacing w:after="0" w:line="256" w:lineRule="auto"/>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CHECK IF THE AGGREGATE AMOUNT IN ROW 9 EXCLUDES CERTAIN SHARES</w:t>
      </w:r>
      <w:r>
        <w:rPr>
          <w:rFonts w:ascii="Arial" w:cs="Arial" w:eastAsia="Arial" w:hAnsi="Arial"/>
          <w:sz w:val="22"/>
          <w:szCs w:val="22"/>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 ]</w:t>
      </w:r>
    </w:p>
    <w:p>
      <w:pPr>
        <w:spacing w:after="0" w:line="149" w:lineRule="exact"/>
        <w:rPr>
          <w:rFonts w:ascii="Arial" w:cs="Arial" w:eastAsia="Arial" w:hAnsi="Arial"/>
          <w:sz w:val="22"/>
          <w:szCs w:val="22"/>
          <w:b w:val="1"/>
          <w:bCs w:val="1"/>
          <w:color w:val="auto"/>
        </w:rPr>
      </w:pPr>
    </w:p>
    <w:p>
      <w:pPr>
        <w:ind w:left="460" w:hanging="452"/>
        <w:spacing w:after="0"/>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PERCENT OF CLASS REPRESENTED BY AMOUNT IN ROW 9</w:t>
      </w:r>
      <w:r>
        <w:rPr>
          <w:rFonts w:ascii="Arial" w:cs="Arial" w:eastAsia="Arial" w:hAnsi="Arial"/>
          <w:sz w:val="22"/>
          <w:szCs w:val="22"/>
          <w:color w:val="auto"/>
        </w:rPr>
        <w:t>: 0.4</w:t>
      </w:r>
    </w:p>
    <w:p>
      <w:pPr>
        <w:spacing w:after="0" w:line="192" w:lineRule="exact"/>
        <w:rPr>
          <w:rFonts w:ascii="Arial" w:cs="Arial" w:eastAsia="Arial" w:hAnsi="Arial"/>
          <w:sz w:val="22"/>
          <w:szCs w:val="22"/>
          <w:b w:val="1"/>
          <w:bCs w:val="1"/>
          <w:color w:val="auto"/>
        </w:rPr>
      </w:pPr>
    </w:p>
    <w:p>
      <w:pPr>
        <w:ind w:left="460" w:hanging="452"/>
        <w:spacing w:after="0"/>
        <w:tabs>
          <w:tab w:leader="none" w:pos="460" w:val="left"/>
        </w:tabs>
        <w:numPr>
          <w:ilvl w:val="0"/>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TYPE OF PERSON REPORTING</w:t>
      </w:r>
      <w:r>
        <w:rPr>
          <w:rFonts w:ascii="Arial" w:cs="Arial" w:eastAsia="Arial" w:hAnsi="Arial"/>
          <w:sz w:val="22"/>
          <w:szCs w:val="22"/>
          <w:color w:val="auto"/>
        </w:rPr>
        <w:t>: HC</w:t>
      </w:r>
    </w:p>
    <w:p>
      <w:pPr>
        <w:sectPr>
          <w:pgSz w:w="11900" w:h="16838" w:orient="portrait"/>
          <w:cols w:equalWidth="0" w:num="1">
            <w:col w:w="10219"/>
          </w:cols>
          <w:pgMar w:left="240" w:top="267" w:right="1440" w:bottom="1440" w:gutter="0" w:footer="0" w:header="0"/>
        </w:sectPr>
      </w:pPr>
    </w:p>
    <w:bookmarkStart w:id="6" w:name="page7"/>
    <w:bookmarkEnd w:id="6"/>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Issuer</w:t>
      </w:r>
      <w:r>
        <w:rPr>
          <w:rFonts w:ascii="Arial" w:cs="Arial" w:eastAsia="Arial" w:hAnsi="Arial"/>
          <w:sz w:val="19"/>
          <w:szCs w:val="19"/>
          <w:color w:val="auto"/>
        </w:rPr>
        <w:t>: Wynn Resorts, Limited</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1(b)</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Address of Issuer’s Principal Executive Offices</w:t>
      </w:r>
      <w:r>
        <w:rPr>
          <w:rFonts w:ascii="Arial" w:cs="Arial" w:eastAsia="Arial" w:hAnsi="Arial"/>
          <w:sz w:val="19"/>
          <w:szCs w:val="19"/>
          <w:color w:val="auto"/>
        </w:rPr>
        <w:t>:</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3131 Las Vegas Boulevard South</w:t>
      </w:r>
    </w:p>
    <w:p>
      <w:pPr>
        <w:spacing w:after="0" w:line="8"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Las Vegas, NV 89109</w:t>
      </w:r>
    </w:p>
    <w:p>
      <w:pPr>
        <w:spacing w:after="0" w:line="175"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2(a)</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Name of Person Filing</w:t>
      </w:r>
      <w:r>
        <w:rPr>
          <w:rFonts w:ascii="Arial" w:cs="Arial" w:eastAsia="Arial" w:hAnsi="Arial"/>
          <w:sz w:val="19"/>
          <w:szCs w:val="19"/>
          <w:color w:val="auto"/>
        </w:rPr>
        <w:t>:</w:t>
      </w:r>
    </w:p>
    <w:p>
      <w:pPr>
        <w:spacing w:after="0" w:line="193" w:lineRule="exact"/>
        <w:rPr>
          <w:sz w:val="20"/>
          <w:szCs w:val="20"/>
          <w:color w:val="auto"/>
        </w:rPr>
      </w:pPr>
    </w:p>
    <w:p>
      <w:pPr>
        <w:ind w:left="2040" w:hanging="560"/>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Inc.</w:t>
      </w:r>
    </w:p>
    <w:p>
      <w:pPr>
        <w:spacing w:after="0" w:line="8" w:lineRule="exact"/>
        <w:rPr>
          <w:rFonts w:ascii="Arial" w:cs="Arial" w:eastAsia="Arial" w:hAnsi="Arial"/>
          <w:sz w:val="22"/>
          <w:szCs w:val="22"/>
          <w:color w:val="auto"/>
        </w:rPr>
      </w:pP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Financial Services, Inc.</w:t>
      </w: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Inc.</w:t>
      </w:r>
    </w:p>
    <w:p>
      <w:pPr>
        <w:ind w:left="2040" w:hanging="560"/>
        <w:spacing w:after="0" w:line="230" w:lineRule="auto"/>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Waddell &amp; Reed Investment Management Company</w:t>
      </w:r>
    </w:p>
    <w:p>
      <w:pPr>
        <w:ind w:left="2040" w:hanging="560"/>
        <w:spacing w:after="0"/>
        <w:tabs>
          <w:tab w:leader="none" w:pos="2040" w:val="left"/>
        </w:tabs>
        <w:numPr>
          <w:ilvl w:val="0"/>
          <w:numId w:val="12"/>
        </w:numPr>
        <w:rPr>
          <w:rFonts w:ascii="Arial" w:cs="Arial" w:eastAsia="Arial" w:hAnsi="Arial"/>
          <w:sz w:val="22"/>
          <w:szCs w:val="22"/>
          <w:color w:val="auto"/>
        </w:rPr>
      </w:pPr>
      <w:r>
        <w:rPr>
          <w:rFonts w:ascii="Arial" w:cs="Arial" w:eastAsia="Arial" w:hAnsi="Arial"/>
          <w:sz w:val="22"/>
          <w:szCs w:val="22"/>
          <w:color w:val="auto"/>
        </w:rPr>
        <w:t>Ivy Investment Management Company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80" w:type="dxa"/>
            <w:vAlign w:val="bottom"/>
            <w:gridSpan w:val="4"/>
          </w:tcPr>
          <w:p>
            <w:pPr>
              <w:spacing w:after="0"/>
              <w:rPr>
                <w:sz w:val="20"/>
                <w:szCs w:val="20"/>
                <w:color w:val="auto"/>
              </w:rPr>
            </w:pPr>
            <w:r>
              <w:rPr>
                <w:rFonts w:ascii="Arial" w:cs="Arial" w:eastAsia="Arial" w:hAnsi="Arial"/>
                <w:sz w:val="22"/>
                <w:szCs w:val="22"/>
                <w:color w:val="auto"/>
              </w:rPr>
              <w:t>Item 2(b):</w:t>
            </w:r>
          </w:p>
        </w:tc>
        <w:tc>
          <w:tcPr>
            <w:tcW w:w="9860" w:type="dxa"/>
            <w:vAlign w:val="bottom"/>
            <w:gridSpan w:val="8"/>
          </w:tcPr>
          <w:p>
            <w:pPr>
              <w:spacing w:after="0"/>
              <w:rPr>
                <w:sz w:val="20"/>
                <w:szCs w:val="20"/>
                <w:color w:val="auto"/>
              </w:rPr>
            </w:pPr>
            <w:r>
              <w:rPr>
                <w:rFonts w:ascii="Arial" w:cs="Arial" w:eastAsia="Arial" w:hAnsi="Arial"/>
                <w:sz w:val="22"/>
                <w:szCs w:val="22"/>
                <w:color w:val="auto"/>
              </w:rPr>
              <w:t>Address of Principal Business Office:</w:t>
            </w:r>
          </w:p>
        </w:tc>
      </w:tr>
      <w:tr>
        <w:trPr>
          <w:trHeight w:val="445"/>
        </w:trPr>
        <w:tc>
          <w:tcPr>
            <w:tcW w:w="5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40" w:type="dxa"/>
            <w:vAlign w:val="bottom"/>
            <w:tcBorders>
              <w:top w:val="single" w:sz="8" w:color="auto"/>
            </w:tcBorders>
            <w:gridSpan w:val="3"/>
          </w:tcPr>
          <w:p>
            <w:pPr>
              <w:spacing w:after="0"/>
              <w:rPr>
                <w:sz w:val="20"/>
                <w:szCs w:val="20"/>
                <w:color w:val="auto"/>
              </w:rPr>
            </w:pPr>
            <w:r>
              <w:rPr>
                <w:rFonts w:ascii="Arial" w:cs="Arial" w:eastAsia="Arial" w:hAnsi="Arial"/>
                <w:sz w:val="22"/>
                <w:szCs w:val="22"/>
                <w:color w:val="auto"/>
              </w:rPr>
              <w:t>(i)-(v):</w:t>
            </w:r>
          </w:p>
        </w:tc>
        <w:tc>
          <w:tcPr>
            <w:tcW w:w="1960" w:type="dxa"/>
            <w:vAlign w:val="bottom"/>
            <w:tcBorders>
              <w:top w:val="single" w:sz="8" w:color="auto"/>
            </w:tcBorders>
            <w:gridSpan w:val="4"/>
          </w:tcPr>
          <w:p>
            <w:pPr>
              <w:ind w:left="100"/>
              <w:spacing w:after="0"/>
              <w:rPr>
                <w:sz w:val="20"/>
                <w:szCs w:val="20"/>
                <w:color w:val="auto"/>
              </w:rPr>
            </w:pPr>
            <w:r>
              <w:rPr>
                <w:rFonts w:ascii="Arial" w:cs="Arial" w:eastAsia="Arial" w:hAnsi="Arial"/>
                <w:sz w:val="22"/>
                <w:szCs w:val="22"/>
                <w:color w:val="auto"/>
                <w:w w:val="92"/>
              </w:rPr>
              <w:t>6300 Lamar Avenue</w:t>
            </w:r>
          </w:p>
        </w:tc>
        <w:tc>
          <w:tcPr>
            <w:tcW w:w="6660" w:type="dxa"/>
            <w:vAlign w:val="bottom"/>
          </w:tcPr>
          <w:p>
            <w:pPr>
              <w:spacing w:after="0"/>
              <w:rPr>
                <w:sz w:val="24"/>
                <w:szCs w:val="24"/>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20" w:type="dxa"/>
            <w:vAlign w:val="bottom"/>
            <w:gridSpan w:val="5"/>
          </w:tcPr>
          <w:p>
            <w:pPr>
              <w:ind w:left="100"/>
              <w:spacing w:after="0"/>
              <w:rPr>
                <w:sz w:val="20"/>
                <w:szCs w:val="20"/>
                <w:color w:val="auto"/>
              </w:rPr>
            </w:pPr>
            <w:r>
              <w:rPr>
                <w:rFonts w:ascii="Arial" w:cs="Arial" w:eastAsia="Arial" w:hAnsi="Arial"/>
                <w:sz w:val="22"/>
                <w:szCs w:val="22"/>
                <w:color w:val="auto"/>
              </w:rPr>
              <w:t>Overland Park, KS 66202</w:t>
            </w:r>
          </w:p>
        </w:tc>
      </w:tr>
      <w:tr>
        <w:trPr>
          <w:trHeight w:val="395"/>
        </w:trPr>
        <w:tc>
          <w:tcPr>
            <w:tcW w:w="1480" w:type="dxa"/>
            <w:vAlign w:val="bottom"/>
            <w:gridSpan w:val="4"/>
          </w:tcPr>
          <w:p>
            <w:pPr>
              <w:spacing w:after="0"/>
              <w:rPr>
                <w:sz w:val="20"/>
                <w:szCs w:val="20"/>
                <w:color w:val="auto"/>
              </w:rPr>
            </w:pPr>
            <w:r>
              <w:rPr>
                <w:rFonts w:ascii="Arial" w:cs="Arial" w:eastAsia="Arial" w:hAnsi="Arial"/>
                <w:sz w:val="22"/>
                <w:szCs w:val="22"/>
                <w:color w:val="auto"/>
              </w:rPr>
              <w:t>Item 2(c):</w:t>
            </w:r>
          </w:p>
        </w:tc>
        <w:tc>
          <w:tcPr>
            <w:tcW w:w="1240" w:type="dxa"/>
            <w:vAlign w:val="bottom"/>
            <w:gridSpan w:val="3"/>
          </w:tcPr>
          <w:p>
            <w:pPr>
              <w:spacing w:after="0"/>
              <w:rPr>
                <w:sz w:val="20"/>
                <w:szCs w:val="20"/>
                <w:color w:val="auto"/>
              </w:rPr>
            </w:pPr>
            <w:r>
              <w:rPr>
                <w:rFonts w:ascii="Arial" w:cs="Arial" w:eastAsia="Arial" w:hAnsi="Arial"/>
                <w:sz w:val="22"/>
                <w:szCs w:val="22"/>
                <w:color w:val="auto"/>
              </w:rPr>
              <w:t>Citizenship:</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660" w:type="dxa"/>
            <w:vAlign w:val="bottom"/>
          </w:tcPr>
          <w:p>
            <w:pPr>
              <w:spacing w:after="0"/>
              <w:rPr>
                <w:sz w:val="24"/>
                <w:szCs w:val="24"/>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gridSpan w:val="2"/>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22"/>
                <w:szCs w:val="22"/>
                <w:color w:val="auto"/>
              </w:rPr>
              <w:t>(i), (iii) and (v): Delaware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40" w:type="dxa"/>
            <w:vAlign w:val="bottom"/>
            <w:gridSpan w:val="3"/>
          </w:tcPr>
          <w:p>
            <w:pPr>
              <w:spacing w:after="0" w:line="243" w:lineRule="exact"/>
              <w:rPr>
                <w:sz w:val="20"/>
                <w:szCs w:val="20"/>
                <w:color w:val="auto"/>
              </w:rPr>
            </w:pPr>
            <w:r>
              <w:rPr>
                <w:rFonts w:ascii="Arial" w:cs="Arial" w:eastAsia="Arial" w:hAnsi="Arial"/>
                <w:sz w:val="22"/>
                <w:szCs w:val="22"/>
                <w:color w:val="auto"/>
              </w:rPr>
              <w:t>(ii): Missouri</w:t>
            </w: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660" w:type="dxa"/>
            <w:vAlign w:val="bottom"/>
          </w:tcPr>
          <w:p>
            <w:pPr>
              <w:spacing w:after="0"/>
              <w:rPr>
                <w:sz w:val="21"/>
                <w:szCs w:val="21"/>
                <w:color w:val="auto"/>
              </w:rPr>
            </w:pP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40" w:type="dxa"/>
            <w:vAlign w:val="bottom"/>
            <w:gridSpan w:val="3"/>
          </w:tcPr>
          <w:p>
            <w:pPr>
              <w:spacing w:after="0"/>
              <w:rPr>
                <w:sz w:val="20"/>
                <w:szCs w:val="20"/>
                <w:color w:val="auto"/>
              </w:rPr>
            </w:pPr>
            <w:r>
              <w:rPr>
                <w:rFonts w:ascii="Arial" w:cs="Arial" w:eastAsia="Arial" w:hAnsi="Arial"/>
                <w:sz w:val="22"/>
                <w:szCs w:val="22"/>
                <w:color w:val="auto"/>
              </w:rPr>
              <w:t>(iv): Kansas</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60" w:type="dxa"/>
            <w:vAlign w:val="bottom"/>
          </w:tcPr>
          <w:p>
            <w:pPr>
              <w:spacing w:after="0"/>
              <w:rPr>
                <w:sz w:val="23"/>
                <w:szCs w:val="23"/>
                <w:color w:val="auto"/>
              </w:rPr>
            </w:pPr>
          </w:p>
        </w:tc>
      </w:tr>
      <w:tr>
        <w:trPr>
          <w:trHeight w:val="395"/>
        </w:trPr>
        <w:tc>
          <w:tcPr>
            <w:tcW w:w="1480" w:type="dxa"/>
            <w:vAlign w:val="bottom"/>
            <w:gridSpan w:val="4"/>
          </w:tcPr>
          <w:p>
            <w:pPr>
              <w:spacing w:after="0"/>
              <w:rPr>
                <w:sz w:val="20"/>
                <w:szCs w:val="20"/>
                <w:color w:val="auto"/>
              </w:rPr>
            </w:pPr>
            <w:r>
              <w:rPr>
                <w:rFonts w:ascii="Arial" w:cs="Arial" w:eastAsia="Arial" w:hAnsi="Arial"/>
                <w:sz w:val="22"/>
                <w:szCs w:val="22"/>
                <w:color w:val="auto"/>
              </w:rPr>
              <w:t>Item 2(d):</w:t>
            </w:r>
          </w:p>
        </w:tc>
        <w:tc>
          <w:tcPr>
            <w:tcW w:w="9860" w:type="dxa"/>
            <w:vAlign w:val="bottom"/>
            <w:gridSpan w:val="8"/>
          </w:tcPr>
          <w:p>
            <w:pPr>
              <w:spacing w:after="0"/>
              <w:rPr>
                <w:sz w:val="20"/>
                <w:szCs w:val="20"/>
                <w:color w:val="auto"/>
              </w:rPr>
            </w:pPr>
            <w:r>
              <w:rPr>
                <w:rFonts w:ascii="Arial" w:cs="Arial" w:eastAsia="Arial" w:hAnsi="Arial"/>
                <w:sz w:val="22"/>
                <w:szCs w:val="22"/>
                <w:color w:val="auto"/>
              </w:rPr>
              <w:t>Title of Class of Securities: Common Stock</w:t>
            </w:r>
          </w:p>
        </w:tc>
      </w:tr>
      <w:tr>
        <w:trPr>
          <w:trHeight w:val="20"/>
        </w:trPr>
        <w:tc>
          <w:tcPr>
            <w:tcW w:w="560" w:type="dxa"/>
            <w:vAlign w:val="bottom"/>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560" w:type="dxa"/>
            <w:vAlign w:val="bottom"/>
            <w:gridSpan w:val="2"/>
          </w:tcPr>
          <w:p>
            <w:pPr>
              <w:spacing w:after="0" w:line="20" w:lineRule="exact"/>
              <w:rPr>
                <w:sz w:val="1"/>
                <w:szCs w:val="1"/>
                <w:color w:val="auto"/>
              </w:rPr>
            </w:pPr>
          </w:p>
        </w:tc>
      </w:tr>
      <w:tr>
        <w:trPr>
          <w:trHeight w:val="426"/>
        </w:trPr>
        <w:tc>
          <w:tcPr>
            <w:tcW w:w="1480" w:type="dxa"/>
            <w:vAlign w:val="bottom"/>
            <w:gridSpan w:val="4"/>
          </w:tcPr>
          <w:p>
            <w:pPr>
              <w:spacing w:after="0"/>
              <w:rPr>
                <w:sz w:val="20"/>
                <w:szCs w:val="20"/>
                <w:color w:val="auto"/>
              </w:rPr>
            </w:pPr>
            <w:r>
              <w:rPr>
                <w:rFonts w:ascii="Arial" w:cs="Arial" w:eastAsia="Arial" w:hAnsi="Arial"/>
                <w:sz w:val="22"/>
                <w:szCs w:val="22"/>
                <w:color w:val="auto"/>
              </w:rPr>
              <w:t>Item 2(e):</w:t>
            </w:r>
          </w:p>
        </w:tc>
        <w:tc>
          <w:tcPr>
            <w:tcW w:w="9860" w:type="dxa"/>
            <w:vAlign w:val="bottom"/>
            <w:gridSpan w:val="8"/>
          </w:tcPr>
          <w:p>
            <w:pPr>
              <w:spacing w:after="0"/>
              <w:rPr>
                <w:sz w:val="20"/>
                <w:szCs w:val="20"/>
                <w:color w:val="auto"/>
              </w:rPr>
            </w:pPr>
            <w:r>
              <w:rPr>
                <w:rFonts w:ascii="Arial" w:cs="Arial" w:eastAsia="Arial" w:hAnsi="Arial"/>
                <w:sz w:val="22"/>
                <w:szCs w:val="22"/>
                <w:color w:val="auto"/>
              </w:rPr>
              <w:t>CUSIP Number: 983134107</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4"/>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426"/>
        </w:trPr>
        <w:tc>
          <w:tcPr>
            <w:tcW w:w="800" w:type="dxa"/>
            <w:vAlign w:val="bottom"/>
            <w:gridSpan w:val="2"/>
          </w:tcPr>
          <w:p>
            <w:pPr>
              <w:spacing w:after="0"/>
              <w:rPr>
                <w:sz w:val="20"/>
                <w:szCs w:val="20"/>
                <w:color w:val="auto"/>
              </w:rPr>
            </w:pPr>
            <w:r>
              <w:rPr>
                <w:rFonts w:ascii="Arial" w:cs="Arial" w:eastAsia="Arial" w:hAnsi="Arial"/>
                <w:sz w:val="22"/>
                <w:szCs w:val="22"/>
                <w:color w:val="auto"/>
              </w:rPr>
              <w:t>Item 3:</w:t>
            </w:r>
          </w:p>
        </w:tc>
        <w:tc>
          <w:tcPr>
            <w:tcW w:w="680" w:type="dxa"/>
            <w:vAlign w:val="bottom"/>
            <w:gridSpan w:val="2"/>
          </w:tcPr>
          <w:p>
            <w:pPr>
              <w:spacing w:after="0"/>
              <w:rPr>
                <w:sz w:val="24"/>
                <w:szCs w:val="24"/>
                <w:color w:val="auto"/>
              </w:rPr>
            </w:pPr>
          </w:p>
        </w:tc>
        <w:tc>
          <w:tcPr>
            <w:tcW w:w="9860" w:type="dxa"/>
            <w:vAlign w:val="bottom"/>
            <w:gridSpan w:val="8"/>
          </w:tcPr>
          <w:p>
            <w:pPr>
              <w:spacing w:after="0"/>
              <w:rPr>
                <w:sz w:val="20"/>
                <w:szCs w:val="20"/>
                <w:color w:val="auto"/>
              </w:rPr>
            </w:pPr>
            <w:r>
              <w:rPr>
                <w:rFonts w:ascii="Arial" w:cs="Arial" w:eastAsia="Arial" w:hAnsi="Arial"/>
                <w:sz w:val="22"/>
                <w:szCs w:val="22"/>
                <w:color w:val="auto"/>
              </w:rPr>
              <w:t>The reporting person is:</w:t>
            </w:r>
          </w:p>
        </w:tc>
      </w:tr>
      <w:tr>
        <w:trPr>
          <w:trHeight w:val="20"/>
        </w:trPr>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580" w:type="dxa"/>
            <w:vAlign w:val="bottom"/>
            <w:gridSpan w:val="4"/>
            <w:shd w:val="clear" w:color="auto" w:fill="000000"/>
          </w:tcPr>
          <w:p>
            <w:pPr>
              <w:spacing w:after="0" w:line="20" w:lineRule="exact"/>
              <w:rPr>
                <w:sz w:val="1"/>
                <w:szCs w:val="1"/>
                <w:color w:val="auto"/>
              </w:rPr>
            </w:pPr>
          </w:p>
        </w:tc>
        <w:tc>
          <w:tcPr>
            <w:tcW w:w="7840" w:type="dxa"/>
            <w:vAlign w:val="bottom"/>
            <w:gridSpan w:val="3"/>
          </w:tcPr>
          <w:p>
            <w:pPr>
              <w:spacing w:after="0" w:line="20" w:lineRule="exact"/>
              <w:rPr>
                <w:sz w:val="1"/>
                <w:szCs w:val="1"/>
                <w:color w:val="auto"/>
              </w:rPr>
            </w:pPr>
          </w:p>
        </w:tc>
      </w:tr>
      <w:tr>
        <w:trPr>
          <w:trHeight w:val="445"/>
        </w:trPr>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22"/>
                <w:szCs w:val="22"/>
                <w:color w:val="auto"/>
              </w:rPr>
              <w:t>(i)</w:t>
            </w:r>
          </w:p>
        </w:tc>
        <w:tc>
          <w:tcPr>
            <w:tcW w:w="9420" w:type="dxa"/>
            <w:vAlign w:val="bottom"/>
            <w:gridSpan w:val="7"/>
          </w:tcPr>
          <w:p>
            <w:pPr>
              <w:ind w:left="120"/>
              <w:spacing w:after="0"/>
              <w:rPr>
                <w:sz w:val="20"/>
                <w:szCs w:val="20"/>
                <w:color w:val="auto"/>
              </w:rPr>
            </w:pPr>
            <w:r>
              <w:rPr>
                <w:rFonts w:ascii="Arial" w:cs="Arial" w:eastAsia="Arial" w:hAnsi="Arial"/>
                <w:sz w:val="22"/>
                <w:szCs w:val="22"/>
                <w:color w:val="auto"/>
                <w:w w:val="90"/>
              </w:rPr>
              <w:t>Waddell &amp; Reed Financial, Inc., a parent holding company in accordance with Reg. 240.13d-1(b)(1)(ii)(G);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0"/>
              </w:rPr>
              <w:t>Waddell &amp; Reed Financial Services, Inc., a parent holding company in accordance with Reg. 240.13d-1(b)</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(1)(ii)(G);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(iii)</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7"/>
              </w:rPr>
              <w:t>Waddell &amp; Reed, Inc., a broker-dealer registered under section 15 of the Act (15 U.S.C. 78o); and</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(iv)</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5"/>
              </w:rPr>
              <w:t>Waddell &amp; Reed Investment Management Company, an investment advisor in accordance with Reg.</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rPr>
              <w:t>240.13d-1(b)(1)(ii)(E).</w:t>
            </w:r>
          </w:p>
        </w:tc>
      </w:tr>
      <w:tr>
        <w:trPr>
          <w:trHeight w:val="243"/>
        </w:trPr>
        <w:tc>
          <w:tcPr>
            <w:tcW w:w="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40" w:type="dxa"/>
            <w:vAlign w:val="bottom"/>
          </w:tcPr>
          <w:p>
            <w:pPr>
              <w:spacing w:after="0" w:line="243" w:lineRule="exact"/>
              <w:rPr>
                <w:sz w:val="20"/>
                <w:szCs w:val="20"/>
                <w:color w:val="auto"/>
              </w:rPr>
            </w:pPr>
            <w:r>
              <w:rPr>
                <w:rFonts w:ascii="Arial" w:cs="Arial" w:eastAsia="Arial" w:hAnsi="Arial"/>
                <w:sz w:val="22"/>
                <w:szCs w:val="22"/>
                <w:color w:val="auto"/>
              </w:rPr>
              <w:t>(v)</w:t>
            </w:r>
          </w:p>
        </w:tc>
        <w:tc>
          <w:tcPr>
            <w:tcW w:w="9420" w:type="dxa"/>
            <w:vAlign w:val="bottom"/>
            <w:gridSpan w:val="7"/>
          </w:tcPr>
          <w:p>
            <w:pPr>
              <w:ind w:left="120"/>
              <w:spacing w:after="0" w:line="243" w:lineRule="exact"/>
              <w:rPr>
                <w:sz w:val="20"/>
                <w:szCs w:val="20"/>
                <w:color w:val="auto"/>
              </w:rPr>
            </w:pPr>
            <w:r>
              <w:rPr>
                <w:rFonts w:ascii="Arial" w:cs="Arial" w:eastAsia="Arial" w:hAnsi="Arial"/>
                <w:sz w:val="22"/>
                <w:szCs w:val="22"/>
                <w:color w:val="auto"/>
                <w:w w:val="90"/>
              </w:rPr>
              <w:t>Ivy Investment Management Company, an investment advisor in accordance with Reg. 240.13d-1(b)(1)(ii)</w:t>
            </w:r>
          </w:p>
        </w:tc>
      </w:tr>
      <w:tr>
        <w:trPr>
          <w:trHeight w:val="275"/>
        </w:trPr>
        <w:tc>
          <w:tcPr>
            <w:tcW w:w="5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0" w:type="dxa"/>
            <w:vAlign w:val="bottom"/>
            <w:gridSpan w:val="2"/>
          </w:tcPr>
          <w:p>
            <w:pPr>
              <w:ind w:left="120"/>
              <w:spacing w:after="0"/>
              <w:rPr>
                <w:sz w:val="20"/>
                <w:szCs w:val="20"/>
                <w:color w:val="auto"/>
              </w:rPr>
            </w:pPr>
            <w:r>
              <w:rPr>
                <w:rFonts w:ascii="Arial" w:cs="Arial" w:eastAsia="Arial" w:hAnsi="Arial"/>
                <w:sz w:val="22"/>
                <w:szCs w:val="22"/>
                <w:color w:val="auto"/>
              </w:rPr>
              <w:t>(E).</w:t>
            </w: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660" w:type="dxa"/>
            <w:vAlign w:val="bottom"/>
          </w:tcPr>
          <w:p>
            <w:pPr>
              <w:spacing w:after="0"/>
              <w:rPr>
                <w:sz w:val="23"/>
                <w:szCs w:val="23"/>
                <w:color w:val="auto"/>
              </w:rPr>
            </w:pPr>
          </w:p>
        </w:tc>
      </w:tr>
    </w:tbl>
    <w:p>
      <w:pPr>
        <w:sectPr>
          <w:pgSz w:w="11900" w:h="16838" w:orient="portrait"/>
          <w:cols w:equalWidth="0" w:num="1">
            <w:col w:w="11340"/>
          </w:cols>
          <w:pgMar w:left="240" w:top="267" w:right="319" w:bottom="1440" w:gutter="0" w:footer="0" w:header="0"/>
        </w:sectPr>
      </w:pPr>
    </w:p>
    <w:bookmarkStart w:id="7" w:name="page8"/>
    <w:bookmarkEnd w:id="7"/>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4</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w:t>
      </w:r>
    </w:p>
    <w:p>
      <w:pPr>
        <w:spacing w:after="0" w:line="152" w:lineRule="exact"/>
        <w:rPr>
          <w:sz w:val="20"/>
          <w:szCs w:val="20"/>
          <w:color w:val="auto"/>
        </w:rPr>
      </w:pPr>
    </w:p>
    <w:p>
      <w:pPr>
        <w:ind w:firstLine="1484"/>
        <w:spacing w:after="0" w:line="244" w:lineRule="auto"/>
        <w:rPr>
          <w:sz w:val="20"/>
          <w:szCs w:val="20"/>
          <w:color w:val="auto"/>
        </w:rPr>
      </w:pPr>
      <w:r>
        <w:rPr>
          <w:rFonts w:ascii="Arial" w:cs="Arial" w:eastAsia="Arial" w:hAnsi="Arial"/>
          <w:sz w:val="21"/>
          <w:szCs w:val="21"/>
          <w:color w:val="auto"/>
        </w:rPr>
        <w:t>The securities reported on herein are beneficially owned by one or more open-end investment companies or other managed accounts which are advised or sub-advised by Ivy Investment Management Company (“IICO”), an investment advisory subsidiary of Waddell &amp; Reed Financial, Inc. (“WDR”) or Waddell &amp; Reed Investment Management Company (“WRIMCO”), an investment advisory subsidiary of Waddell &amp; Reed, Inc. (“WRI”). WRI is a broker-dealer and underwriting subsidiary of Waddell &amp; Reed Financial Services, Inc., a parent holding company (“WRFSI”). In turn, WRFSI is a subsidiary of WDR, a publicly traded company. The investment advisory contracts grant IICO and WRIMCO all investment and/or voting power over securities owned by such advisory clients. The investment sub-advisory contracts grant IICO and WRIMCO investment power over securities owned by such sub-advisory clients and, in most cases, voting power. Any investment restriction of a sub-advisory contract does not restrict investment discretion or power in a material manner. Therefore, IICO and/or WRIMCO may be deemed the beneficial owner of the securities covered by this statement under Rule 13d-3 of the Securities Exchange Act of 1934 (the “1934 Act”).</w:t>
      </w:r>
    </w:p>
    <w:p>
      <w:pPr>
        <w:spacing w:after="0" w:line="136" w:lineRule="exact"/>
        <w:rPr>
          <w:sz w:val="20"/>
          <w:szCs w:val="20"/>
          <w:color w:val="auto"/>
        </w:rPr>
      </w:pPr>
    </w:p>
    <w:p>
      <w:pPr>
        <w:ind w:right="40" w:firstLine="571"/>
        <w:spacing w:after="0"/>
        <w:rPr>
          <w:sz w:val="20"/>
          <w:szCs w:val="20"/>
          <w:color w:val="auto"/>
        </w:rPr>
      </w:pPr>
      <w:r>
        <w:rPr>
          <w:rFonts w:ascii="Arial" w:cs="Arial" w:eastAsia="Arial" w:hAnsi="Arial"/>
          <w:sz w:val="22"/>
          <w:szCs w:val="22"/>
          <w:color w:val="auto"/>
        </w:rPr>
        <w:t>IICO, WRIMCO, WRI, WRFSI and WDR are of the view that they are not acting as a “group” for purposes of Section 13(d) under the 1934 Act. Indirect “beneficial ownership” is attributed to the respective parent companies solely because of the parent companies’ control relationship to WRIMCO and IICO.</w:t>
      </w:r>
    </w:p>
    <w:p>
      <w:pPr>
        <w:spacing w:after="0" w:line="173" w:lineRule="exact"/>
        <w:rPr>
          <w:sz w:val="20"/>
          <w:szCs w:val="20"/>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Amount beneficially owned: 446,892</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Percent of class: 0.4</w:t>
      </w:r>
    </w:p>
    <w:p>
      <w:pPr>
        <w:spacing w:after="0" w:line="192" w:lineRule="exact"/>
        <w:rPr>
          <w:rFonts w:ascii="Arial" w:cs="Arial" w:eastAsia="Arial" w:hAnsi="Arial"/>
          <w:sz w:val="22"/>
          <w:szCs w:val="22"/>
          <w:color w:val="auto"/>
        </w:rPr>
      </w:pPr>
    </w:p>
    <w:p>
      <w:pPr>
        <w:ind w:left="2040" w:hanging="560"/>
        <w:spacing w:after="0"/>
        <w:tabs>
          <w:tab w:leader="none" w:pos="2040" w:val="left"/>
        </w:tabs>
        <w:numPr>
          <w:ilvl w:val="0"/>
          <w:numId w:val="13"/>
        </w:numPr>
        <w:rPr>
          <w:rFonts w:ascii="Arial" w:cs="Arial" w:eastAsia="Arial" w:hAnsi="Arial"/>
          <w:sz w:val="22"/>
          <w:szCs w:val="22"/>
          <w:color w:val="auto"/>
        </w:rPr>
      </w:pPr>
      <w:r>
        <w:rPr>
          <w:rFonts w:ascii="Arial" w:cs="Arial" w:eastAsia="Arial" w:hAnsi="Arial"/>
          <w:sz w:val="22"/>
          <w:szCs w:val="22"/>
          <w:color w:val="auto"/>
        </w:rPr>
        <w:t>Number of shares as to which the person has:</w:t>
      </w:r>
    </w:p>
    <w:p>
      <w:pPr>
        <w:spacing w:after="0" w:line="192"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voting power to vote or to direct the vote:</w:t>
      </w:r>
    </w:p>
    <w:p>
      <w:pPr>
        <w:spacing w:after="0" w:line="192"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WDR: 446,892 (indirect)</w:t>
      </w:r>
    </w:p>
    <w:p>
      <w:pPr>
        <w:spacing w:after="0" w:line="8" w:lineRule="exact"/>
        <w:rPr>
          <w:rFonts w:ascii="Arial" w:cs="Arial" w:eastAsia="Arial" w:hAnsi="Arial"/>
          <w:sz w:val="22"/>
          <w:szCs w:val="22"/>
          <w:color w:val="auto"/>
        </w:rPr>
      </w:pP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WRFSI: 347,230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 347,230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WRIMCO: 347,230 (direct)</w:t>
      </w:r>
    </w:p>
    <w:p>
      <w:pPr>
        <w:ind w:left="2740"/>
        <w:spacing w:after="0"/>
        <w:rPr>
          <w:rFonts w:ascii="Arial" w:cs="Arial" w:eastAsia="Arial" w:hAnsi="Arial"/>
          <w:sz w:val="22"/>
          <w:szCs w:val="22"/>
          <w:color w:val="auto"/>
        </w:rPr>
      </w:pPr>
      <w:r>
        <w:rPr>
          <w:rFonts w:ascii="Arial" w:cs="Arial" w:eastAsia="Arial" w:hAnsi="Arial"/>
          <w:sz w:val="22"/>
          <w:szCs w:val="22"/>
          <w:color w:val="auto"/>
        </w:rPr>
        <w:t>IICO: 99,662 (direct)</w:t>
      </w:r>
    </w:p>
    <w:p>
      <w:pPr>
        <w:spacing w:after="0" w:line="174"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Shared power to vote or to direct the vote: 0</w:t>
      </w:r>
    </w:p>
    <w:p>
      <w:pPr>
        <w:spacing w:after="0" w:line="192" w:lineRule="exact"/>
        <w:rPr>
          <w:rFonts w:ascii="Arial" w:cs="Arial" w:eastAsia="Arial" w:hAnsi="Arial"/>
          <w:sz w:val="22"/>
          <w:szCs w:val="22"/>
          <w:color w:val="auto"/>
        </w:rPr>
      </w:pPr>
    </w:p>
    <w:p>
      <w:pPr>
        <w:ind w:left="2740" w:hanging="679"/>
        <w:spacing w:after="0"/>
        <w:tabs>
          <w:tab w:leader="none" w:pos="2740" w:val="left"/>
        </w:tabs>
        <w:numPr>
          <w:ilvl w:val="1"/>
          <w:numId w:val="13"/>
        </w:numPr>
        <w:rPr>
          <w:rFonts w:ascii="Arial" w:cs="Arial" w:eastAsia="Arial" w:hAnsi="Arial"/>
          <w:sz w:val="22"/>
          <w:szCs w:val="22"/>
          <w:color w:val="auto"/>
        </w:rPr>
      </w:pPr>
      <w:r>
        <w:rPr>
          <w:rFonts w:ascii="Arial" w:cs="Arial" w:eastAsia="Arial" w:hAnsi="Arial"/>
          <w:sz w:val="22"/>
          <w:szCs w:val="22"/>
          <w:color w:val="auto"/>
        </w:rPr>
        <w:t>Sole power to dispose or to direct the disposition of:</w:t>
      </w:r>
    </w:p>
    <w:p>
      <w:pPr>
        <w:spacing w:after="0" w:line="192" w:lineRule="exact"/>
        <w:rPr>
          <w:rFonts w:ascii="Arial" w:cs="Arial" w:eastAsia="Arial" w:hAnsi="Arial"/>
          <w:sz w:val="22"/>
          <w:szCs w:val="22"/>
          <w:color w:val="auto"/>
        </w:rPr>
      </w:pPr>
    </w:p>
    <w:p>
      <w:pPr>
        <w:ind w:left="2740"/>
        <w:spacing w:after="0"/>
        <w:rPr>
          <w:rFonts w:ascii="Arial" w:cs="Arial" w:eastAsia="Arial" w:hAnsi="Arial"/>
          <w:sz w:val="22"/>
          <w:szCs w:val="22"/>
          <w:color w:val="auto"/>
        </w:rPr>
      </w:pPr>
      <w:r>
        <w:rPr>
          <w:rFonts w:ascii="Arial" w:cs="Arial" w:eastAsia="Arial" w:hAnsi="Arial"/>
          <w:sz w:val="22"/>
          <w:szCs w:val="22"/>
          <w:color w:val="auto"/>
        </w:rPr>
        <w:t>WDR: 446,892 (indirect)</w:t>
      </w:r>
    </w:p>
    <w:p>
      <w:pPr>
        <w:spacing w:after="0" w:line="8" w:lineRule="exact"/>
        <w:rPr>
          <w:rFonts w:ascii="Arial" w:cs="Arial" w:eastAsia="Arial" w:hAnsi="Arial"/>
          <w:sz w:val="22"/>
          <w:szCs w:val="22"/>
          <w:color w:val="auto"/>
        </w:rPr>
      </w:pP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WRFSI: 347,230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 347,230 (indirect)</w:t>
      </w:r>
    </w:p>
    <w:p>
      <w:pPr>
        <w:ind w:left="2740"/>
        <w:spacing w:after="0" w:line="230" w:lineRule="auto"/>
        <w:rPr>
          <w:rFonts w:ascii="Arial" w:cs="Arial" w:eastAsia="Arial" w:hAnsi="Arial"/>
          <w:sz w:val="22"/>
          <w:szCs w:val="22"/>
          <w:color w:val="auto"/>
        </w:rPr>
      </w:pPr>
      <w:r>
        <w:rPr>
          <w:rFonts w:ascii="Arial" w:cs="Arial" w:eastAsia="Arial" w:hAnsi="Arial"/>
          <w:sz w:val="22"/>
          <w:szCs w:val="22"/>
          <w:color w:val="auto"/>
        </w:rPr>
        <w:t>WRIMCO: 347,230 (direct)</w:t>
      </w:r>
    </w:p>
    <w:p>
      <w:pPr>
        <w:ind w:left="2740"/>
        <w:spacing w:after="0"/>
        <w:rPr>
          <w:rFonts w:ascii="Arial" w:cs="Arial" w:eastAsia="Arial" w:hAnsi="Arial"/>
          <w:sz w:val="22"/>
          <w:szCs w:val="22"/>
          <w:color w:val="auto"/>
        </w:rPr>
      </w:pPr>
      <w:r>
        <w:rPr>
          <w:rFonts w:ascii="Arial" w:cs="Arial" w:eastAsia="Arial" w:hAnsi="Arial"/>
          <w:sz w:val="22"/>
          <w:szCs w:val="22"/>
          <w:color w:val="auto"/>
        </w:rPr>
        <w:t>IICO: 99,662 (direct)</w:t>
      </w:r>
    </w:p>
    <w:p>
      <w:pPr>
        <w:sectPr>
          <w:pgSz w:w="11900" w:h="16838" w:orient="portrait"/>
          <w:cols w:equalWidth="0" w:num="1">
            <w:col w:w="11400"/>
          </w:cols>
          <w:pgMar w:left="240" w:top="267" w:right="259" w:bottom="1440" w:gutter="0" w:footer="0" w:header="0"/>
        </w:sectPr>
      </w:pPr>
    </w:p>
    <w:bookmarkStart w:id="8" w:name="page9"/>
    <w:bookmarkEnd w:id="8"/>
    <w:p>
      <w:pPr>
        <w:ind w:left="2740" w:hanging="679"/>
        <w:spacing w:after="0"/>
        <w:tabs>
          <w:tab w:leader="none" w:pos="2740" w:val="left"/>
        </w:tabs>
        <w:numPr>
          <w:ilvl w:val="0"/>
          <w:numId w:val="14"/>
        </w:numPr>
        <w:rPr>
          <w:rFonts w:ascii="Arial" w:cs="Arial" w:eastAsia="Arial" w:hAnsi="Arial"/>
          <w:sz w:val="22"/>
          <w:szCs w:val="22"/>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Shared power to dispose or to direct the disposition of: 0</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5</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Five Percent or Less of a Class</w:t>
      </w:r>
      <w:r>
        <w:rPr>
          <w:rFonts w:ascii="Arial" w:cs="Arial" w:eastAsia="Arial" w:hAnsi="Arial"/>
          <w:sz w:val="19"/>
          <w:szCs w:val="19"/>
          <w:color w:val="auto"/>
        </w:rPr>
        <w:t>:</w:t>
      </w:r>
    </w:p>
    <w:p>
      <w:pPr>
        <w:spacing w:after="0" w:line="152" w:lineRule="exact"/>
        <w:rPr>
          <w:sz w:val="20"/>
          <w:szCs w:val="20"/>
          <w:color w:val="auto"/>
        </w:rPr>
      </w:pPr>
    </w:p>
    <w:p>
      <w:pPr>
        <w:ind w:firstLine="1484"/>
        <w:spacing w:after="0" w:line="251" w:lineRule="auto"/>
        <w:rPr>
          <w:sz w:val="20"/>
          <w:szCs w:val="20"/>
          <w:color w:val="auto"/>
        </w:rPr>
      </w:pPr>
      <w:r>
        <w:rPr>
          <w:rFonts w:ascii="Arial" w:cs="Arial" w:eastAsia="Arial" w:hAnsi="Arial"/>
          <w:sz w:val="22"/>
          <w:szCs w:val="22"/>
          <w:color w:val="auto"/>
        </w:rPr>
        <w:t>If this statement is being filed to report the fact that as of the date hereof the reporting person has ceased to be the beneficial owner of more than 5 percent of the class of securities, check the following: [X]</w:t>
      </w:r>
    </w:p>
    <w:p>
      <w:pPr>
        <w:spacing w:after="0" w:line="160"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6</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Ownership of More than Five Percent on Behalf of Another Person</w:t>
      </w:r>
      <w:r>
        <w:rPr>
          <w:rFonts w:ascii="Arial" w:cs="Arial" w:eastAsia="Arial" w:hAnsi="Arial"/>
          <w:sz w:val="19"/>
          <w:szCs w:val="19"/>
          <w:color w:val="auto"/>
        </w:rPr>
        <w:t>:</w:t>
      </w:r>
    </w:p>
    <w:p>
      <w:pPr>
        <w:spacing w:after="0" w:line="152" w:lineRule="exact"/>
        <w:rPr>
          <w:sz w:val="20"/>
          <w:szCs w:val="20"/>
          <w:color w:val="auto"/>
        </w:rPr>
      </w:pPr>
    </w:p>
    <w:p>
      <w:pPr>
        <w:jc w:val="both"/>
        <w:ind w:right="180" w:firstLine="1484"/>
        <w:spacing w:after="0"/>
        <w:rPr>
          <w:sz w:val="20"/>
          <w:szCs w:val="20"/>
          <w:color w:val="auto"/>
        </w:rPr>
      </w:pPr>
      <w:r>
        <w:rPr>
          <w:rFonts w:ascii="Arial" w:cs="Arial" w:eastAsia="Arial" w:hAnsi="Arial"/>
          <w:sz w:val="22"/>
          <w:szCs w:val="22"/>
          <w:color w:val="auto"/>
        </w:rPr>
        <w:t>The clients of IICO and WRIMCO, including investment companies registered under the Investment Company Act of 1940 and other managed accounts, have the right to receive dividends from, as well as the proceeds from the sale of, such securities.</w:t>
      </w:r>
    </w:p>
    <w:p>
      <w:pPr>
        <w:spacing w:after="0" w:line="173" w:lineRule="exact"/>
        <w:rPr>
          <w:sz w:val="20"/>
          <w:szCs w:val="20"/>
          <w:color w:val="auto"/>
        </w:rPr>
      </w:pPr>
    </w:p>
    <w:p>
      <w:pPr>
        <w:ind w:left="1480" w:right="20" w:hanging="1471"/>
        <w:spacing w:after="0" w:line="251" w:lineRule="auto"/>
        <w:tabs>
          <w:tab w:leader="none" w:pos="1460" w:val="left"/>
        </w:tabs>
        <w:rPr>
          <w:sz w:val="20"/>
          <w:szCs w:val="20"/>
          <w:color w:val="auto"/>
        </w:rPr>
      </w:pPr>
      <w:r>
        <w:rPr>
          <w:rFonts w:ascii="Arial" w:cs="Arial" w:eastAsia="Arial" w:hAnsi="Arial"/>
          <w:sz w:val="22"/>
          <w:szCs w:val="22"/>
          <w:u w:val="single" w:color="auto"/>
          <w:color w:val="auto"/>
        </w:rPr>
        <w:t>Item 7</w:t>
      </w:r>
      <w:r>
        <w:rPr>
          <w:rFonts w:ascii="Arial" w:cs="Arial" w:eastAsia="Arial" w:hAnsi="Arial"/>
          <w:sz w:val="22"/>
          <w:szCs w:val="22"/>
          <w:color w:val="auto"/>
        </w:rPr>
        <w:t>:</w:t>
      </w:r>
      <w:r>
        <w:rPr>
          <w:sz w:val="20"/>
          <w:szCs w:val="20"/>
          <w:color w:val="auto"/>
        </w:rPr>
        <w:tab/>
      </w:r>
      <w:r>
        <w:rPr>
          <w:rFonts w:ascii="Arial" w:cs="Arial" w:eastAsia="Arial" w:hAnsi="Arial"/>
          <w:sz w:val="22"/>
          <w:szCs w:val="22"/>
          <w:u w:val="single" w:color="auto"/>
          <w:color w:val="auto"/>
        </w:rPr>
        <w:t>Identification and Classification of the Subsidiary Which Acquired the Security Being Reported on By the Parent Holding Company</w:t>
      </w:r>
      <w:r>
        <w:rPr>
          <w:rFonts w:ascii="Arial" w:cs="Arial" w:eastAsia="Arial" w:hAnsi="Arial"/>
          <w:sz w:val="22"/>
          <w:szCs w:val="22"/>
          <w:color w:val="auto"/>
        </w:rPr>
        <w:t>:</w:t>
      </w:r>
    </w:p>
    <w:p>
      <w:pPr>
        <w:spacing w:after="0" w:line="160"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See Attached Exhibit 2.</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8</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Identification and Classification of Members of the Group</w:t>
      </w:r>
      <w:r>
        <w:rPr>
          <w:rFonts w:ascii="Arial" w:cs="Arial" w:eastAsia="Arial" w:hAnsi="Arial"/>
          <w:sz w:val="19"/>
          <w:szCs w:val="19"/>
          <w:color w:val="auto"/>
        </w:rPr>
        <w:t>:</w:t>
      </w:r>
    </w:p>
    <w:p>
      <w:pPr>
        <w:spacing w:after="0" w:line="193" w:lineRule="exact"/>
        <w:rPr>
          <w:sz w:val="20"/>
          <w:szCs w:val="20"/>
          <w:color w:val="auto"/>
        </w:rPr>
      </w:pPr>
    </w:p>
    <w:p>
      <w:pPr>
        <w:jc w:val="center"/>
        <w:ind w:right="6960"/>
        <w:spacing w:after="0"/>
        <w:rPr>
          <w:sz w:val="20"/>
          <w:szCs w:val="20"/>
          <w:color w:val="auto"/>
        </w:rPr>
      </w:pPr>
      <w:r>
        <w:rPr>
          <w:rFonts w:ascii="Arial" w:cs="Arial" w:eastAsia="Arial" w:hAnsi="Arial"/>
          <w:sz w:val="22"/>
          <w:szCs w:val="22"/>
          <w:color w:val="auto"/>
        </w:rPr>
        <w:t>Not Applicable.</w:t>
      </w:r>
    </w:p>
    <w:p>
      <w:pPr>
        <w:spacing w:after="0" w:line="193" w:lineRule="exact"/>
        <w:rPr>
          <w:sz w:val="20"/>
          <w:szCs w:val="20"/>
          <w:color w:val="auto"/>
        </w:rPr>
      </w:pPr>
    </w:p>
    <w:p>
      <w:pPr>
        <w:spacing w:after="0"/>
        <w:tabs>
          <w:tab w:leader="none" w:pos="1460" w:val="left"/>
        </w:tabs>
        <w:rPr>
          <w:sz w:val="20"/>
          <w:szCs w:val="20"/>
          <w:color w:val="auto"/>
        </w:rPr>
      </w:pPr>
      <w:r>
        <w:rPr>
          <w:rFonts w:ascii="Arial" w:cs="Arial" w:eastAsia="Arial" w:hAnsi="Arial"/>
          <w:sz w:val="22"/>
          <w:szCs w:val="22"/>
          <w:u w:val="single" w:color="auto"/>
          <w:color w:val="auto"/>
        </w:rPr>
        <w:t>Item 9</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Notice of Dissolution of Group</w:t>
      </w:r>
      <w:r>
        <w:rPr>
          <w:rFonts w:ascii="Arial" w:cs="Arial" w:eastAsia="Arial" w:hAnsi="Arial"/>
          <w:sz w:val="19"/>
          <w:szCs w:val="19"/>
          <w:color w:val="auto"/>
        </w:rPr>
        <w:t>:</w:t>
      </w:r>
    </w:p>
    <w:p>
      <w:pPr>
        <w:spacing w:after="0" w:line="193"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Not Applicable.</w:t>
      </w:r>
    </w:p>
    <w:p>
      <w:pPr>
        <w:sectPr>
          <w:pgSz w:w="11900" w:h="16838" w:orient="portrait"/>
          <w:cols w:equalWidth="0" w:num="1">
            <w:col w:w="11300"/>
          </w:cols>
          <w:pgMar w:left="240" w:top="267" w:right="359" w:bottom="1440" w:gutter="0" w:footer="0" w:header="0"/>
        </w:sectPr>
      </w:pPr>
    </w:p>
    <w:bookmarkStart w:id="9" w:name="page10"/>
    <w:bookmarkEnd w:id="9"/>
    <w:p>
      <w:pPr>
        <w:spacing w:after="0"/>
        <w:tabs>
          <w:tab w:leader="none" w:pos="1460" w:val="left"/>
        </w:tabs>
        <w:rPr>
          <w:sz w:val="20"/>
          <w:szCs w:val="20"/>
          <w:color w:val="auto"/>
        </w:rPr>
      </w:pPr>
      <w:r>
        <w:rPr>
          <w:rFonts w:ascii="Arial" w:cs="Arial" w:eastAsia="Arial" w:hAnsi="Arial"/>
          <w:sz w:val="22"/>
          <w:szCs w:val="22"/>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w:t>
      </w:r>
      <w:r>
        <w:rPr>
          <w:rFonts w:ascii="Arial" w:cs="Arial" w:eastAsia="Arial" w:hAnsi="Arial"/>
          <w:sz w:val="22"/>
          <w:szCs w:val="22"/>
          <w:color w:val="auto"/>
        </w:rPr>
        <w:t>:</w:t>
      </w:r>
      <w:r>
        <w:rPr>
          <w:sz w:val="20"/>
          <w:szCs w:val="20"/>
          <w:color w:val="auto"/>
        </w:rPr>
        <w:tab/>
      </w:r>
      <w:r>
        <w:rPr>
          <w:rFonts w:ascii="Arial" w:cs="Arial" w:eastAsia="Arial" w:hAnsi="Arial"/>
          <w:sz w:val="19"/>
          <w:szCs w:val="19"/>
          <w:u w:val="single" w:color="auto"/>
          <w:color w:val="auto"/>
        </w:rPr>
        <w:t>Certification</w:t>
      </w:r>
      <w:r>
        <w:rPr>
          <w:rFonts w:ascii="Arial" w:cs="Arial" w:eastAsia="Arial" w:hAnsi="Arial"/>
          <w:sz w:val="19"/>
          <w:szCs w:val="19"/>
          <w:color w:val="auto"/>
        </w:rPr>
        <w:t>:</w:t>
      </w:r>
    </w:p>
    <w:p>
      <w:pPr>
        <w:spacing w:after="0" w:line="152" w:lineRule="exact"/>
        <w:rPr>
          <w:sz w:val="20"/>
          <w:szCs w:val="20"/>
          <w:color w:val="auto"/>
        </w:rPr>
      </w:pPr>
    </w:p>
    <w:p>
      <w:pPr>
        <w:ind w:firstLine="1484"/>
        <w:spacing w:after="0" w:line="238" w:lineRule="auto"/>
        <w:rPr>
          <w:sz w:val="20"/>
          <w:szCs w:val="20"/>
          <w:color w:val="auto"/>
        </w:rPr>
      </w:pPr>
      <w:r>
        <w:rPr>
          <w:rFonts w:ascii="Arial" w:cs="Arial" w:eastAsia="Arial" w:hAnsi="Arial"/>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SIGNATURE</w:t>
      </w:r>
    </w:p>
    <w:p>
      <w:pPr>
        <w:spacing w:after="0" w:line="158"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After reasonable inquiry and to the best of my knowledge and belief, I certify that the information set forth in this statement is true, complete and correct.</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color w:val="auto"/>
        </w:rPr>
        <w:t>Dated: February 13, 2015</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Waddell &amp; Reed Financial Services, Inc.</w:t>
            </w: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760" w:type="dxa"/>
            <w:vAlign w:val="bottom"/>
            <w:gridSpan w:val="3"/>
          </w:tcPr>
          <w:p>
            <w:pPr>
              <w:ind w:left="122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Title: Attorney-In-Fact</w:t>
            </w:r>
          </w:p>
        </w:tc>
      </w:tr>
      <w:tr>
        <w:trPr>
          <w:trHeight w:val="675"/>
        </w:trPr>
        <w:tc>
          <w:tcPr>
            <w:tcW w:w="460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w w:val="89"/>
              </w:rPr>
              <w:t>Waddell &amp; Reed Investment Management Company</w:t>
            </w: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By: /s/ Kristen A. Richards</w:t>
            </w: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5760" w:type="dxa"/>
            <w:vAlign w:val="bottom"/>
            <w:gridSpan w:val="3"/>
          </w:tcPr>
          <w:p>
            <w:pPr>
              <w:ind w:left="1220"/>
              <w:spacing w:after="0" w:line="242" w:lineRule="exact"/>
              <w:rPr>
                <w:sz w:val="20"/>
                <w:szCs w:val="20"/>
                <w:color w:val="auto"/>
              </w:rPr>
            </w:pPr>
            <w:r>
              <w:rPr>
                <w:rFonts w:ascii="Arial" w:cs="Arial" w:eastAsia="Arial" w:hAnsi="Arial"/>
                <w:sz w:val="22"/>
                <w:szCs w:val="22"/>
                <w:color w:val="auto"/>
              </w:rPr>
              <w:t>Name: Kristen A. Richards</w:t>
            </w: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760" w:type="dxa"/>
            <w:vAlign w:val="bottom"/>
            <w:gridSpan w:val="3"/>
          </w:tcPr>
          <w:p>
            <w:pPr>
              <w:ind w:left="1220"/>
              <w:spacing w:after="0"/>
              <w:rPr>
                <w:sz w:val="20"/>
                <w:szCs w:val="20"/>
                <w:color w:val="auto"/>
              </w:rPr>
            </w:pPr>
            <w:r>
              <w:rPr>
                <w:rFonts w:ascii="Arial" w:cs="Arial" w:eastAsia="Arial" w:hAnsi="Arial"/>
                <w:sz w:val="22"/>
                <w:szCs w:val="22"/>
                <w:color w:val="auto"/>
              </w:rPr>
              <w:t>Title: Attorney-In-Fact</w:t>
            </w:r>
          </w:p>
        </w:tc>
      </w:tr>
      <w:tr>
        <w:trPr>
          <w:trHeight w:val="675"/>
        </w:trPr>
        <w:tc>
          <w:tcPr>
            <w:tcW w:w="460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625"/>
        </w:trPr>
        <w:tc>
          <w:tcPr>
            <w:tcW w:w="4600" w:type="dxa"/>
            <w:vAlign w:val="bottom"/>
            <w:gridSpan w:val="3"/>
          </w:tcPr>
          <w:p>
            <w:pPr>
              <w:spacing w:after="0"/>
              <w:rPr>
                <w:sz w:val="20"/>
                <w:szCs w:val="20"/>
                <w:color w:val="auto"/>
              </w:rPr>
            </w:pPr>
            <w:r>
              <w:rPr>
                <w:rFonts w:ascii="Arial" w:cs="Arial" w:eastAsia="Arial" w:hAnsi="Arial"/>
                <w:sz w:val="22"/>
                <w:szCs w:val="22"/>
                <w:color w:val="auto"/>
              </w:rPr>
              <w:t>By: /s/ Kristen A. Richards</w:t>
            </w:r>
          </w:p>
        </w:tc>
        <w:tc>
          <w:tcPr>
            <w:tcW w:w="16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r>
      <w:tr>
        <w:trPr>
          <w:trHeight w:val="242"/>
        </w:trPr>
        <w:tc>
          <w:tcPr>
            <w:tcW w:w="4600" w:type="dxa"/>
            <w:vAlign w:val="bottom"/>
            <w:gridSpan w:val="3"/>
          </w:tcPr>
          <w:p>
            <w:pPr>
              <w:spacing w:after="0" w:line="242" w:lineRule="exact"/>
              <w:rPr>
                <w:sz w:val="20"/>
                <w:szCs w:val="20"/>
                <w:color w:val="auto"/>
              </w:rPr>
            </w:pPr>
            <w:r>
              <w:rPr>
                <w:rFonts w:ascii="Arial" w:cs="Arial" w:eastAsia="Arial" w:hAnsi="Arial"/>
                <w:sz w:val="22"/>
                <w:szCs w:val="22"/>
                <w:color w:val="auto"/>
              </w:rPr>
              <w:t>Name: Kristen A. Richards</w:t>
            </w:r>
          </w:p>
        </w:tc>
        <w:tc>
          <w:tcPr>
            <w:tcW w:w="160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2180" w:type="dxa"/>
            <w:vAlign w:val="bottom"/>
          </w:tcPr>
          <w:p>
            <w:pPr>
              <w:spacing w:after="0"/>
              <w:rPr>
                <w:sz w:val="21"/>
                <w:szCs w:val="21"/>
                <w:color w:val="auto"/>
              </w:rPr>
            </w:pPr>
          </w:p>
        </w:tc>
      </w:tr>
      <w:tr>
        <w:trPr>
          <w:trHeight w:val="275"/>
        </w:trPr>
        <w:tc>
          <w:tcPr>
            <w:tcW w:w="460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600" w:type="dxa"/>
            <w:vAlign w:val="bottom"/>
          </w:tcPr>
          <w:p>
            <w:pPr>
              <w:spacing w:after="0"/>
              <w:rPr>
                <w:sz w:val="23"/>
                <w:szCs w:val="23"/>
                <w:color w:val="auto"/>
              </w:rPr>
            </w:pPr>
          </w:p>
        </w:tc>
        <w:tc>
          <w:tcPr>
            <w:tcW w:w="1980" w:type="dxa"/>
            <w:vAlign w:val="bottom"/>
          </w:tcPr>
          <w:p>
            <w:pPr>
              <w:spacing w:after="0"/>
              <w:rPr>
                <w:sz w:val="23"/>
                <w:szCs w:val="23"/>
                <w:color w:val="auto"/>
              </w:rPr>
            </w:pPr>
          </w:p>
        </w:tc>
        <w:tc>
          <w:tcPr>
            <w:tcW w:w="2180" w:type="dxa"/>
            <w:vAlign w:val="bottom"/>
          </w:tcPr>
          <w:p>
            <w:pPr>
              <w:spacing w:after="0"/>
              <w:rPr>
                <w:sz w:val="23"/>
                <w:szCs w:val="23"/>
                <w:color w:val="auto"/>
              </w:rPr>
            </w:pPr>
          </w:p>
        </w:tc>
      </w:tr>
    </w:tbl>
    <w:p>
      <w:pPr>
        <w:sectPr>
          <w:pgSz w:w="11900" w:h="16838" w:orient="portrait"/>
          <w:cols w:equalWidth="0" w:num="1">
            <w:col w:w="11360"/>
          </w:cols>
          <w:pgMar w:left="240" w:top="267" w:right="299" w:bottom="1440" w:gutter="0" w:footer="0" w:header="0"/>
        </w:sectPr>
      </w:pPr>
    </w:p>
    <w:bookmarkStart w:id="10" w:name="page11"/>
    <w:bookmarkEnd w:id="10"/>
    <w:p>
      <w:pPr>
        <w:jc w:val="center"/>
        <w:ind w:right="-2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Exhibit</w:t>
      </w:r>
    </w:p>
    <w:p>
      <w:pPr>
        <w:spacing w:after="0" w:line="8" w:lineRule="exact"/>
        <w:rPr>
          <w:sz w:val="20"/>
          <w:szCs w:val="20"/>
          <w:color w:val="auto"/>
        </w:rPr>
      </w:pPr>
    </w:p>
    <w:p>
      <w:pPr>
        <w:ind w:left="160"/>
        <w:spacing w:after="0"/>
        <w:tabs>
          <w:tab w:leader="none" w:pos="1380" w:val="left"/>
        </w:tabs>
        <w:rPr>
          <w:sz w:val="20"/>
          <w:szCs w:val="20"/>
          <w:color w:val="auto"/>
        </w:rPr>
      </w:pPr>
      <w:r>
        <w:rPr>
          <w:rFonts w:ascii="Arial" w:cs="Arial" w:eastAsia="Arial" w:hAnsi="Arial"/>
          <w:sz w:val="22"/>
          <w:szCs w:val="22"/>
          <w:color w:val="auto"/>
        </w:rPr>
        <w:t>No.</w:t>
      </w:r>
      <w:r>
        <w:rPr>
          <w:sz w:val="20"/>
          <w:szCs w:val="20"/>
          <w:color w:val="auto"/>
        </w:rPr>
        <w:tab/>
      </w:r>
      <w:r>
        <w:rPr>
          <w:rFonts w:ascii="Arial" w:cs="Arial" w:eastAsia="Arial" w:hAnsi="Arial"/>
          <w:sz w:val="22"/>
          <w:szCs w:val="22"/>
          <w:color w:val="auto"/>
        </w:rPr>
        <w:t>Description</w:t>
      </w:r>
    </w:p>
    <w:p>
      <w:pPr>
        <w:spacing w:after="0" w:line="188" w:lineRule="exact"/>
        <w:rPr>
          <w:sz w:val="20"/>
          <w:szCs w:val="20"/>
          <w:color w:val="auto"/>
        </w:rPr>
      </w:pPr>
    </w:p>
    <w:p>
      <w:pPr>
        <w:ind w:left="1400" w:hanging="1142"/>
        <w:spacing w:after="0"/>
        <w:tabs>
          <w:tab w:leader="none" w:pos="14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Joint Filing Agreement</w:t>
      </w:r>
    </w:p>
    <w:p>
      <w:pPr>
        <w:spacing w:after="0" w:line="206" w:lineRule="exact"/>
        <w:rPr>
          <w:sz w:val="20"/>
          <w:szCs w:val="20"/>
          <w:color w:val="auto"/>
        </w:rPr>
      </w:pPr>
    </w:p>
    <w:p>
      <w:pPr>
        <w:ind w:left="1400" w:hanging="1142"/>
        <w:spacing w:after="0" w:line="251" w:lineRule="auto"/>
        <w:tabs>
          <w:tab w:leader="none" w:pos="1400" w:val="left"/>
        </w:tabs>
        <w:numPr>
          <w:ilvl w:val="0"/>
          <w:numId w:val="16"/>
        </w:numPr>
        <w:rPr>
          <w:rFonts w:ascii="Arial" w:cs="Arial" w:eastAsia="Arial" w:hAnsi="Arial"/>
          <w:sz w:val="22"/>
          <w:szCs w:val="22"/>
          <w:color w:val="auto"/>
        </w:rPr>
      </w:pPr>
      <w:r>
        <w:rPr>
          <w:rFonts w:ascii="Arial" w:cs="Arial" w:eastAsia="Arial" w:hAnsi="Arial"/>
          <w:sz w:val="22"/>
          <w:szCs w:val="22"/>
          <w:color w:val="auto"/>
        </w:rPr>
        <w:t>Identification and Classification of the Subsidiary Which Acquired the Security Being Reported on by the Parent Holding Company</w:t>
      </w:r>
    </w:p>
    <w:p>
      <w:pPr>
        <w:spacing w:after="0" w:line="173" w:lineRule="exact"/>
        <w:rPr>
          <w:sz w:val="20"/>
          <w:szCs w:val="20"/>
          <w:color w:val="auto"/>
        </w:rPr>
      </w:pPr>
    </w:p>
    <w:p>
      <w:pPr>
        <w:ind w:left="1400" w:hanging="1142"/>
        <w:spacing w:after="0"/>
        <w:tabs>
          <w:tab w:leader="none" w:pos="1400" w:val="left"/>
        </w:tabs>
        <w:numPr>
          <w:ilvl w:val="0"/>
          <w:numId w:val="17"/>
        </w:numPr>
        <w:rPr>
          <w:rFonts w:ascii="Arial" w:cs="Arial" w:eastAsia="Arial" w:hAnsi="Arial"/>
          <w:sz w:val="22"/>
          <w:szCs w:val="22"/>
          <w:color w:val="auto"/>
        </w:rPr>
      </w:pPr>
      <w:r>
        <w:rPr>
          <w:rFonts w:ascii="Arial" w:cs="Arial" w:eastAsia="Arial" w:hAnsi="Arial"/>
          <w:sz w:val="22"/>
          <w:szCs w:val="22"/>
          <w:color w:val="auto"/>
        </w:rPr>
        <w:t>Power of Attorney</w:t>
      </w:r>
    </w:p>
    <w:p>
      <w:pPr>
        <w:sectPr>
          <w:pgSz w:w="11900" w:h="16838" w:orient="portrait"/>
          <w:cols w:equalWidth="0" w:num="1">
            <w:col w:w="11160"/>
          </w:cols>
          <w:pgMar w:left="260" w:top="267" w:right="479" w:bottom="1440" w:gutter="0" w:footer="0" w:header="0"/>
        </w:sectPr>
      </w:pPr>
    </w:p>
    <w:bookmarkStart w:id="11" w:name="page12"/>
    <w:bookmarkEnd w:id="11"/>
    <w:p>
      <w:pPr>
        <w:jc w:val="center"/>
        <w:ind w:right="-79"/>
        <w:spacing w:after="0"/>
        <w:rPr>
          <w:sz w:val="20"/>
          <w:szCs w:val="20"/>
          <w:color w:val="auto"/>
        </w:rPr>
      </w:pPr>
      <w:r>
        <w:rPr>
          <w:rFonts w:ascii="Arial" w:cs="Arial" w:eastAsia="Arial" w:hAnsi="Arial"/>
          <w:sz w:val="22"/>
          <w:szCs w:val="22"/>
          <w:u w:val="single" w:color="auto"/>
          <w:color w:val="auto"/>
        </w:rPr>
        <w:t>EXHIBIT 1</w:t>
      </w:r>
    </w:p>
    <w:p>
      <w:pPr>
        <w:spacing w:after="0" w:line="153"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JOINT FILING AGREEMENT</w:t>
      </w:r>
    </w:p>
    <w:p>
      <w:pPr>
        <w:spacing w:after="0" w:line="152"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Waddell &amp; Reed Financial, Inc., Waddell &amp; Reed Financial Services, Inc., Waddell &amp; Reed, Inc., Waddell &amp; Reed Investment Management Company and Ivy Investment Management Company (the “Filing Persons”), hereby agree to file jointly a Schedule 13G and any amendments thereto relating to the aggregate ownership by each of the Filing Persons of any voting equity security of a class which is registered pursuant to Section 12 of the Securities Exchange Act of 1934, as amended, as required by Rule 13d-1 and Rule 13d-2 promulgated under the Securities Exchange Act of 1934. Each of the Filing Persons agrees that the information set forth in such Schedule 13G and any amendments thereto with respect to such Filing Person will be true, complete and correct as of the date of such Schedule 13G or such amendment, to the best of such Filing Person’s knowledge and belief, after reasonable inquiry. Each of the Filing Persons makes no representations as to the accuracy or adequacy of the information set forth in the Schedule 13G or any amendments thereto with respect to any other Filing Person. Each of the Filing Persons shall promptly notify the other Filing Persons if any of the information set forth in the Schedule 13G or any amendments thereto shall become inaccurate in any material respect or if said person learns of information that would require an amendment to the Schedule 13G.</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22"/>
          <w:szCs w:val="22"/>
          <w:color w:val="auto"/>
        </w:rPr>
        <w:t>IN WITNESS WHEREOF, the undersigned have set their hands this 2</w:t>
      </w:r>
      <w:r>
        <w:rPr>
          <w:rFonts w:ascii="Arial" w:cs="Arial" w:eastAsia="Arial" w:hAnsi="Arial"/>
          <w:sz w:val="11"/>
          <w:szCs w:val="11"/>
          <w:color w:val="auto"/>
        </w:rPr>
        <w:t>nd</w:t>
      </w:r>
      <w:r>
        <w:rPr>
          <w:rFonts w:ascii="Arial" w:cs="Arial" w:eastAsia="Arial" w:hAnsi="Arial"/>
          <w:sz w:val="22"/>
          <w:szCs w:val="22"/>
          <w:color w:val="auto"/>
        </w:rPr>
        <w:t xml:space="preserve"> day of February, 2007.</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Financial,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Waddell &amp; Reed Financial Services, Inc.</w:t>
            </w: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Vice President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675"/>
        </w:trPr>
        <w:tc>
          <w:tcPr>
            <w:tcW w:w="4720" w:type="dxa"/>
            <w:vAlign w:val="bottom"/>
            <w:gridSpan w:val="3"/>
          </w:tcPr>
          <w:p>
            <w:pPr>
              <w:spacing w:after="0"/>
              <w:rPr>
                <w:sz w:val="20"/>
                <w:szCs w:val="20"/>
                <w:color w:val="auto"/>
              </w:rPr>
            </w:pPr>
            <w:r>
              <w:rPr>
                <w:rFonts w:ascii="Arial" w:cs="Arial" w:eastAsia="Arial" w:hAnsi="Arial"/>
                <w:sz w:val="22"/>
                <w:szCs w:val="22"/>
                <w:color w:val="auto"/>
              </w:rPr>
              <w:t>Waddell &amp; Reed, Inc.</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w w:val="88"/>
              </w:rPr>
              <w:t>Waddell &amp; Reed Investment Management Company</w:t>
            </w: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By: /s/ Wendy J. Hills</w:t>
            </w: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5860" w:type="dxa"/>
            <w:vAlign w:val="bottom"/>
            <w:gridSpan w:val="3"/>
          </w:tcPr>
          <w:p>
            <w:pPr>
              <w:ind w:left="1340"/>
              <w:spacing w:after="0" w:line="242" w:lineRule="exact"/>
              <w:rPr>
                <w:sz w:val="20"/>
                <w:szCs w:val="20"/>
                <w:color w:val="auto"/>
              </w:rPr>
            </w:pPr>
            <w:r>
              <w:rPr>
                <w:rFonts w:ascii="Arial" w:cs="Arial" w:eastAsia="Arial" w:hAnsi="Arial"/>
                <w:sz w:val="22"/>
                <w:szCs w:val="22"/>
                <w:color w:val="auto"/>
              </w:rPr>
              <w:t>Name: Wendy J. Hills</w:t>
            </w: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5860" w:type="dxa"/>
            <w:vAlign w:val="bottom"/>
            <w:gridSpan w:val="3"/>
          </w:tcPr>
          <w:p>
            <w:pPr>
              <w:ind w:left="1340"/>
              <w:spacing w:after="0"/>
              <w:rPr>
                <w:sz w:val="20"/>
                <w:szCs w:val="20"/>
                <w:color w:val="auto"/>
              </w:rPr>
            </w:pPr>
            <w:r>
              <w:rPr>
                <w:rFonts w:ascii="Arial" w:cs="Arial" w:eastAsia="Arial" w:hAnsi="Arial"/>
                <w:sz w:val="22"/>
                <w:szCs w:val="22"/>
                <w:color w:val="auto"/>
              </w:rPr>
              <w:t>Title: Attorney-In-Fact</w:t>
            </w:r>
          </w:p>
        </w:tc>
      </w:tr>
      <w:tr>
        <w:trPr>
          <w:trHeight w:val="675"/>
        </w:trPr>
        <w:tc>
          <w:tcPr>
            <w:tcW w:w="4720" w:type="dxa"/>
            <w:vAlign w:val="bottom"/>
            <w:gridSpan w:val="3"/>
          </w:tcPr>
          <w:p>
            <w:pPr>
              <w:spacing w:after="0"/>
              <w:rPr>
                <w:sz w:val="20"/>
                <w:szCs w:val="20"/>
                <w:color w:val="auto"/>
              </w:rPr>
            </w:pPr>
            <w:r>
              <w:rPr>
                <w:rFonts w:ascii="Arial" w:cs="Arial" w:eastAsia="Arial" w:hAnsi="Arial"/>
                <w:sz w:val="22"/>
                <w:szCs w:val="22"/>
                <w:color w:val="auto"/>
              </w:rPr>
              <w:t>Ivy Investment Management Company</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409"/>
        </w:trPr>
        <w:tc>
          <w:tcPr>
            <w:tcW w:w="4720" w:type="dxa"/>
            <w:vAlign w:val="bottom"/>
            <w:gridSpan w:val="3"/>
          </w:tcPr>
          <w:p>
            <w:pPr>
              <w:spacing w:after="0"/>
              <w:rPr>
                <w:sz w:val="20"/>
                <w:szCs w:val="20"/>
                <w:color w:val="auto"/>
              </w:rPr>
            </w:pPr>
            <w:r>
              <w:rPr>
                <w:rFonts w:ascii="Arial" w:cs="Arial" w:eastAsia="Arial" w:hAnsi="Arial"/>
                <w:sz w:val="22"/>
                <w:szCs w:val="22"/>
                <w:color w:val="auto"/>
              </w:rPr>
              <w:t>By: /s/ Wendy J. Hills</w:t>
            </w:r>
          </w:p>
        </w:tc>
        <w:tc>
          <w:tcPr>
            <w:tcW w:w="17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620" w:type="dxa"/>
            <w:vAlign w:val="bottom"/>
          </w:tcPr>
          <w:p>
            <w:pPr>
              <w:spacing w:after="0"/>
              <w:rPr>
                <w:sz w:val="24"/>
                <w:szCs w:val="24"/>
                <w:color w:val="auto"/>
              </w:rPr>
            </w:pPr>
          </w:p>
        </w:tc>
      </w:tr>
      <w:tr>
        <w:trPr>
          <w:trHeight w:val="20"/>
        </w:trPr>
        <w:tc>
          <w:tcPr>
            <w:tcW w:w="38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242"/>
        </w:trPr>
        <w:tc>
          <w:tcPr>
            <w:tcW w:w="4720" w:type="dxa"/>
            <w:vAlign w:val="bottom"/>
            <w:gridSpan w:val="3"/>
          </w:tcPr>
          <w:p>
            <w:pPr>
              <w:spacing w:after="0" w:line="242" w:lineRule="exact"/>
              <w:rPr>
                <w:sz w:val="20"/>
                <w:szCs w:val="20"/>
                <w:color w:val="auto"/>
              </w:rPr>
            </w:pPr>
            <w:r>
              <w:rPr>
                <w:rFonts w:ascii="Arial" w:cs="Arial" w:eastAsia="Arial" w:hAnsi="Arial"/>
                <w:sz w:val="22"/>
                <w:szCs w:val="22"/>
                <w:color w:val="auto"/>
              </w:rPr>
              <w:t>Name: Wendy J. Hills</w:t>
            </w:r>
          </w:p>
        </w:tc>
        <w:tc>
          <w:tcPr>
            <w:tcW w:w="17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620" w:type="dxa"/>
            <w:vAlign w:val="bottom"/>
          </w:tcPr>
          <w:p>
            <w:pPr>
              <w:spacing w:after="0"/>
              <w:rPr>
                <w:sz w:val="21"/>
                <w:szCs w:val="21"/>
                <w:color w:val="auto"/>
              </w:rPr>
            </w:pPr>
          </w:p>
        </w:tc>
      </w:tr>
      <w:tr>
        <w:trPr>
          <w:trHeight w:val="275"/>
        </w:trPr>
        <w:tc>
          <w:tcPr>
            <w:tcW w:w="4720" w:type="dxa"/>
            <w:vAlign w:val="bottom"/>
            <w:gridSpan w:val="3"/>
          </w:tcPr>
          <w:p>
            <w:pPr>
              <w:spacing w:after="0"/>
              <w:rPr>
                <w:sz w:val="20"/>
                <w:szCs w:val="20"/>
                <w:color w:val="auto"/>
              </w:rPr>
            </w:pPr>
            <w:r>
              <w:rPr>
                <w:rFonts w:ascii="Arial" w:cs="Arial" w:eastAsia="Arial" w:hAnsi="Arial"/>
                <w:sz w:val="22"/>
                <w:szCs w:val="22"/>
                <w:color w:val="auto"/>
              </w:rPr>
              <w:t>Title: Attorney-In-Fact</w:t>
            </w:r>
          </w:p>
        </w:tc>
        <w:tc>
          <w:tcPr>
            <w:tcW w:w="17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2620" w:type="dxa"/>
            <w:vAlign w:val="bottom"/>
          </w:tcPr>
          <w:p>
            <w:pPr>
              <w:spacing w:after="0"/>
              <w:rPr>
                <w:sz w:val="23"/>
                <w:szCs w:val="23"/>
                <w:color w:val="auto"/>
              </w:rPr>
            </w:pPr>
          </w:p>
        </w:tc>
      </w:tr>
    </w:tbl>
    <w:p>
      <w:pPr>
        <w:sectPr>
          <w:pgSz w:w="11900" w:h="16838" w:orient="portrait"/>
          <w:cols w:equalWidth="0" w:num="1">
            <w:col w:w="11340"/>
          </w:cols>
          <w:pgMar w:left="240" w:top="118" w:right="319" w:bottom="1440" w:gutter="0" w:footer="0" w:header="0"/>
        </w:sectPr>
      </w:pPr>
    </w:p>
    <w:bookmarkStart w:id="12" w:name="page13"/>
    <w:bookmarkEnd w:id="12"/>
    <w:p>
      <w:pPr>
        <w:ind w:left="5200"/>
        <w:spacing w:after="0"/>
        <w:rPr>
          <w:sz w:val="20"/>
          <w:szCs w:val="20"/>
          <w:color w:val="auto"/>
        </w:rPr>
      </w:pPr>
      <w:r>
        <w:rPr>
          <w:rFonts w:ascii="Arial" w:cs="Arial" w:eastAsia="Arial" w:hAnsi="Arial"/>
          <w:sz w:val="22"/>
          <w:szCs w:val="22"/>
          <w:u w:val="single" w:color="auto"/>
          <w:color w:val="auto"/>
        </w:rPr>
        <w:t>EXHIBIT 2</w:t>
      </w:r>
    </w:p>
    <w:p>
      <w:pPr>
        <w:spacing w:after="0" w:line="153" w:lineRule="exact"/>
        <w:rPr>
          <w:sz w:val="20"/>
          <w:szCs w:val="20"/>
          <w:color w:val="auto"/>
        </w:rPr>
      </w:pPr>
    </w:p>
    <w:p>
      <w:pPr>
        <w:spacing w:after="0"/>
        <w:rPr>
          <w:sz w:val="20"/>
          <w:szCs w:val="20"/>
          <w:color w:val="auto"/>
        </w:rPr>
      </w:pPr>
      <w:r>
        <w:rPr>
          <w:rFonts w:ascii="Arial" w:cs="Arial" w:eastAsia="Arial" w:hAnsi="Arial"/>
          <w:sz w:val="22"/>
          <w:szCs w:val="22"/>
          <w:color w:val="auto"/>
        </w:rPr>
        <w:t>Waddell &amp; Reed Investment Management Company - Tax ID No. 48-1106973</w:t>
      </w:r>
    </w:p>
    <w:p>
      <w:pPr>
        <w:spacing w:after="0" w:line="152" w:lineRule="exact"/>
        <w:rPr>
          <w:sz w:val="20"/>
          <w:szCs w:val="20"/>
          <w:color w:val="auto"/>
        </w:rPr>
      </w:pPr>
    </w:p>
    <w:p>
      <w:pPr>
        <w:ind w:right="1679" w:firstLine="799"/>
        <w:spacing w:after="0" w:line="384" w:lineRule="auto"/>
        <w:rPr>
          <w:sz w:val="20"/>
          <w:szCs w:val="20"/>
          <w:color w:val="auto"/>
        </w:rPr>
      </w:pPr>
      <w:r>
        <w:rPr>
          <w:rFonts w:ascii="Arial" w:cs="Arial" w:eastAsia="Arial" w:hAnsi="Arial"/>
          <w:sz w:val="22"/>
          <w:szCs w:val="22"/>
          <w:color w:val="auto"/>
        </w:rPr>
        <w:t>Investment Advisor registered under Section 203 of the Investment Advisors Act of 1940 Ivy Investment Management Company - Tax ID No. 03-0481447</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19"/>
          <w:szCs w:val="19"/>
          <w:color w:val="auto"/>
        </w:rPr>
        <w:t>Investment Advisor registered under Section 203 of the Investment Advisors Act of 1940</w:t>
      </w:r>
    </w:p>
    <w:p>
      <w:pPr>
        <w:sectPr>
          <w:pgSz w:w="11900" w:h="16838" w:orient="portrait"/>
          <w:cols w:equalWidth="0" w:num="1">
            <w:col w:w="10219"/>
          </w:cols>
          <w:pgMar w:left="240" w:top="118" w:right="1440" w:bottom="1440" w:gutter="0" w:footer="0" w:header="0"/>
        </w:sectPr>
      </w:pPr>
    </w:p>
    <w:bookmarkStart w:id="13" w:name="page14"/>
    <w:bookmarkEnd w:id="13"/>
    <w:p>
      <w:pPr>
        <w:ind w:left="5200"/>
        <w:spacing w:after="0"/>
        <w:rPr>
          <w:sz w:val="20"/>
          <w:szCs w:val="20"/>
          <w:color w:val="auto"/>
        </w:rPr>
      </w:pPr>
      <w:r>
        <w:rPr>
          <w:rFonts w:ascii="Arial" w:cs="Arial" w:eastAsia="Arial" w:hAnsi="Arial"/>
          <w:sz w:val="22"/>
          <w:szCs w:val="22"/>
          <w:u w:val="single" w:color="auto"/>
          <w:color w:val="auto"/>
        </w:rPr>
        <w:t>EXHIBIT 3</w:t>
      </w:r>
    </w:p>
    <w:p>
      <w:pPr>
        <w:spacing w:after="0" w:line="147"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77"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 undersigned, Waddell &amp; Reed Financial,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ind w:right="260"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Financial,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60"/>
          </w:cols>
          <w:pgMar w:left="240" w:top="118" w:right="299" w:bottom="1440" w:gutter="0" w:footer="0" w:header="0"/>
        </w:sectPr>
      </w:pPr>
    </w:p>
    <w:bookmarkStart w:id="14" w:name="page15"/>
    <w:bookmarkEnd w:id="14"/>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 undersigned, Waddell &amp; Reed Financial Services,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ind w:right="260"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Financial Services,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60"/>
          </w:cols>
          <w:pgMar w:left="240" w:top="261" w:right="299" w:bottom="1440" w:gutter="0" w:footer="0" w:header="0"/>
        </w:sectPr>
      </w:pPr>
    </w:p>
    <w:bookmarkStart w:id="15" w:name="page16"/>
    <w:bookmarkEnd w:id="15"/>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 undersigned, Waddell &amp; Reed, Inc.,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ind w:right="240"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President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Inc.</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Thomas W. Butch</w:t>
      </w:r>
    </w:p>
    <w:p>
      <w:pPr>
        <w:ind w:left="6400"/>
        <w:spacing w:after="0" w:line="238" w:lineRule="auto"/>
        <w:rPr>
          <w:sz w:val="20"/>
          <w:szCs w:val="20"/>
          <w:color w:val="auto"/>
        </w:rPr>
      </w:pPr>
      <w:r>
        <w:rPr>
          <w:rFonts w:ascii="Arial" w:cs="Arial" w:eastAsia="Arial" w:hAnsi="Arial"/>
          <w:sz w:val="22"/>
          <w:szCs w:val="22"/>
          <w:color w:val="auto"/>
        </w:rPr>
        <w:t>Thomas W. Butch</w:t>
      </w:r>
    </w:p>
    <w:p>
      <w:pPr>
        <w:ind w:left="6400"/>
        <w:spacing w:after="0"/>
        <w:rPr>
          <w:sz w:val="20"/>
          <w:szCs w:val="20"/>
          <w:color w:val="auto"/>
        </w:rPr>
      </w:pPr>
      <w:r>
        <w:rPr>
          <w:rFonts w:ascii="Arial" w:cs="Arial" w:eastAsia="Arial" w:hAnsi="Arial"/>
          <w:sz w:val="22"/>
          <w:szCs w:val="22"/>
          <w:color w:val="auto"/>
        </w:rPr>
        <w:t>President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340"/>
          </w:cols>
          <w:pgMar w:left="240" w:top="261" w:right="319" w:bottom="1440" w:gutter="0" w:footer="0" w:header="0"/>
        </w:sectPr>
      </w:pPr>
    </w:p>
    <w:bookmarkStart w:id="16" w:name="page17"/>
    <w:bookmarkEnd w:id="16"/>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r>
        <w:rPr>
          <w:rFonts w:ascii="Arial" w:cs="Arial" w:eastAsia="Arial" w:hAnsi="Arial"/>
          <w:sz w:val="22"/>
          <w:szCs w:val="22"/>
          <w:color w:val="auto"/>
        </w:rPr>
        <w:t>:</w:t>
      </w:r>
    </w:p>
    <w:p>
      <w:pPr>
        <w:spacing w:after="0" w:line="158" w:lineRule="exact"/>
        <w:rPr>
          <w:sz w:val="20"/>
          <w:szCs w:val="20"/>
          <w:color w:val="auto"/>
        </w:rPr>
      </w:pPr>
    </w:p>
    <w:p>
      <w:pPr>
        <w:ind w:firstLine="571"/>
        <w:spacing w:after="0" w:line="273" w:lineRule="auto"/>
        <w:rPr>
          <w:sz w:val="20"/>
          <w:szCs w:val="20"/>
          <w:color w:val="auto"/>
        </w:rPr>
      </w:pPr>
      <w:r>
        <w:rPr>
          <w:rFonts w:ascii="Arial" w:cs="Arial" w:eastAsia="Arial" w:hAnsi="Arial"/>
          <w:sz w:val="19"/>
          <w:szCs w:val="19"/>
          <w:color w:val="auto"/>
        </w:rPr>
        <w:t>The undersigned, Waddell &amp; Reed Investment Management Company, a corporation organized and existing under the laws of the State of Kansas,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each and every act and thing requisite and necessary to be done that all said attorneys-in-fact and agents or any of them or their substitute or substitutes may lawfully do or cause to be done by virtue hereof.</w:t>
      </w:r>
    </w:p>
    <w:p>
      <w:pPr>
        <w:spacing w:after="0" w:line="102" w:lineRule="exact"/>
        <w:rPr>
          <w:sz w:val="20"/>
          <w:szCs w:val="20"/>
          <w:color w:val="auto"/>
        </w:rPr>
      </w:pPr>
    </w:p>
    <w:p>
      <w:pPr>
        <w:ind w:right="300" w:firstLine="571"/>
        <w:spacing w:after="0" w:line="256"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corporation has caused this power of attorney to be executed in its corporate name by its</w:t>
      </w:r>
      <w:r>
        <w:rPr>
          <w:rFonts w:ascii="Arial" w:cs="Arial" w:eastAsia="Arial" w:hAnsi="Arial"/>
          <w:sz w:val="22"/>
          <w:szCs w:val="22"/>
          <w:b w:val="1"/>
          <w:bCs w:val="1"/>
          <w:color w:val="auto"/>
        </w:rPr>
        <w:t xml:space="preserve"> </w:t>
      </w:r>
      <w:r>
        <w:rPr>
          <w:rFonts w:ascii="Arial" w:cs="Arial" w:eastAsia="Arial" w:hAnsi="Arial"/>
          <w:sz w:val="22"/>
          <w:szCs w:val="22"/>
          <w:color w:val="auto"/>
        </w:rPr>
        <w:t>Chief Executive Officer and its Secretary on this 11</w:t>
      </w:r>
      <w:r>
        <w:rPr>
          <w:rFonts w:ascii="Arial" w:cs="Arial" w:eastAsia="Arial" w:hAnsi="Arial"/>
          <w:sz w:val="11"/>
          <w:szCs w:val="11"/>
          <w:color w:val="auto"/>
        </w:rPr>
        <w:t>th</w:t>
      </w:r>
      <w:r>
        <w:rPr>
          <w:rFonts w:ascii="Arial" w:cs="Arial" w:eastAsia="Arial" w:hAnsi="Arial"/>
          <w:sz w:val="22"/>
          <w:szCs w:val="22"/>
          <w:color w:val="auto"/>
        </w:rPr>
        <w:t xml:space="preserve"> day of November, 2010.</w:t>
      </w:r>
    </w:p>
    <w:p>
      <w:pPr>
        <w:spacing w:after="0" w:line="200" w:lineRule="exact"/>
        <w:rPr>
          <w:sz w:val="20"/>
          <w:szCs w:val="20"/>
          <w:color w:val="auto"/>
        </w:rPr>
      </w:pPr>
    </w:p>
    <w:p>
      <w:pPr>
        <w:spacing w:after="0" w:line="36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Waddell &amp; Reed Investment Management Company</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p>
      <w:pPr>
        <w:sectPr>
          <w:pgSz w:w="11900" w:h="16838" w:orient="portrait"/>
          <w:cols w:equalWidth="0" w:num="1">
            <w:col w:w="11400"/>
          </w:cols>
          <w:pgMar w:left="240" w:top="261" w:right="259" w:bottom="1440" w:gutter="0" w:footer="0" w:header="0"/>
        </w:sectPr>
      </w:pPr>
    </w:p>
    <w:bookmarkStart w:id="17" w:name="page18"/>
    <w:bookmarkEnd w:id="17"/>
    <w:p>
      <w:pPr>
        <w:ind w:left="450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POWER OF ATTORNEY</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KNOW ALL MEN BY THESE PRESENTS, THAT:</w:t>
      </w:r>
    </w:p>
    <w:p>
      <w:pPr>
        <w:spacing w:after="0" w:line="158" w:lineRule="exact"/>
        <w:rPr>
          <w:sz w:val="20"/>
          <w:szCs w:val="20"/>
          <w:color w:val="auto"/>
        </w:rPr>
      </w:pPr>
    </w:p>
    <w:p>
      <w:pPr>
        <w:ind w:firstLine="571"/>
        <w:spacing w:after="0" w:line="245" w:lineRule="auto"/>
        <w:rPr>
          <w:sz w:val="20"/>
          <w:szCs w:val="20"/>
          <w:color w:val="auto"/>
        </w:rPr>
      </w:pPr>
      <w:r>
        <w:rPr>
          <w:rFonts w:ascii="Arial" w:cs="Arial" w:eastAsia="Arial" w:hAnsi="Arial"/>
          <w:sz w:val="21"/>
          <w:szCs w:val="21"/>
          <w:color w:val="auto"/>
        </w:rPr>
        <w:t>The undersigned, Ivy Investment Management Company, a corporation organized and existing under the laws of the State of Delaware, constitutes and appoints Adlynn K. Harte, Wendy J. Hills, and Kristen A. Richards and each of them severally, its true and lawful attorneys-in-fact on behalf of the corporation and in its place and stead, in any and all capacities, to execute any and all Schedules 13G or 13D and any amendments thereto relating to ownership of any voting equity security of a class which is registered pursuant to Section 12 of the Securities Exchange Act of 1934, as amended, as required by rules and regulations promulgated under said Securities Exchange Act of 1934, and to file the same with all documents required in connection therewith, with the Securities and Exchange Commission, granting unto said attorneys-in-fact and agents, and each of them, full power and authority to do and perform each and every act and thing requisite and necessary to be done and hereby ratifying and confirming all said attorneys-in-fact and agents or any of them or their substitute or substitutes, may lawfully do or cause to be done by virtue hereof.</w:t>
      </w:r>
    </w:p>
    <w:p>
      <w:pPr>
        <w:spacing w:after="0" w:line="122" w:lineRule="exact"/>
        <w:rPr>
          <w:sz w:val="20"/>
          <w:szCs w:val="20"/>
          <w:color w:val="auto"/>
        </w:rPr>
      </w:pPr>
    </w:p>
    <w:p>
      <w:pPr>
        <w:ind w:right="280" w:firstLine="571"/>
        <w:spacing w:after="0" w:line="335" w:lineRule="auto"/>
        <w:rPr>
          <w:sz w:val="20"/>
          <w:szCs w:val="20"/>
          <w:color w:val="auto"/>
        </w:rPr>
      </w:pPr>
      <w:r>
        <w:rPr>
          <w:rFonts w:ascii="Arial" w:cs="Arial" w:eastAsia="Arial" w:hAnsi="Arial"/>
          <w:sz w:val="19"/>
          <w:szCs w:val="19"/>
          <w:b w:val="1"/>
          <w:bCs w:val="1"/>
          <w:color w:val="auto"/>
        </w:rPr>
        <w:t>IN WITNESS WHEREOF</w:t>
      </w:r>
      <w:r>
        <w:rPr>
          <w:rFonts w:ascii="Arial" w:cs="Arial" w:eastAsia="Arial" w:hAnsi="Arial"/>
          <w:sz w:val="19"/>
          <w:szCs w:val="19"/>
          <w:color w:val="auto"/>
        </w:rPr>
        <w:t>, the corporation has caused this power of attorney to be executed in its corporate name by its</w:t>
      </w:r>
      <w:r>
        <w:rPr>
          <w:rFonts w:ascii="Arial" w:cs="Arial" w:eastAsia="Arial" w:hAnsi="Arial"/>
          <w:sz w:val="19"/>
          <w:szCs w:val="19"/>
          <w:b w:val="1"/>
          <w:bCs w:val="1"/>
          <w:color w:val="auto"/>
        </w:rPr>
        <w:t xml:space="preserve"> </w:t>
      </w:r>
      <w:r>
        <w:rPr>
          <w:rFonts w:ascii="Arial" w:cs="Arial" w:eastAsia="Arial" w:hAnsi="Arial"/>
          <w:sz w:val="19"/>
          <w:szCs w:val="19"/>
          <w:color w:val="auto"/>
        </w:rPr>
        <w:t>Chief Executive Officer and its Secretary with its corporate seal to be affixed hereto on this 11</w:t>
      </w:r>
      <w:r>
        <w:rPr>
          <w:rFonts w:ascii="Arial" w:cs="Arial" w:eastAsia="Arial" w:hAnsi="Arial"/>
          <w:sz w:val="10"/>
          <w:szCs w:val="10"/>
          <w:color w:val="auto"/>
        </w:rPr>
        <w:t>th</w:t>
      </w:r>
      <w:r>
        <w:rPr>
          <w:rFonts w:ascii="Arial" w:cs="Arial" w:eastAsia="Arial" w:hAnsi="Arial"/>
          <w:sz w:val="19"/>
          <w:szCs w:val="19"/>
          <w:color w:val="auto"/>
        </w:rPr>
        <w:t xml:space="preserve"> day of November, 2010.</w:t>
      </w:r>
    </w:p>
    <w:p>
      <w:pPr>
        <w:spacing w:after="0" w:line="200" w:lineRule="exact"/>
        <w:rPr>
          <w:sz w:val="20"/>
          <w:szCs w:val="20"/>
          <w:color w:val="auto"/>
        </w:rPr>
      </w:pPr>
    </w:p>
    <w:p>
      <w:pPr>
        <w:spacing w:after="0" w:line="290"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Ivy Investment Management Company</w:t>
      </w:r>
    </w:p>
    <w:p>
      <w:pPr>
        <w:spacing w:after="0" w:line="200" w:lineRule="exact"/>
        <w:rPr>
          <w:sz w:val="20"/>
          <w:szCs w:val="20"/>
          <w:color w:val="auto"/>
        </w:rPr>
      </w:pPr>
    </w:p>
    <w:p>
      <w:pPr>
        <w:spacing w:after="0" w:line="22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Henry J. Herrmann</w:t>
      </w:r>
    </w:p>
    <w:p>
      <w:pPr>
        <w:ind w:left="6400"/>
        <w:spacing w:after="0" w:line="238" w:lineRule="auto"/>
        <w:rPr>
          <w:sz w:val="20"/>
          <w:szCs w:val="20"/>
          <w:color w:val="auto"/>
        </w:rPr>
      </w:pPr>
      <w:r>
        <w:rPr>
          <w:rFonts w:ascii="Arial" w:cs="Arial" w:eastAsia="Arial" w:hAnsi="Arial"/>
          <w:sz w:val="22"/>
          <w:szCs w:val="22"/>
          <w:color w:val="auto"/>
        </w:rPr>
        <w:t>Henry J. Herrmann</w:t>
      </w:r>
    </w:p>
    <w:p>
      <w:pPr>
        <w:ind w:left="6400"/>
        <w:spacing w:after="0"/>
        <w:rPr>
          <w:sz w:val="20"/>
          <w:szCs w:val="20"/>
          <w:color w:val="auto"/>
        </w:rPr>
      </w:pPr>
      <w:r>
        <w:rPr>
          <w:rFonts w:ascii="Arial" w:cs="Arial" w:eastAsia="Arial" w:hAnsi="Arial"/>
          <w:sz w:val="22"/>
          <w:szCs w:val="22"/>
          <w:color w:val="auto"/>
        </w:rPr>
        <w:t>Chief Executive Officer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Attest:  </w:t>
      </w:r>
      <w:r>
        <w:rPr>
          <w:rFonts w:ascii="Arial" w:cs="Arial" w:eastAsia="Arial" w:hAnsi="Arial"/>
          <w:sz w:val="22"/>
          <w:szCs w:val="22"/>
          <w:u w:val="single" w:color="auto"/>
          <w:color w:val="auto"/>
        </w:rPr>
        <w:t>/s/ Wendy J. Hills</w:t>
      </w:r>
    </w:p>
    <w:p>
      <w:pPr>
        <w:ind w:left="720"/>
        <w:spacing w:after="0" w:line="238" w:lineRule="auto"/>
        <w:rPr>
          <w:sz w:val="20"/>
          <w:szCs w:val="20"/>
          <w:color w:val="auto"/>
        </w:rPr>
      </w:pPr>
      <w:r>
        <w:rPr>
          <w:rFonts w:ascii="Arial" w:cs="Arial" w:eastAsia="Arial" w:hAnsi="Arial"/>
          <w:sz w:val="22"/>
          <w:szCs w:val="22"/>
          <w:color w:val="auto"/>
        </w:rPr>
        <w:t>Wendy J. Hills</w:t>
      </w:r>
    </w:p>
    <w:p>
      <w:pPr>
        <w:ind w:left="720"/>
        <w:spacing w:after="0"/>
        <w:rPr>
          <w:sz w:val="20"/>
          <w:szCs w:val="20"/>
          <w:color w:val="auto"/>
        </w:rPr>
      </w:pPr>
      <w:r>
        <w:rPr>
          <w:rFonts w:ascii="Arial" w:cs="Arial" w:eastAsia="Arial" w:hAnsi="Arial"/>
          <w:sz w:val="22"/>
          <w:szCs w:val="22"/>
          <w:color w:val="auto"/>
        </w:rPr>
        <w:t>Secretary</w:t>
      </w:r>
    </w:p>
    <w:sectPr>
      <w:pgSz w:w="11900" w:h="16838" w:orient="portrait"/>
      <w:cols w:equalWidth="0" w:num="1">
        <w:col w:w="11380"/>
      </w:cols>
      <w:pgMar w:left="240" w:top="26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2]"/>
      <w:numFmt w:val="upperLetter"/>
      <w:start w:val="24"/>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
    </w:lvl>
    <w:lvl w:ilvl="1">
      <w:lvlJc w:val="left"/>
      <w:lvlText w:val="(%2)"/>
      <w:numFmt w:val="lowerLetter"/>
      <w:start w:val="1"/>
    </w:lvl>
  </w:abstractNum>
  <w:abstractNum w:abstractNumId="4">
    <w:nsid w:val="1F16E9E8"/>
    <w:multiLevelType w:val="hybridMultilevel"/>
    <w:lvl w:ilvl="0">
      <w:lvlJc w:val="left"/>
      <w:lvlText w:val="%1."/>
      <w:numFmt w:val="decimal"/>
      <w:start w:val="9"/>
    </w:lvl>
  </w:abstractNum>
  <w:abstractNum w:abstractNumId="5">
    <w:nsid w:val="1190CDE7"/>
    <w:multiLevelType w:val="hybridMultilevel"/>
    <w:lvl w:ilvl="0">
      <w:lvlJc w:val="left"/>
      <w:lvlText w:val="%1."/>
      <w:numFmt w:val="decimal"/>
      <w:start w:val="1"/>
    </w:lvl>
    <w:lvl w:ilvl="1">
      <w:lvlJc w:val="left"/>
      <w:lvlText w:val="(%2)"/>
      <w:numFmt w:val="lowerLetter"/>
      <w:start w:val="1"/>
    </w:lvl>
  </w:abstractNum>
  <w:abstractNum w:abstractNumId="6">
    <w:nsid w:val="66EF438D"/>
    <w:multiLevelType w:val="hybridMultilevel"/>
    <w:lvl w:ilvl="0">
      <w:lvlJc w:val="left"/>
      <w:lvlText w:val="%1."/>
      <w:numFmt w:val="decimal"/>
      <w:start w:val="9"/>
    </w:lvl>
  </w:abstractNum>
  <w:abstractNum w:abstractNumId="7">
    <w:nsid w:val="140E0F76"/>
    <w:multiLevelType w:val="hybridMultilevel"/>
    <w:lvl w:ilvl="0">
      <w:lvlJc w:val="left"/>
      <w:lvlText w:val="%1."/>
      <w:numFmt w:val="decimal"/>
      <w:start w:val="1"/>
    </w:lvl>
    <w:lvl w:ilvl="1">
      <w:lvlJc w:val="left"/>
      <w:lvlText w:val="(%2)"/>
      <w:numFmt w:val="lowerLetter"/>
      <w:start w:val="1"/>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
    </w:lvl>
    <w:lvl w:ilvl="1">
      <w:lvlJc w:val="left"/>
      <w:lvlText w:val="(%2)"/>
      <w:numFmt w:val="lowerLetter"/>
      <w:start w:val="1"/>
    </w:lvl>
  </w:abstractNum>
  <w:abstractNum w:abstractNumId="10">
    <w:nsid w:val="DED7263"/>
    <w:multiLevelType w:val="hybridMultilevel"/>
    <w:lvl w:ilvl="0">
      <w:lvlJc w:val="left"/>
      <w:lvlText w:val="%1."/>
      <w:numFmt w:val="decimal"/>
      <w:start w:val="9"/>
    </w:lvl>
  </w:abstractNum>
  <w:abstractNum w:abstractNumId="11">
    <w:nsid w:val="7FDCC233"/>
    <w:multiLevelType w:val="hybridMultilevel"/>
    <w:lvl w:ilvl="0">
      <w:lvlJc w:val="left"/>
      <w:lvlText w:val="(%1)"/>
      <w:numFmt w:val="lowerRoman"/>
      <w:start w:val="1"/>
    </w:lvl>
  </w:abstractNum>
  <w:abstractNum w:abstractNumId="12">
    <w:nsid w:val="1BEFD79F"/>
    <w:multiLevelType w:val="hybridMultilevel"/>
    <w:lvl w:ilvl="0">
      <w:lvlJc w:val="left"/>
      <w:lvlText w:val="(%1)"/>
      <w:numFmt w:val="lowerLetter"/>
      <w:start w:val="1"/>
    </w:lvl>
    <w:lvl w:ilvl="1">
      <w:lvlJc w:val="left"/>
      <w:lvlText w:val="(%2)"/>
      <w:numFmt w:val="lowerRoman"/>
      <w:start w:val="1"/>
    </w:lvl>
  </w:abstractNum>
  <w:abstractNum w:abstractNumId="13">
    <w:nsid w:val="41A7C4C9"/>
    <w:multiLevelType w:val="hybridMultilevel"/>
    <w:lvl w:ilvl="0">
      <w:lvlJc w:val="left"/>
      <w:lvlText w:val="(%1)"/>
      <w:numFmt w:val="lowerRoman"/>
      <w:start w:val="4"/>
    </w:lvl>
  </w:abstractNum>
  <w:abstractNum w:abstractNumId="14">
    <w:nsid w:val="6B68079A"/>
    <w:multiLevelType w:val="hybridMultilevel"/>
    <w:lvl w:ilvl="0">
      <w:lvlJc w:val="left"/>
      <w:lvlText w:val="1"/>
      <w:numFmt w:val="bullet"/>
      <w:start w:val="1"/>
    </w:lvl>
  </w:abstractNum>
  <w:abstractNum w:abstractNumId="15">
    <w:nsid w:val="4E6AFB66"/>
    <w:multiLevelType w:val="hybridMultilevel"/>
    <w:lvl w:ilvl="0">
      <w:lvlJc w:val="left"/>
      <w:lvlText w:val="2"/>
      <w:numFmt w:val="bullet"/>
      <w:start w:val="1"/>
    </w:lvl>
  </w:abstractNum>
  <w:abstractNum w:abstractNumId="16">
    <w:nsid w:val="25E45D32"/>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2019-12-20T21:47:58Z</dcterms:created>
  <dcterms:modified xsi:type="dcterms:W3CDTF">2019-12-20T21:47:58Z</dcterms:modified>
</cp:coreProperties>
</file>