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2040" w:hanging="452"/>
        <w:spacing w:after="0" w:line="34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No. </w:t>
      </w:r>
      <w:r>
        <w:rPr>
          <w:rFonts w:ascii="Arial" w:cs="Arial" w:eastAsia="Arial" w:hAnsi="Arial"/>
          <w:sz w:val="18"/>
          <w:szCs w:val="18"/>
          <w:b w:val="1"/>
          <w:bCs w:val="1"/>
          <w:color w:val="auto"/>
        </w:rPr>
        <w:t>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285"/>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271"/>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71"/>
        </w:trPr>
        <w:tc>
          <w:tcPr>
            <w:tcW w:w="2600" w:type="dxa"/>
            <w:vAlign w:val="bottom"/>
          </w:tcPr>
          <w:p>
            <w:pPr>
              <w:spacing w:after="0"/>
              <w:rPr>
                <w:sz w:val="23"/>
                <w:szCs w:val="23"/>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r>
        <w:trPr>
          <w:trHeight w:val="149"/>
        </w:trPr>
        <w:tc>
          <w:tcPr>
            <w:tcW w:w="26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18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84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 at August 2, 2010</w:t>
            </w:r>
          </w:p>
        </w:tc>
        <w:tc>
          <w:tcPr>
            <w:tcW w:w="176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840" w:type="dxa"/>
            <w:vAlign w:val="bottom"/>
          </w:tcPr>
          <w:p>
            <w:pPr>
              <w:spacing w:after="0"/>
              <w:rPr>
                <w:sz w:val="20"/>
                <w:szCs w:val="20"/>
                <w:color w:val="auto"/>
              </w:rPr>
            </w:pPr>
            <w:r>
              <w:rPr>
                <w:rFonts w:ascii="Arial" w:cs="Arial" w:eastAsia="Arial" w:hAnsi="Arial"/>
                <w:sz w:val="18"/>
                <w:szCs w:val="18"/>
                <w:color w:val="auto"/>
              </w:rPr>
              <w:t>0.01 par value</w:t>
            </w:r>
          </w:p>
        </w:tc>
        <w:tc>
          <w:tcPr>
            <w:tcW w:w="1840" w:type="dxa"/>
            <w:vAlign w:val="bottom"/>
          </w:tcPr>
          <w:p>
            <w:pPr>
              <w:jc w:val="right"/>
              <w:ind w:right="402"/>
              <w:spacing w:after="0"/>
              <w:rPr>
                <w:sz w:val="20"/>
                <w:szCs w:val="20"/>
                <w:color w:val="auto"/>
              </w:rPr>
            </w:pPr>
            <w:r>
              <w:rPr>
                <w:rFonts w:ascii="Arial" w:cs="Arial" w:eastAsia="Arial" w:hAnsi="Arial"/>
                <w:sz w:val="18"/>
                <w:szCs w:val="18"/>
                <w:color w:val="auto"/>
              </w:rPr>
              <w:t>123,508,349</w:t>
            </w:r>
          </w:p>
        </w:tc>
        <w:tc>
          <w:tcPr>
            <w:tcW w:w="1760" w:type="dxa"/>
            <w:vAlign w:val="bottom"/>
          </w:tcPr>
          <w:p>
            <w:pPr>
              <w:spacing w:after="0"/>
              <w:rPr>
                <w:sz w:val="18"/>
                <w:szCs w:val="18"/>
                <w:color w:val="auto"/>
              </w:rPr>
            </w:pPr>
          </w:p>
        </w:tc>
      </w:tr>
      <w:tr>
        <w:trPr>
          <w:trHeight w:val="210"/>
        </w:trPr>
        <w:tc>
          <w:tcPr>
            <w:tcW w:w="2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8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92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4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(unaudited)—June 30, 2010 and</w:t>
              </w:r>
            </w:hyperlink>
          </w:p>
        </w:tc>
        <w:tc>
          <w:tcPr>
            <w:tcW w:w="9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2009</w:t>
              </w:r>
            </w:hyperlink>
          </w:p>
        </w:tc>
        <w:tc>
          <w:tcPr>
            <w:tcW w:w="388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40" w:type="dxa"/>
            <w:vAlign w:val="bottom"/>
            <w:gridSpan w:val="1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(unaudited)—Three and six months ended June 30, 2010 and 2009</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top w:val="single" w:sz="8" w:color="0000EE"/>
            </w:tcBorders>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(unaudited)—Six months ended</w:t>
              </w:r>
            </w:hyperlink>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2010 and 2009</w:t>
              </w:r>
            </w:hyperlink>
          </w:p>
        </w:tc>
        <w:tc>
          <w:tcPr>
            <w:tcW w:w="314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4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18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4"/>
          </w:tcPr>
          <w:p>
            <w:pPr>
              <w:spacing w:after="0"/>
              <w:rPr>
                <w:rFonts w:ascii="Arial" w:cs="Arial" w:eastAsia="Arial" w:hAnsi="Arial"/>
                <w:sz w:val="18"/>
                <w:szCs w:val="18"/>
                <w:b w:val="1"/>
                <w:bCs w:val="1"/>
                <w:color w:val="0000EE"/>
                <w:w w:val="92"/>
              </w:rPr>
            </w:pPr>
            <w:hyperlink w:anchor="page40">
              <w:r>
                <w:rPr>
                  <w:rFonts w:ascii="Arial" w:cs="Arial" w:eastAsia="Arial" w:hAnsi="Arial"/>
                  <w:sz w:val="18"/>
                  <w:szCs w:val="18"/>
                  <w:b w:val="1"/>
                  <w:bCs w:val="1"/>
                  <w:color w:val="0000EE"/>
                  <w:w w:val="92"/>
                </w:rPr>
                <w:t>Other Information</w:t>
              </w:r>
            </w:hyperlink>
          </w:p>
        </w:tc>
        <w:tc>
          <w:tcPr>
            <w:tcW w:w="3020" w:type="dxa"/>
            <w:vAlign w:val="bottom"/>
            <w:gridSpan w:val="2"/>
          </w:tcPr>
          <w:p>
            <w:pPr>
              <w:spacing w:after="0"/>
              <w:rPr>
                <w:sz w:val="17"/>
                <w:szCs w:val="17"/>
                <w:color w:val="auto"/>
              </w:rPr>
            </w:pPr>
          </w:p>
        </w:tc>
        <w:tc>
          <w:tcPr>
            <w:tcW w:w="5960" w:type="dxa"/>
            <w:vAlign w:val="bottom"/>
          </w:tcPr>
          <w:p>
            <w:pPr>
              <w:spacing w:after="0"/>
              <w:rPr>
                <w:sz w:val="17"/>
                <w:szCs w:val="17"/>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4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3140" w:type="dxa"/>
            <w:vAlign w:val="bottom"/>
            <w:gridSpan w:val="3"/>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6"/>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1,858,422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1,991,830</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157,560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152,879</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107,005</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2,140,798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2,282,956</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5,031,785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5,062,059</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44,659</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58,769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62,227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99,380</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4,011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7,369,175</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7,581,769</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135,501</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17,520</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69,825</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128,325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100,980</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26,751</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286,880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318,755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725,585</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3,231,013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3,566,428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120,726</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4,070,004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4,421,406</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7"/>
              </w:rPr>
              <w:t>Common stock, par value $0.01; 400,000,000 shares authorized; 136,293,303 and 136,098,410 shares issued;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123,488,349 and 123,293,456 shares outstanding</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12,804,954 shares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(1,119,407)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(1,119,407)</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4,265,220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4,239,497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(89,559)</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3,106,056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3,034,338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193,115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126,025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3,299,171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3,160,363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7,369,175</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7,581,769</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789,205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508,345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1,480,793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193,435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127,390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111,550</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239,164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1,104,139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784,552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2,083,255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1,597,335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(61,296)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(141,694)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(134,124)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1,032,643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723,256</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1,941,561</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1,463,211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519,005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325,579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967,196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134,533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97,757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95,668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182,669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8,986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205,918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(5,938)</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4,847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884,497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640,458</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1,678,567</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1,353,264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148,146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82,798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262,994</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(53,689)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(102,859)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(5,277)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extinguishment of debt/exchange offer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(57,308)</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(37,772)</w:t>
            </w: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(109,228)</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45,026</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153,766</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(19,547)</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(6,990)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(36,512)</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(67,383)</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attributable to Wynn Resorts, Limited: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122,467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122,386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123,387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146,776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422,590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(188,563)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(307,112)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(197,367)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(301,848)</w:t>
            </w: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(30,643)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(392,941)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(679,934)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(356,420)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(133,408)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1,991,830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1,133,904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1,858,422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1,090,182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In Macau, the Company owns Wynn Macau, which opened on September 6, 2006 and was expanded with the opening of Encore at Wynn Macau on April 21, 2010.</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193" w:lineRule="exact"/>
        <w:rPr>
          <w:sz w:val="20"/>
          <w:szCs w:val="20"/>
          <w:color w:val="auto"/>
        </w:rPr>
      </w:pPr>
    </w:p>
    <w:p>
      <w:pPr>
        <w:ind w:left="240" w:right="792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and cash equivalents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total $1.86 billion and $1.99 billion at June 30, 2010 and December 31, 2009, respectively, of which $1.2 billion and $1.4 billion at June 30, 2010 and December 31, 2009, respectively, were invested in money market accounts, U.S. treasuries and time deposits. The Company utilized Level 1 inputs as described in Note 9 to determine fair value.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2010 and December 31, 2009, approximately 77% and 76%,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 consequently, the Company’s casino revenues are reduced by discounts, commissions and points earned in customer loyalty programs, such as the player’s club loyalty program.</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0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5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Food and beverage</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21,765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19,957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45,113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4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440"/>
              <w:spacing w:after="0"/>
              <w:rPr>
                <w:sz w:val="20"/>
                <w:szCs w:val="20"/>
                <w:color w:val="auto"/>
              </w:rPr>
            </w:pPr>
            <w:r>
              <w:rPr>
                <w:rFonts w:ascii="Arial" w:cs="Arial" w:eastAsia="Arial" w:hAnsi="Arial"/>
                <w:sz w:val="18"/>
                <w:szCs w:val="18"/>
                <w:color w:val="auto"/>
              </w:rPr>
              <w:t>Total</w:t>
            </w:r>
          </w:p>
        </w:tc>
        <w:tc>
          <w:tcPr>
            <w:tcW w:w="4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39,742</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34,472</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81,014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77,834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160" w:type="dxa"/>
            <w:vAlign w:val="bottom"/>
            <w:vMerge w:val="restart"/>
          </w:tcPr>
          <w:p>
            <w:pPr>
              <w:jc w:val="right"/>
              <w:ind w:right="2232"/>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Operations. Gaming taxes totaled approximately $350.6 million and $198.5 million for the three months ended June 30, 2010 and 2009, respectively. For the six months ended June 30, 2010 and 2009, gaming taxes totaled approximately $638.4 million and $419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Advertising costs totaled approximately $4.7 million and $4 million for the three months ended June 30, 2010 and 2009, respectively. For the six months ended June 30, 2010 and 2009, advertising costs totaled approximately $9 million and $12.4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also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shares</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outstanding during the year. Diluted EPS reflects the addition of potentially dilutive securities which for the Company include stock options and nonvested stock.</w:t>
      </w:r>
    </w:p>
    <w:p>
      <w:pPr>
        <w:spacing w:after="0" w:line="18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122,521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122,467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jc w:val="right"/>
              <w:ind w:right="6212"/>
              <w:spacing w:after="0"/>
              <w:rPr>
                <w:sz w:val="20"/>
                <w:szCs w:val="20"/>
                <w:color w:val="auto"/>
              </w:rPr>
            </w:pPr>
            <w:r>
              <w:rPr>
                <w:rFonts w:ascii="Arial" w:cs="Arial" w:eastAsia="Arial" w:hAnsi="Arial"/>
                <w:sz w:val="18"/>
                <w:szCs w:val="18"/>
                <w:color w:val="auto"/>
                <w:w w:val="97"/>
              </w:rPr>
              <w:t>earnings per share)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123,816</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122,386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123,387</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2012"/>
              <w:spacing w:after="0"/>
              <w:rPr>
                <w:sz w:val="20"/>
                <w:szCs w:val="20"/>
                <w:color w:val="auto"/>
              </w:rPr>
            </w:pPr>
            <w:r>
              <w:rPr>
                <w:rFonts w:ascii="Arial" w:cs="Arial" w:eastAsia="Arial" w:hAnsi="Arial"/>
                <w:sz w:val="18"/>
                <w:szCs w:val="18"/>
                <w:color w:val="auto"/>
              </w:rPr>
              <w:t>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total of 392,500 and 382,500 stock options were excluded from the calculation of diluted EPS for the three and six months ended June 30, 2010, respectively, because including them would have been anti-dilutive. Another 905,000 and 915,000 stock options were out-of-the-money for the three and six months ended June 30, 2010, respectively and were also excluded. A total of 4,922,205 and 4,960,505 stock options were out-of-the-money for the three and six months ended June 30, 2009, respectively, and therefore would have been excluded from the calculation of diluted EPS. For the six months ended June 30, 2009, the Company recorded a net loss. Accordingly, the potential dilution from the assumed exercise of stock options and nonvested stock is anti-dilutive. As a result, basic EPS is equal to diluted EPS for the six months ended June 30,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$88,917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146,776</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$(8,335)</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(2,699)</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(3,521)</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143,255</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(8,595)</w:t>
            </w:r>
          </w:p>
        </w:tc>
      </w:tr>
      <w:tr>
        <w:trPr>
          <w:trHeight w:val="208"/>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Less: Comprehensive income attributable to</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35,764</w:t>
            </w: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66,408</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w:t>
            </w: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Wynn Resorts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25,207</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76,847</w:t>
            </w:r>
          </w:p>
        </w:tc>
        <w:tc>
          <w:tcPr>
            <w:tcW w:w="4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(8,595)</w:t>
            </w: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2010 and December 31, 2009, accumulated other comprehensive income (loss)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Interest paid for the six months ended June 30, 2010 and 2009 totaled approximately $100.3 million and $117.9 million, respectively. Interest capitalized for the six months ended June 30, 2010 and 2009, totaled approximately $7.2 million and $4.7 million, respectively.</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During the six months ended June 30, 2010 and 2009, capital expenditures include a decrease of $19.5 million and $142.4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56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$ 219,377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205,330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5660" w:type="dxa"/>
            <w:vAlign w:val="bottom"/>
            <w:gridSpan w:val="3"/>
          </w:tcPr>
          <w:p>
            <w:pPr>
              <w:jc w:val="right"/>
              <w:ind w:right="720"/>
              <w:spacing w:after="0"/>
              <w:rPr>
                <w:sz w:val="20"/>
                <w:szCs w:val="20"/>
                <w:color w:val="auto"/>
              </w:rPr>
            </w:pPr>
            <w:r>
              <w:rPr>
                <w:rFonts w:ascii="Arial" w:cs="Arial" w:eastAsia="Arial" w:hAnsi="Arial"/>
                <w:sz w:val="18"/>
                <w:szCs w:val="18"/>
                <w:color w:val="auto"/>
              </w:rPr>
              <w:t>18,796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18,177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29,501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267,674</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254,960</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(110,114)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(102,081)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$ 157,560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152,879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vMerge w:val="restart"/>
          </w:tcPr>
          <w:p>
            <w:pPr>
              <w:jc w:val="right"/>
              <w:ind w:right="2772"/>
              <w:spacing w:after="0"/>
              <w:rPr>
                <w:sz w:val="20"/>
                <w:szCs w:val="20"/>
                <w:color w:val="auto"/>
              </w:rPr>
            </w:pPr>
            <w:r>
              <w:rPr>
                <w:rFonts w:ascii="Arial" w:cs="Arial" w:eastAsia="Arial" w:hAnsi="Arial"/>
                <w:sz w:val="18"/>
                <w:szCs w:val="18"/>
                <w:color w:val="auto"/>
              </w:rPr>
              <w:t>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13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718,714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704,733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
              <w:spacing w:after="0"/>
              <w:rPr>
                <w:sz w:val="20"/>
                <w:szCs w:val="20"/>
                <w:color w:val="auto"/>
              </w:rPr>
            </w:pPr>
            <w:r>
              <w:rPr>
                <w:rFonts w:ascii="Arial" w:cs="Arial" w:eastAsia="Arial" w:hAnsi="Arial"/>
                <w:sz w:val="18"/>
                <w:szCs w:val="18"/>
                <w:color w:val="auto"/>
                <w:w w:val="92"/>
              </w:rPr>
              <w:t>3,738,208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3,215,400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77,421</w:t>
            </w: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
              <w:spacing w:after="0"/>
              <w:rPr>
                <w:sz w:val="20"/>
                <w:szCs w:val="20"/>
                <w:color w:val="auto"/>
              </w:rPr>
            </w:pPr>
            <w:r>
              <w:rPr>
                <w:rFonts w:ascii="Arial" w:cs="Arial" w:eastAsia="Arial" w:hAnsi="Arial"/>
                <w:sz w:val="18"/>
                <w:szCs w:val="18"/>
                <w:color w:val="auto"/>
                <w:w w:val="92"/>
              </w:rPr>
              <w:t>1,654,167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1,585,495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85,512</w:t>
            </w: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81,521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
              <w:spacing w:after="0"/>
              <w:rPr>
                <w:sz w:val="20"/>
                <w:szCs w:val="20"/>
                <w:color w:val="auto"/>
              </w:rPr>
            </w:pPr>
            <w:r>
              <w:rPr>
                <w:rFonts w:ascii="Arial" w:cs="Arial" w:eastAsia="Arial" w:hAnsi="Arial"/>
                <w:sz w:val="18"/>
                <w:szCs w:val="18"/>
                <w:color w:val="auto"/>
              </w:rPr>
              <w:t>6,918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457,594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2"/>
              </w:rPr>
              <w:t>6,280,940</w:t>
            </w: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6,122,069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86"/>
              </w:rPr>
              <w:t>(1,249,155)</w:t>
            </w:r>
          </w:p>
        </w:tc>
        <w:tc>
          <w:tcPr>
            <w:tcW w:w="1520" w:type="dxa"/>
            <w:vAlign w:val="bottom"/>
            <w:gridSpan w:val="5"/>
          </w:tcPr>
          <w:p>
            <w:pPr>
              <w:jc w:val="right"/>
              <w:ind w:right="40"/>
              <w:spacing w:after="0"/>
              <w:rPr>
                <w:sz w:val="20"/>
                <w:szCs w:val="20"/>
                <w:color w:val="auto"/>
              </w:rPr>
            </w:pPr>
            <w:r>
              <w:rPr>
                <w:rFonts w:ascii="Arial" w:cs="Arial" w:eastAsia="Arial" w:hAnsi="Arial"/>
                <w:sz w:val="18"/>
                <w:szCs w:val="18"/>
                <w:color w:val="auto"/>
              </w:rPr>
              <w:t>(1,060,010)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$ 5,031,785</w:t>
            </w:r>
          </w:p>
        </w:tc>
        <w:tc>
          <w:tcPr>
            <w:tcW w:w="15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$ 5,062,059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2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24"/>
                <w:szCs w:val="24"/>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11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6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88"/>
              </w:rPr>
              <w:t xml:space="preserve">6 </w:t>
            </w:r>
            <w:r>
              <w:rPr>
                <w:rFonts w:ascii="Arial" w:cs="Arial" w:eastAsia="Arial" w:hAnsi="Arial"/>
                <w:sz w:val="11"/>
                <w:szCs w:val="11"/>
                <w:color w:val="auto"/>
                <w:w w:val="88"/>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xml:space="preserve"> % Wynn Las Vegas First Mortgage Notes, due December 1, 2014, net of original issue discount of $4,300 at June 30,</w:t>
            </w: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 and $6,852 at December 31, 2009</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$1,277,920</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$ 1,627,378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440" w:type="dxa"/>
            <w:vAlign w:val="bottom"/>
            <w:gridSpan w:val="7"/>
          </w:tcPr>
          <w:p>
            <w:pPr>
              <w:spacing w:after="0"/>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xml:space="preserve"> % Wynn Las Vegas First Mortgage Notes, due November 1, 2017, net of original issue discount of $10,196 at June 30,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2010 and $10,529 at December 31, 2009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489,804</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8"/>
              </w:rPr>
              <w:t xml:space="preserve">7 </w:t>
            </w:r>
            <w:r>
              <w:rPr>
                <w:rFonts w:ascii="Arial" w:cs="Arial" w:eastAsia="Arial" w:hAnsi="Arial"/>
                <w:sz w:val="11"/>
                <w:szCs w:val="11"/>
                <w:color w:val="auto"/>
                <w:w w:val="88"/>
              </w:rPr>
              <w:t>7</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xml:space="preserve"> % Wynn Las Vegas First Mortgage Notes, due May 1, 2020, net of original issue discount of $2,001 at June 30, 2010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350,009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291,664</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Wynn Las Vegas Term Loan Facility; $40.2 million due September 30, 2012 with remaining $40.2 million due August 15,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00" w:type="dxa"/>
            <w:vAlign w:val="bottom"/>
            <w:gridSpan w:val="4"/>
          </w:tcPr>
          <w:p>
            <w:pPr>
              <w:spacing w:after="0"/>
              <w:rPr>
                <w:sz w:val="20"/>
                <w:szCs w:val="20"/>
                <w:color w:val="auto"/>
              </w:rPr>
            </w:pPr>
            <w:r>
              <w:rPr>
                <w:rFonts w:ascii="Arial" w:cs="Arial" w:eastAsia="Arial" w:hAnsi="Arial"/>
                <w:sz w:val="18"/>
                <w:szCs w:val="18"/>
                <w:color w:val="auto"/>
                <w:w w:val="89"/>
              </w:rPr>
              <w:t>Wynn Macau Senior Term Loan Facilities (as amended June 2007); due June 27, 2014; interest at LIBOR or HIBOR plus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1.75%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550,756</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552,292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Wynn Macau Senior Revolving Credit Facility, due June 2012; interest at LIBOR or HIBOR plus 1.75%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130,181</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37,450</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3,233,688</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3,569,103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3,231,013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3,566,428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States in accordance with Rule 144A and Regulation S, respectively, under the Securities Act of 1933, as amended (the “Securities Act”). As of April 23, 2010, the expiration date, approximately $352 million of the 2014 Notes were validly tendered for exchange to the 2020 Notes. The exchange offer closed on April 28, 2010.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guaranteed by certain of Wynn Las Vegas, LLC’s subsidiaries and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$3.5 million. In accordance with accounting standards, this will be included as deferred financing costs and amortized over the life of the 2020 Notes. The direct costs of the exchange offer incurred with third parties of $3.2 million were expensed.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six months ended June 30, 2010, the Company repaid approximately $371 million of borrowings under the Wynn Macau Senior Revolving Credit Facility. As of June 30, 2010, the outstanding balance was approximately $130.2 million and the Company had approximately $869.8 million available to borrow under the Wynn Macau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2010,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net book value of the 2014 Notes, the 2017 Notes and the 2020 Notes at June 30, 2010 and December 31, 2009, was approximately $2.1 billion and $2.1 billion, respectively. The estimated fair value of the 2014 Notes, the 2017 and the 2020 Notes was approximately $2.2 billion and $2.1 billion at June 30, 2010 and December 31, 2009, respectively. The net book value of the Company’s other debt instruments was approximately $1.1 billion and $1.5 billion at June 30, 2010 and December 31, 2009, respectively. The estimated fair value of the Company’s other debt instruments was approximately $1 billion and $1.3 billion at June 30, 2010 and December 31, 2009,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following table presents the historical fair value of the interest rate swaps recorded in the accompanying Condensed Consolidated Balance Sheets as of June 30, 2010 and December 31, 2009.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June 30, 2010 and December 31, 2009, these interest rate swaps are included in other long-term liabilities.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Liability fair value:</w:t>
            </w: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7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auto"/>
                <w:w w:val="89"/>
              </w:rPr>
              <w:t>Wynn</w:t>
            </w:r>
          </w:p>
        </w:tc>
        <w:tc>
          <w:tcPr>
            <w:tcW w:w="4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Wynn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61"/>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88"/>
              </w:rPr>
              <w:t>(amounts in thousands)</w:t>
            </w:r>
          </w:p>
        </w:tc>
        <w:tc>
          <w:tcPr>
            <w:tcW w:w="7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77"/>
              </w:rPr>
              <w:t>Las Vegas</w:t>
            </w: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Macau</w:t>
            </w:r>
          </w:p>
        </w:tc>
        <w:tc>
          <w:tcPr>
            <w:tcW w:w="4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7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10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9"/>
              </w:rPr>
              <w:t>$17,067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25,846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2009</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4,224</w:t>
            </w:r>
          </w:p>
        </w:tc>
        <w:tc>
          <w:tcPr>
            <w:tcW w:w="1020" w:type="dxa"/>
            <w:vAlign w:val="bottom"/>
            <w:gridSpan w:val="2"/>
          </w:tcPr>
          <w:p>
            <w:pPr>
              <w:jc w:val="center"/>
              <w:ind w:left="352"/>
              <w:spacing w:after="0"/>
              <w:rPr>
                <w:sz w:val="20"/>
                <w:szCs w:val="20"/>
                <w:color w:val="auto"/>
              </w:rPr>
            </w:pPr>
            <w:r>
              <w:rPr>
                <w:rFonts w:ascii="Arial" w:cs="Arial" w:eastAsia="Arial" w:hAnsi="Arial"/>
                <w:sz w:val="18"/>
                <w:szCs w:val="18"/>
                <w:color w:val="auto"/>
                <w:w w:val="89"/>
              </w:rPr>
              <w:t>$16,345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20,569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has two interest rate swap agreements to hedge a portion of the underlying interest rate risk on borrowings under the Wynn Macau Term Loan. Under the first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 These interest rate swap agreements mature in August 2011.</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entered into a third interest rate swap agreement effective November 27, 2009, to hedge a portion of the underlying interest rate risk on borrowings under the Wynn Macau Revolver. Under this swap agreement, the Company pays a fixed interest rate of 2.15% on borrowings of approximately HK$2.3 billion (approximately U.S. $300 million) incurred under the Wynn Macau Revolver in exchange for receipts on the same amount at a variable interest rate based on the applicable HIBOR at the time of payment. This interest rate swap fixes the interest rate on such borrowings at approximately 3.9%. This interest rate swap agreement matures in June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June 30, 2010 and December 31, 2009, Mr. Wynn and the other officers and directors had a net deposit balance with the Company of approximately $367,238 and $789,095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The rental value for the villa suite will be re-determined every two years during the term of the lease by the Audit Committee, with the assistance of an independent third-party appraisal. Certain services for, and maintenance of, the villa suite is included in the rental.</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Home Purchase</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In May 2010, the Company entered into a new employment agreement with Linda Chen, who is also a director. The term of the new employment agreement is through February 24, 2020. Under the terms of the new employment agreement, the Company purchased a home in Macau for use by Ms. Chen for approximately $5.4 million, and will expend additional funds to renovate the home and will also provide Ms. Chen the use of an automobile in Macau. Ms. Chen shall have the option to purchase the home at a percentage of the fair market value of the home that is reduced by ten percent per year during the term of the agreement (the “Discount Percentage”). The option is exercisable for (a) no consideration at the end of the term, (b) $1.00 in the event of termination of</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Property charges and other for the three months ended June 30, 2010 and 2009 were $3 million and a net gain of $5.9 million, respectively. Property charges and other for the six months ended June 30, 2010 and 2009 were $4.8 million and $10.5 million, respectively. Property charges generally include costs related to the retirement of assets for remodels and asset abandonments. Property charges and other for the three months ended June 30, 2010, were related to miscellaneous renovations, abandonments and gain/loss on sale of equipment at Wynn Las Vegas and Wynn Macau. Property charges and other for the three months ended June 30, 2009 include the return of $8.1 million of aircraft deposits written off in the first quarter of 2009. On February 19, 2009, the Company cancelled the agreements to purchase two aircraft. The deposit on one of the aircraft was refundable to the extent another buyer was found. Due to the uncertainty as to the recoverability of this deposit and a $1.5 million nonrefundable deposit on a second aircraft, the Company wrote off these deposits in the first quarter of 2009. In May 2009, another buyer was found for one of the aircraft and in accordance with the original purchase agreement, a portion of the Company’s deposit was refunded. The Company also incurred property charges of $2.2 million during the three months ended June 30, 2009 which were related to miscellaneous renovations, abandonments and loss on sale of equipment at Wynn Las Vegas and Wynn Macau.</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Property charges and other for the six months ended June 30, 2010, were related to miscellaneous renovations, abandonments and gain/loss on sale of equipment at Wynn Las Vegas and Wynn Macau. Property charges and other for the six months ended June 30, 2009, include the net write-off of $6.8 million of aircraft purchase deposits as discussed above. The remaining property charges were related to renovations, abandonments and loss on sale of equipment at Wynn Las Vegas and Wynn Macau.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“Wynn Macau Limited IPO”).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$36.5 million and $67.4 million for the three and six months ended June 30, 2010,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May 26, 2010, the Company paid a dividend of $0.25 per share to holders of record on May 12, 2010. For the six months ended June 30, 2010, $30.9 million was recorded as a distribution against retained earnings. Of this amount approximately $0.2 million was recorded as a liability which will be paid to holders of nonvested stock upon the vesting of that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2,481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4,267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4,026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7,039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6,365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13,966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11,794</w:t>
            </w: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7,185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6,511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14,258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12,086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347" w:lineRule="auto"/>
        <w:tabs>
          <w:tab w:leader="none" w:pos="26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i w:val="1"/>
          <w:iCs w:val="1"/>
          <w:u w:val="single" w:color="auto"/>
          <w:color w:val="auto"/>
        </w:rPr>
        <w:t>Encore at Wynn Macau.</w:t>
      </w:r>
      <w:r>
        <w:rPr>
          <w:rFonts w:ascii="Arial" w:cs="Arial" w:eastAsia="Arial" w:hAnsi="Arial"/>
          <w:sz w:val="15"/>
          <w:szCs w:val="15"/>
          <w:i w:val="1"/>
          <w:iCs w:val="1"/>
          <w:color w:val="auto"/>
        </w:rPr>
        <w:t xml:space="preserve"> </w:t>
      </w:r>
      <w:r>
        <w:rPr>
          <w:rFonts w:ascii="Arial" w:cs="Arial" w:eastAsia="Arial" w:hAnsi="Arial"/>
          <w:sz w:val="15"/>
          <w:szCs w:val="15"/>
          <w:color w:val="auto"/>
        </w:rPr>
        <w:t>Encore at Wynn Macau opened on April 21, 2010. Total development and construction costs were approximately $550 million. As</w:t>
      </w:r>
      <w:r>
        <w:rPr>
          <w:rFonts w:ascii="Arial" w:cs="Arial" w:eastAsia="Arial" w:hAnsi="Arial"/>
          <w:sz w:val="15"/>
          <w:szCs w:val="15"/>
          <w:i w:val="1"/>
          <w:iCs w:val="1"/>
          <w:color w:val="auto"/>
        </w:rPr>
        <w:t xml:space="preserve"> </w:t>
      </w:r>
      <w:r>
        <w:rPr>
          <w:rFonts w:ascii="Arial" w:cs="Arial" w:eastAsia="Arial" w:hAnsi="Arial"/>
          <w:sz w:val="15"/>
          <w:szCs w:val="15"/>
          <w:color w:val="auto"/>
        </w:rPr>
        <w:t>of June 30, 2010, the Company has incurred approximately $537.5 million of project costs related to the development and construction of Encore at Wynn Macau.</w:t>
      </w:r>
    </w:p>
    <w:p>
      <w:pPr>
        <w:spacing w:after="0" w:line="6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u w:val="single" w:color="auto"/>
          <w:color w:val="auto"/>
        </w:rPr>
        <w:t>Cotai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applied to the government of Macau for a land concession on approximately 52 aces of land on Cotai and is</w:t>
      </w:r>
      <w:r>
        <w:rPr>
          <w:rFonts w:ascii="Arial" w:cs="Arial" w:eastAsia="Arial" w:hAnsi="Arial"/>
          <w:sz w:val="18"/>
          <w:szCs w:val="18"/>
          <w:i w:val="1"/>
          <w:iCs w:val="1"/>
          <w:color w:val="auto"/>
        </w:rPr>
        <w:t xml:space="preserve"> </w:t>
      </w:r>
      <w:r>
        <w:rPr>
          <w:rFonts w:ascii="Arial" w:cs="Arial" w:eastAsia="Arial" w:hAnsi="Arial"/>
          <w:sz w:val="18"/>
          <w:szCs w:val="18"/>
          <w:color w:val="auto"/>
        </w:rPr>
        <w:t>awaiting final government approval on the concession. The Company continues to work on the concept and design of this property, but cannot prepare a final timeline or budget until government approval on the land concession has been received.</w:t>
      </w:r>
    </w:p>
    <w:p>
      <w:pPr>
        <w:spacing w:after="0" w:line="14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i w:val="1"/>
          <w:iCs w:val="1"/>
          <w:u w:val="single" w:color="auto"/>
          <w:color w:val="auto"/>
        </w:rPr>
        <w:t>Cotai Land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1, 2008, subsidiaries of Wynn Resorts, Limited entered into an agreement with an unrelated third party to make a one-time payment in the amount of $50 million in consideration of the unrelated third party’s relinquishment of certain rights in and to any future development on the 52 acres of land in the Cotai area of Macau. The payment will be made within 15 days after the Government of the Special Administrative Region of the People’s Republic of China publishes the Company’s rights to the land in the government’s official gazette.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Philadelphia Casino Project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February 23, 2010, the Company entered into a letter of intent with Philadelphia Entertainment and Development Partners, LP, providing that an affiliate of the Company will become the manager and managing general partner in a casino project slated for the Philadelphia waterfront. On April 8, 2010, the Company and its subsidiaries announced the termination of its negotiations with respect to this project.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May 3, 2010, Atlantic-Pacific Capital, Inc. (“APC”) filed an arbitration demand with Judicial Arbitration and Mediation Services regarding an agreement with the Company. The action concerns a claim for compensation pursuant to an agreement entered into between APC and the Company on or about March 30, 2008 (the “Agreement”) whereby APC was engaged to raise equity capital for an investment vehicle sponsored by the Company. APC is seeking compensation unrelated to the investment vehicle. The Company has denied APC’s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claims for compensation. The Company filed a Complaint for Damages and Declaratory Relief against APC in the District Court, Clark County, Nevada, on May 10, 2010. APC removed the action to the United States District Court, District of Nevada. Management believes that APC’s claim against the Company is without merit and intends to defend this matter vigorously.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approximately $5.4 million. As of June 30, 2010,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During the six months ended June 30, 2010, the Company recorded a tax expense of $7 million. The Company’s provision for income taxes is primarily comprised of increases in the Company’s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the Company’s U.S. operations. As of June 30, 2010, the Company no longer considers its portion of the earnings of Wynn Macau, Limited to be permanently reinvested. No additional U.S. tax provision has been made with respect to this amount as the Company anticipates that U.S. foreign tax credits should be sufficient to reduce any U.S. tax provision relating to such repatriation. Prior to this change, the Company’s earnings attributable to periods after September 2009 were considered permanently reinvested abroad. The decrease in the Company’s current deferred tax liability is primarily attributable to the repatriation of approximately $1.14 billion of Wynn Macau, Limited IPO proceeds not considered permanently reinvested. During the six months ended June 30, 2010, the Company recognized income tax benefits related to excess tax deductions associated with stock compensation costs of $1.9 million.</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$28.1 million in such taxes during the six months ended June 30, 2010. The Company’s non-gaming profits remain subject to the Macau Complementary Tax and casino winnings remain subject to the Macau Special Gaming tax and other levies together totaling 39% in accordance with its concession agreement.</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June 2010, the Macau Finance Bureau commenced an examination of the 2006 and 2007 Macau income tax returns of Wynn Resorts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monitors its operations and evaluates earnings by reviewing the assets and operations of Wynn Las Vegas, including Encore at Wynn Las Vegas, and Wynn Macau, including Encore at Wynn Macau. The Company’s total assets by segment are as follows (amounts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80"/>
              <w:spacing w:after="0"/>
              <w:rPr>
                <w:sz w:val="20"/>
                <w:szCs w:val="20"/>
                <w:color w:val="auto"/>
              </w:rPr>
            </w:pPr>
            <w:r>
              <w:rPr>
                <w:rFonts w:ascii="Arial" w:cs="Arial" w:eastAsia="Arial" w:hAnsi="Arial"/>
                <w:sz w:val="18"/>
                <w:szCs w:val="18"/>
                <w:color w:val="auto"/>
                <w:w w:val="84"/>
              </w:rPr>
              <w:t>4,138,885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4,254,324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for 2010)</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1,899,291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1,990,273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2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1,330,999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1,337,172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7,369,175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7,581,769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318,230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312,814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636,501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 including Encore for 2010</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714,413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410,442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1,305,060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1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1,032,643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723,256</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1,941,561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1,463,211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65,126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75,506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125,431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 including Encore for 2010</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216,248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117,173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397,838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281,374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192,679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523,269</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8,986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205,918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(5,938)</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4,847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Equity in income/(loss) from unconsolidated affiliates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109,881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260,275</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148,146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82,798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262,994</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(53,689)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(102,859)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Increase (decrease) in swap fair value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(5,277)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Gain(loss) on extinguishment of debt/exchange offer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Equity in income/(loss) from unconsolidated affiliates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(57,308)</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(37,772)</w:t>
            </w: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(109,228)</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45,026</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153,766</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(19,547)</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(6,990)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146,776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On August 4,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U.S. in accordance with Rule 144A and Regulation S, respectively, under the Securities Act of 1933. Wynn Las Vegas, LLC plans to use the net proceeds of the offering along with the proceeds of a capital contribution from Wynn Resorts, Limited to purchase, and, as applicable, make consent payments for, any and all of the Issuers’ 2014 Notes that are validly tendered and accepted for payment pursuant to Wynn Las Vegas, LLC’s concurrent offer to purchase and consent solicitation with respect to the 2014 Notes and to redeem any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of $30.00 for each $1,000 principal amount of 2014 Notes. The consent solicitation expired on August 3, 2010 and the tender offer expires August 18, 2010.</w:t>
      </w:r>
    </w:p>
    <w:p>
      <w:pPr>
        <w:spacing w:after="0" w:line="12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On August 4, 2010, the Trustee, at the request of the Issuers, gave notice of redemption of any and all of the outstanding 2014 Notes. The redemption price shall be equal to 103.313% of the aggregate principal amount of the 2014 Notes redeemed plus accrued and unpaid interest thereon to September 3, 2010.</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New 2020 Notes rank pari passu in right of payment with borrowings under Wynn Las Vegas, LLC’s credit facilities, the 2014 Notes, the 2017 Notes and existing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Wynn Las Vegas, LLC’s credit facilities, the 2014 Notes, the 2017 Notes and the existing 2020 Notes.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New 2020 Notes have not been registered under the Securities Act of 1933 or under any state securities laws. Therefore, the issuers may not offer or sell the notes within the United States to, or for the account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benefit of, any United States person unless the offer or sale would qualify for a registration exemption from the Securities Act and applicable state securities laws.</w:t>
      </w:r>
    </w:p>
    <w:p>
      <w:pPr>
        <w:spacing w:after="0" w:line="20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Concurrently with the issuance of the New 2020 Notes, the Company entered into a seventh amendment dated August 4, 2010 to the Wynn Las Vegas Amended and Restated Credit Agreement. After giving effect to this amendment, the maturity date with respect to a portion on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July 29, 2010, the Board of Directors of the Company declared a cash dividend of $0.25 per share, payable on August 26, 2010 to stockholders of record as of August 12,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and consumer spending trends reflecting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 S. laws regarding health 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240" w:top="459"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as our Macau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operations as of July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Approximate</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Approximate</w:t>
            </w:r>
          </w:p>
        </w:tc>
      </w:tr>
      <w:tr>
        <w:trPr>
          <w:trHeight w:val="149"/>
        </w:trPr>
        <w:tc>
          <w:tcPr>
            <w:tcW w:w="50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Hotel Rooms &amp;</w:t>
            </w:r>
          </w:p>
        </w:tc>
        <w:tc>
          <w:tcPr>
            <w:tcW w:w="8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820" w:type="dxa"/>
            <w:vAlign w:val="bottom"/>
          </w:tcPr>
          <w:p>
            <w:pPr>
              <w:spacing w:after="0"/>
              <w:rPr>
                <w:sz w:val="12"/>
                <w:szCs w:val="12"/>
                <w:color w:val="auto"/>
              </w:rPr>
            </w:pPr>
          </w:p>
        </w:tc>
        <w:tc>
          <w:tcPr>
            <w:tcW w:w="18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6"/>
              </w:rPr>
              <w:t>Number of Table</w:t>
            </w: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r>
      <w:tr>
        <w:trPr>
          <w:trHeight w:val="161"/>
        </w:trPr>
        <w:tc>
          <w:tcPr>
            <w:tcW w:w="5080" w:type="dxa"/>
            <w:vAlign w:val="bottom"/>
          </w:tcPr>
          <w:p>
            <w:pPr>
              <w:spacing w:after="0"/>
              <w:rPr>
                <w:sz w:val="14"/>
                <w:szCs w:val="14"/>
                <w:color w:val="auto"/>
              </w:rPr>
            </w:pPr>
          </w:p>
        </w:tc>
        <w:tc>
          <w:tcPr>
            <w:tcW w:w="9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20" w:type="dxa"/>
            <w:vAlign w:val="bottom"/>
          </w:tcPr>
          <w:p>
            <w:pPr>
              <w:spacing w:after="0"/>
              <w:rPr>
                <w:sz w:val="14"/>
                <w:szCs w:val="14"/>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Square Footage</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Games</w:t>
            </w:r>
          </w:p>
        </w:tc>
        <w:tc>
          <w:tcPr>
            <w:tcW w:w="840" w:type="dxa"/>
            <w:vAlign w:val="bottom"/>
          </w:tcPr>
          <w:p>
            <w:pPr>
              <w:spacing w:after="0"/>
              <w:rPr>
                <w:sz w:val="14"/>
                <w:szCs w:val="14"/>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Slots</w:t>
            </w:r>
          </w:p>
        </w:tc>
        <w:tc>
          <w:tcPr>
            <w:tcW w:w="20" w:type="dxa"/>
            <w:vAlign w:val="bottom"/>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26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0" w:type="dxa"/>
            <w:vAlign w:val="bottom"/>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Macau</w:t>
            </w:r>
          </w:p>
        </w:tc>
        <w:tc>
          <w:tcPr>
            <w:tcW w:w="920" w:type="dxa"/>
            <w:vAlign w:val="bottom"/>
          </w:tcPr>
          <w:p>
            <w:pPr>
              <w:jc w:val="right"/>
              <w:spacing w:after="0"/>
              <w:rPr>
                <w:sz w:val="20"/>
                <w:szCs w:val="20"/>
                <w:color w:val="auto"/>
              </w:rPr>
            </w:pPr>
            <w:r>
              <w:rPr>
                <w:rFonts w:ascii="Arial" w:cs="Arial" w:eastAsia="Arial" w:hAnsi="Arial"/>
                <w:sz w:val="18"/>
                <w:szCs w:val="18"/>
                <w:color w:val="auto"/>
              </w:rPr>
              <w:t>1,014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256,000</w:t>
            </w:r>
          </w:p>
        </w:tc>
        <w:tc>
          <w:tcPr>
            <w:tcW w:w="2640" w:type="dxa"/>
            <w:vAlign w:val="bottom"/>
            <w:gridSpan w:val="3"/>
          </w:tcPr>
          <w:p>
            <w:pPr>
              <w:jc w:val="right"/>
              <w:ind w:right="840"/>
              <w:spacing w:after="0"/>
              <w:rPr>
                <w:sz w:val="20"/>
                <w:szCs w:val="20"/>
                <w:color w:val="auto"/>
              </w:rPr>
            </w:pPr>
            <w:r>
              <w:rPr>
                <w:rFonts w:ascii="Arial" w:cs="Arial" w:eastAsia="Arial" w:hAnsi="Arial"/>
                <w:sz w:val="18"/>
                <w:szCs w:val="18"/>
                <w:color w:val="auto"/>
              </w:rPr>
              <w:t>460</w:t>
            </w:r>
          </w:p>
        </w:tc>
        <w:tc>
          <w:tcPr>
            <w:tcW w:w="760" w:type="dxa"/>
            <w:vAlign w:val="bottom"/>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In addition, we own approximately 18 acres across Sands Avenue, a portion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features:</w:t>
      </w:r>
    </w:p>
    <w:p>
      <w:pPr>
        <w:spacing w:after="0" w:line="90" w:lineRule="exact"/>
        <w:rPr>
          <w:sz w:val="20"/>
          <w:szCs w:val="20"/>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 food and beverage outlets featuring signature chefs;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Las Vegas features: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resort complex.</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and is expected to be completed early in the second quarter of 2011. As a part of this project, we will be temporarily removing floors from service which will reduce our total number of rooms available during the construction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opened Wynn Macau on September 6, 2006 and completed expansions of this resort in December 2007 and November 2009. We operate our Macau Operations under a 20-year casino concession agreement granted by the Macau government in June 2002.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Macau features:</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222,000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six restaurants;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48,000 square feet of high-end, brand-name retail shopping, including stores and boutiques by Bvlgari, Chanel, Dior, Dunhill, Fendi, Ferrari, Giorgio Armani, Gucci, Hermes, Hugo Boss, Louis Vuitton, Miu Miu, Piaget, Prada, Rolex, Tiffany, Van Cleef &amp; Arpels, Versace, Vertu, Zegna and others;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Macau features:</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22,000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sky casino of approximately 12,000 square feet;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luxury hotel accommodations in 414 spacious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3,200 square feet of high-end brand name retail space featuring Chanel, Piaget and Cartier;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two restaurants;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full service luxury spa facilities.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Approximately 142 acres of land comprising Wynn Las Vegas is currently improved with a golf course. While we may develop this property in the future, we have no immediate plans to do so.</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applied to the government of Macau for a land concession on approximately 52 aces of land on Cotai and is awaiting final government approval on the concession. We continue work on the concept and design of this property, but cannot prepare a final timeline or budget until government approval on the land concession has been received.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contracted credit markets and reduced consumer spending, the outlook for the gaming, travel and entertainment industries domestically continues to remain highly uncertain. This slow down was particularly significant in the fourth quarter of 2008 and has continued throughout the first half of 2010, most significantly affecting our Las Vegas Operations. Based on our experience over this past year and current market conditions, we believe that our Las Vegas operations will continue to experience lower than historical room rates, casino volumes and departmental profitability. Significant new supply in Las Vegas has and will continue to put additional pressure on occupancy and room rates during 2010. As a result of the current economic and market conditions, we have focused on efficiency initiatives that we began implementing at both of our resorts and corporate offices in early 2009. We continually review the cost structure of our resorts and corporate offices to identify further opportunities to reduce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operating results in Macau were strong during the first half of 2010; however we believe that our results in Las Vegas for the six months ended June 30, 2010, continued to be adversely impacted by the weakened global economy. Disruptions in the financial markets and reduced levels of consumer spending have and may continue to adversely impact our financial results in Las Vegas. Also, our results for the three and six months ended June 30, 2010 for Wynn Macau include the operations of Encore at Wynn Macau which opened on April 21, 2010.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318,230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312,814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636,501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604,090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410,442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1,305,060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859,121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Total net revenues</w:t>
            </w:r>
          </w:p>
        </w:tc>
        <w:tc>
          <w:tcPr>
            <w:tcW w:w="3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1,032,643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723,256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1,941,561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1,463,211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340" w:type="dxa"/>
            <w:vAlign w:val="bottom"/>
            <w:vMerge w:val="restart"/>
          </w:tcPr>
          <w:p>
            <w:pPr>
              <w:jc w:val="right"/>
              <w:ind w:right="952"/>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high-end gaming customers who wager on credit, thus exposing us to increased credit risk. High-end gaming also increases the potential for variability in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Condensed Consolidated Statement of Operations is presented. There are two methods used to calculate win percentage in the casino industry. In Las Vegas and in the general casino in Macau, customers primarily purchase cash chips from gaming tables. The cash and net markers used to purchase the cash chips from gaming tables are deposited in the gaming table’s drop box. This is the base of measurement that we use in the casino at our Las Vegas Operations and in the general casino at our Macau Operations for calculating win percentage.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VIP casino in Macau, customers primarily purchase non-negotiable rolling chips from the casino cage and there is no deposit into a gaming table drop box from chips purchased from the cage. Non-negotiable chips can only be used to make wagers. Winning wagers are paid in cash chips. The loss of the non-negotiable rolling chips in the VIP casino is recorded as turnover and provides a base for measuring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effectively tracks the initial purchase of chips while the measurement method in the VIP casino in Macau effectively tracks the sum of all losing wagers. Accordingly, the base measurement in the VIP casino is much larger than the general casino. As a result, the expected win percent with the same amount of gaming win is smaller in the VIP casino in Macau when compared to the general casino in Las Vegas and Macau.</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between the two casinos. Each type of table game has its own theoretical win percentage. The life to date table games win percentage for our Las Vegas Operations is 21.9% whereas the life to date table games win percentage for the general casino at our Macau Operations is 20.2%.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VIP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2010 compared to the three months ended June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Net revenues for the three months ended June 30, 2010 are comprised of $789.2 million in casino revenues (76.4% of total net revenues) and $243.4 million of net non-casino revenues (23.6% of total net revenues). Net revenues for the three months ended June 30, 2009 were comprised of $508.3 million in casino revenues (70.3% of total net revenues) and $215 million of net non-casino revenues (29.7% of total net revenues).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June 30, 2010 of approximately $789.2 million represents a $280.9 million (or 55.2%) increase from casino revenues of $508.3 million for the three months ended June 30, 2009. Our Las Vegas Operations experienced a $7.1 million decrease in casino revenues compared to the prior year due to a 1.8% decrease in drop and a decrease in our average table games win percentage. Our average table games win percentage (before discounts) for the three months ended June 30, 2010 was 20.0%, which was below the expected range of 21% to 24% and compares to 20.7% for the prior year’s quarter. Slot handle at our Las Vegas Operations decreased 19.7% compared to the prior year quarter; however slot win declined only 1.6% as more play shifted to higher hold machines.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Casino revenues at Wynn Macau, including Encore at Wynn Macau which fully opened on April 21, 2010, increased $288 million during the three months ended June 30, 2010, compared to the prior year quarter. We experienced a 110% increase in the VIP revenue segment due to a 71.7% increase in turnover. Our win as a percent of turnover was 3.22%, which is above the expected range of 2.7% to 3.0%, and compares to 2.66% in the prior year quarter. In November 2009 we added two new private gaming salons with 29 VIP tables and on April 21, 2010 we added 37 VIP tables with the opening of Encore, which helped drive some of the growth in our VIP segment during the three months ended June 30, 2010 compared to the prior year quarter. Our VIP casino segment win as a percent of turnover includes a nominal beneficial effect attributable to non-rolling chip play. In our general casino drop increased 14% when compared to the prior year quarter and the average table games win percentage was 22.9%, which is above the expected range of 19% to 21%. The average table games win percentage for the three months ended June 30, 2009 was 21.5%. Slot handle at Wynn Macau increased 21% compared to the prior year quarter primarily due to the opening of Encore at Wynn Macau, while slot win increased 16%.</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three months ended June 30, 2010, room revenues were approximately $100.5 million, an increase of $5.3 million compared to room revenue of $95.2 million for the three months ended June 30, 2009. Room revenue at our Las Vegas Operations decreased approximately $2.6 million compared to the prior year quarter. In Las Vegas, although occupancy increased from the prior year, we continued to experience a decrease in room rates. We believe this is due to the current economic conditions in which we operate in the U.S. and increased capacity in the Las Vegas market with the opening of a new large scale casino hotel in December 2009. Room revenue at our Macau Operations increased approximately $7.9 million due to the 414 additional suites added with the addition of Encore at Wynn Macau which opened on April 21, 2010 and an increase in room rates compared to the prior year quarter.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86.7%</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June 30, 2010 included food and beverage revenues of approximately $127.4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$52.6 million, entertainment revenues of approximately $15.6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$18.8 million. Other non-gaming revenues for the three months ended June 30,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$111.6 million, retail revenues of approximately $39.8 million, entertainment revenues of approximately $12.2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$17.5 million. Food and beverage revenues at our Las Vegas Operations increased approximately $11.5 million while 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Macau Operations increased $4.3 million, as compared to the prior year quarter. The increase in Las Vegas is due primarily to business in our nightclubs including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opening of the Encore Beach Club and Surrender nightclub in May 2010. Our retail revenues in Macau increased $13.4 million, offset by a decrease of $0.6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Las Vegas. The increase in Macau is due primarily to increased sales at several outlets, the opening of Wynn and Co. Watches and Jewelry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2009, which sells Cartier and Jaeger Le Coultre products and new outlets at Encore at Wynn Macau including Chanel, Piaget and Cartier.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Entertainment revenues increased over the prior year quarter primarily due to performances by Garth Brooks in the Encore Theater which started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as well as increased revenue from our Le Rêve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three months ended June 30, 2010, departmental expenses included casino expenses of $519 million, room expenses of $31.6 million, food and beverage expenses of $72.7 million, and entertainment, retail and other expenses of $47.6 million. Also included are general and administrative expenses of approximately $95.7 million and approximately $6.9 million charged as a provision for doubtful accounts receivable. During the three months ended June 30, 2009, departmental expenses included casino expenses of $325.6 million, room expenses of $27.3 million, food and beverage expenses of $64.9 million, and entertainment, retail and other expenses of $40 million. Also included are general and administrative expenses of approximately $81.9 million and approximately $3.9 million charged as a provision for doubtful accounts receivable. Casino expenses have increased during the three months ended June 30, 2010 due to an increase in casino revenues especially at our Macau Operations where we incur a gaming tax and other levies at a rate totaling 39% in accordance with its concession agreement. Room expenses increased during the three months ended June 30, 2010, compared to the prior year quarter, primarily due to increased customer acquisition and marketing costs and the opening of Encore at Wynn Macau in April 2010.</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and increased retail sales at Wynn Macau as noted above. General and administrative expenses increased primarily due to general volume increases, real estate taxes, and higher spending associated with corporate development activities. Our provision for doubtful accounts receivable increased during the three months ended June 30, 2010, compared to the prior year’s quarter. This increase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primarily due to a reduction in the bad debt reserve taken in the prior year quarter as a result of stronger collection trends during the prior year period, as well as a higher casino revenue base for the three months ended June 30, 2010 compared to June 30,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three months ended June 30, 2010, we incurred $6.7 million of pre-opening costs. We incurred minimal pre-opening costs during the three months ended June 30, 2009. Pre-opening costs incurred during the three months ended June 30, 2010 primarily related to Encore at Wynn Macau which opened on April 21, 2010 and the Encore Beach Club which opened in Las Vegas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Depreciation and amortization for the three months ended June 30, 2010 was $101.4 million compared to $102.7 million for the three months ended June 30, 2009. This decrease is due to assets with a 5-year life being fully depreciated as of April 2010 at Wynn Las Vegas, offset in part by the depreciation of the assets of Encore at Wynn Macau which were placed into service in April 2010, and the assets of the Encore Beach Club which were placed into service in May 2010.</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maximum useful life of our assets at our Macau Operations is the remaining life of the gaming concession or land concession, which currently expires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2010, were $3 million compared to a net gain of approximately $5.9 million for the three months ended June 30, 2009. Property charges and other for the three months ended June 30, 2010 related to miscellaneous renovations, abandonments and gain/loss on sale of equipment at our resorts.</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Property charges and other for the three months ended June 30, 2009 include the return of $8.1 million of aircraft purchase deposits written off during the first quarter of 2009. On February 19, 2009, we cancelled the agreements to purchase two aircraft. The deposit on one of the aircraft was refundable to the extent another buyer was found. Due to the uncertainty as to the recoverability of this deposit and a $1.5 million nonrefundable deposit on a second aircraft, we wrote off these deposits in the first quarter of 2009. In May 2009, another buyer was found for one of the aircraft and in accordance with the original purchase agreement, a portion of the deposit was refunded. The remaining property charges were related to miscellaneous renovations, abandonments and loss on sale of equipment at our resorts.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to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Interest income was $0.6 million and $0.5 million for the six months ended June 30, 2010 and 2009, respectively. During 2010 and 2009, our short-term investment strategy has been to preserve capital while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retaining sufficient liquidity. Accordingly, our short-term investments were primarily in investments in money market accounts, U.S. Treasury Bills and time deposits with a maturity of three months or less.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Interest expense was $53.6 million, net of capitalized interest of $1.8 million, for the three months ended June 30, 2010, compared to $53.7 million, net of capitalized interest of $2.3 million, for the three months ended June 30, 2009. Our interest expense decreased primarily due to lower average borrowings outstanding on the Wynn Macau and Wynn Las Vegas credit facilities and the payoff of the Wynn Resorts term loan in June 2009, partially offset by increased interest due to the Wynn Las Vegas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issued in October 2009.</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$1.7 million for the three months ended June 30, 2010 resulting from the decrease in the fair value of our interest rate swaps from March 31, 2010 to June 30, 2010. During the three months ended June 30, 2009 we recorded a net gain of $3.3 million resulting from the net increase in the fair value of interest rate swaps between March 31, 2009 and June 30, 2009. For further information on our interest rate swaps, see Item 3 – “Quantitative and Qualitative Disclosures about Market Risk.”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As described in Note 8 to our Condensed Consolidated Financial Statements in this Quarterly Report on Form 10-Q, we completed an exchange offer for a portion of our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 April 2010. In connection with that exchange offer, the direct costs incurred with third parties of $3.2 million were expensed.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three months ended June 30, 2009, we purchased and retired outstanding loans of $375 million under the Wynn Resorts Term Loan Facility for $364.7 million, reflecting a discounted price of 97.25%. In connection with this transaction, we recognized an $8.8 million gain on early retirement of debt, net of the write-off of unamortized debt issue cost. During this same period, Wynn Resorts purchased $26.5 million face amount of the Wynn Las Vegas 6 5/8% First Mortgage Notes due 2014 through open market purchases at a discount. This transaction resulted in a gain on early extinguishment of debt of $3.1 million net of the write off of unamortized debt discount and debt issue costs. As of June 30, 2010, Wynn Resorts holds this debt and has not contributed it to its wholly-owned subsidiary, Wynn Las Vegas. However, for accounting purposes this transaction has been treated as an extinguishment of debt by Wynn Resorts.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three months ended June 30, 2010, we recorded a tax expense of $1.9 million. Our provision for income taxes is primarily comprised of increases in our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our U.S. operations. As of June 30, 2010, we no longer consider our portion of the earnings of Wynn Macau, Limited to be permanently reinvested. No additional U.S. tax provision has been made with respect to this amount as we anticipate that U.S. foreign tax credits should be sufficient to reduce any U.S. tax provision relating to such repatriation. Prior to this change, our foreign earnings attributable to periods after September 2009 were considered permanently reinvested abroad. During the three months ended June 30, 2010, the Company recognized income tax benefits related to excess tax deductions associated with stock compensation costs of $1.6 million.</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$14.8 million in such taxes for the three months ended June 30, 2010. Our non-gaming profits remain subject to the Macau Complementary Tax and casino winnings remain subject to the Macau Special Gaming tax and other levies at a rate totaling 39% in accordance with its concession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months ended June 2010, the Macau Finance Bureau commenced an examination of the 2006 and 2007 Macau income tax returns of Wynn Resorts (Macau) S.A. Since the examination is in its initial stages, we are unable to determine if it will conclude within the next 12 months. We believe that our liability for uncertain tax positions is adequate with respect to these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The $36.5 million represents the non-controlling interests share of net income for the three months ended June 30,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2010 compared to the six months ended June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Net revenues for the six months ended June 30, 2010 are comprised of $1,480.8 million in casino revenues (76.3% of total net revenues) and $460.8 million of net non-casino revenues (23.7% of total net revenues). Net revenues for the six months ended June 30, 2009 were comprised of $1,050 million in casino revenues (71.8% of total net revenues) and $413.2 million of net non-casino revenues (28.2% of total net revenues).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six months ended June 30, 2010 of approximately $1,480.8 million represents a $430.8 million (or 41%) increase from casino revenues of $1,050 million for the six months ended June 30, 2009. Our Las Vegas Operations experienced a $14.9 million increase in casino revenues compared to the prior year due to a 2.8% increase in drop and an increase in our average table games win percentage. Our average table games win percentage (before discounts) for the six months ended June 30, 2010 was 21.7%, which was within the expected range of 21% to 24% and compares to 19.2% for the prior year. Slot handle at our Las Vegas Operations decreased 23.3% compared to the prior year; however slot win decreased only 12.8%.</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Casino revenues at Wynn Macau, including the recently opened Encore at Wynn Macau which opened on April 21, 2010, increased $415.9 million during the six months ended June 30, 2010, compared to the prior year. We experienced a 77.1% increase in the VIP revenue segment due to a 79.8% increase in turnover. Our win as a percent of turnover was 2.97%, which is at the higher end of the expected range of 2.7% to 3.0%, and compares to 3.07% in the prior year. In November 2009 we added two new private gaming salons with 29 VIP tables and on April 21, 2010 we added 37 VIP tables with the opening of Encore, which helped drive some of the growth in our VIP segment during the six months ended June 30, 2010 compared to the prior year. Our VIP casino segment win as a percent of turnover includes a nominal beneficial effect attributable to non-rolling chip play. In our general casino drop increased 9.5% when compared to the prior year and the average table games win percentage was 22.5%, which is above the expected range of 19% to 21%. The average table game win percentage for the six months ended June 30, 2009 was 21.8%. Slot handle increased 8% compared to the prior year due primarily due to the opening of Encore at Wynn Macau and slot win increased 5.5%.</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six months ended June 30, 2010, room revenues were approximately $193.4 million, a decrease of $0.2 million compared to prior year room revenue of $193.6 million. Room revenue at our Las Vegas Operations decreased approximately $10.1 million compared to the prior year. In Las Vegas, we continued to experience a decrease in room rates during the six months ended June 30, 2010, compared to the six months ended June 30, 2009. We believe this is due to the current economic conditions in which we operate in the U.S. and the increased capacity in the Las Vegas market including the opening of a new large scale casino hotel in Las Vegas in December 2009. Room revenue at our Macau Operations increased approximately $9.9 million due to the 414 additional suites added with the addition of Encore at Wynn Macau in April 2010 and an increase in room rates compared to the prior year.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6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$ 200</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$ 220</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Occupancy</w:t>
            </w:r>
          </w:p>
        </w:tc>
        <w:tc>
          <w:tcPr>
            <w:tcW w:w="3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4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Macau</w:t>
            </w:r>
          </w:p>
        </w:tc>
        <w:tc>
          <w:tcPr>
            <w:tcW w:w="4200" w:type="dxa"/>
            <w:vAlign w:val="bottom"/>
            <w:gridSpan w:val="3"/>
          </w:tcPr>
          <w:p>
            <w:pPr>
              <w:jc w:val="right"/>
              <w:spacing w:after="0"/>
              <w:rPr>
                <w:sz w:val="20"/>
                <w:szCs w:val="20"/>
                <w:color w:val="auto"/>
              </w:rPr>
            </w:pPr>
            <w:r>
              <w:rPr>
                <w:rFonts w:ascii="Arial" w:cs="Arial" w:eastAsia="Arial" w:hAnsi="Arial"/>
                <w:sz w:val="18"/>
                <w:szCs w:val="18"/>
                <w:color w:val="auto"/>
              </w:rPr>
              <w:t>85.0%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$ 182</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$ 194</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Other non-casino revenues for the six months ended June 30, 2010 included food and beverage revenues of approximately $239.2 million, retail revenues of approximately $101.2 million, entertainment revenues of approximately $33.8 million, and other revenues from outlets such as the spa and salon, of approximately $34.9 million. Other non-gaming revenues for the six months ended June 30, 2009 included food and beverage revenues of approximately $221.1 million, retail revenues of approximately $74.8 million, entertainment revenues of approximately $25 million, and other revenues from outlets, including the spa and salon, of approximately $32.8 million. Food and beverage revenues at our Las Vegas Operations increased approximately $10.6 million, while our Macau Operations increased $7.5 million, as compared to the prior year. The increase in Las Vegas is due primarily to business in our nightclubs including the opening of the Encore Beach Club and Surrender nightclub in May 2010. Retail revenues at our Macau Operations increased $27.7 million, offset by a decrease of $1.3 million in Las Vegas. The increase in Macau is due primarily to increased sales at several outlets, the opening of Wynn and Co. Watches and Jewelry in November 2009, which sells Cartier and Jaeger Le Coultre products and new outlets at Encore at Wynn Macau including Chanel, Piaget and Cartier. Entertainment revenues increased over the prior year primarily due to performances by Garth Brooks in the Encore Theater which started in December 2009, as well as increased revenue from our Le Rêve show.</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During the six months ended June 30, 2010, departmental expenses included casino expenses of $967.2 million, room expenses of $62.8 million, food and beverage expenses of $134.5 million, and entertainment, retail and other expenses of $97.8 million. Also included are general and administrative expenses of approximately $182.7 million and approximately $13.9 million charged as a provision for doubtful accounts receivable. During the six months ended June 30, 2009, departmental expenses included casino expenses of $699.6 million, room expenses of $54.4 million, food and beverage expenses of $125.7 million, and entertainment and retail and other expenses of $76 million. Also included are general and administrative expenses of approximately $174.8 million and approximately $7.8 million charged as a provision for doubtful accounts receivable. Casino expenses have increased during the six months ended June 30, 2010 due to an increase in casino revenues especially at our Macau Operations where we incur a gaming tax and other levies at rate totaling 39% in accordance with its concession agreement. Room expenses increased during the six months ended June 30, 2010, compared to the prior year, primarily due to increased customer acquisition and marketing costs and the opening of Encore at Wynn Macau in April 2010.</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and increased retail sales in Macau as noted above. General and administrative expenses increased primarily due to general volume increases, real estate taxes, and higher spending associated with corporate development activities. Our provision for doubtful accounts receivable increased during the six months ended June 30, 2010, compared to the prior year. This increase is primarily due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a reduction in the bad debt reserve taken in the prior year as a result of stronger collection trends during that period, as well as a higher casino revenue base for the six months ended June 30, 2010 compared to June 30,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the six months ended June 30, 2010, we incurred $9 million of pre-opening costs. We incurred minimal preopening costs during the six months ended June 30, 2009. Pre-opening costs incurred during the six months ended June 30, 2010, primarily related to Encore at Wynn Macau which opened on April 21, 2010 and the Encore Beach Club which opened in Las Vegas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Depreciation and amortization for the six months ended June 30, 2010 was $205.9 million compared to $204.2 million for the six months ended June 30, 2009. This increase is primarily due to depreciation of the assets of Encore at Wynn Macau which were placed in to service in April 2010 and the assets of the Encore Beach Club which were placed in to service in May 2010, offset by a decrease due to assets with a 5-year life being fully depreciated as of April 2010 at Wynn Las Vegas.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Property charges and other for the six months ended June 30, 2010, were $4.8 million compared to approximately $10.5 million for the six months ended June 30, 2009. Property charges and other for the six months ended June 30, 2010 related to miscellaneous renovations, abandonments and gain/loss on sale of equipment at our resorts.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Property charges and other for the six months ended June 30, 2009 include the write-off of $14.9 million of aircraft purchase deposits. On February 19, 2009, we cancelled agreements to purchase two aircraft. The deposit on one of the aircraft was refundable to the extent another buyer was found. Due to the uncertainty as to the recoverability of this deposit and a $1.5 million nonrefundable deposit on a second aircraft, we wrote off these deposits in the first quarter of 2009. In the second quarter of 2009 another buyer was found and we recovered $8.1 million of our deposit. The remaining property charges were related to miscellaneous renovations, abandonments and loss on sale of equipment at our resorts.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Interest income was $0.9 million and $0.8 million for the six months ended June 30, 2010 and 2009, respectively. During 2010 and 2009, our short-term investment strategy has been to preserve capital while retaining sufficient liquidity. Accordingly, our short-term investments were primarily in investments in money market accounts, U.S. Treasury Bills and time deposits with a maturity of three months or less.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Interest expense was $102.9 million, net of capitalized interest of $7.2 million, for the six months ended June 30, 2010, compared to $110.7 million, net of capitalized interest of $4.7 million, for the six months ended June 30, 2009. Our interest expense decreased primarily due to lower average borrowings outstanding on the Wynn Macau and Wynn Las Vegas credit facilities, an increase in capitalized interest during the period and the payoff of the Wynn Resorts term loan in June 2009. These decreases were offset by an increase related to the Wynn Las Vegas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issued in October 2009.</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$5.3 million for the six months ended June 30, 2010 resulting from the decrease in the fair value of our interest rate swaps from December 31, 2009 to June 30, 2010. During the six months ended June 30, 2009 we recorded a net gain of $4.4 million resulting from the net increase in the fair value of interest rate swaps between December 31, 2008 and June 30, 2009. For further information on our interest rate swaps, see Item 3 – “Quantitative and Qualitative Disclosures about Market Risk.”</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As described in Note 8 to our Condensed Consolidated Financial Statements in this Quarterly Report on Form 10-Q, we completed an exchange offer for a portion of our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 April 2010. In connection with that exchange offer, the direct costs incurred with third parties of $3.2 million were expensed.</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During the six months ended June 30, 2009, we purchased and retired outstanding loans of $375 million under the Wynn Resorts Term Loan Facility at a discounted price of 97.25%. In connection with this transaction, we recognized an $8.8 million gain on early retirement of debt, net of the write-off of unamortized debt issue cost. During this same period, we purchased $65.8 million face amount of the Wynn Las Vegas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This transaction resulted in a gain on early extinguishment of debt of $13.7 million, net of the write off of unamortized debt discount and debt issue costs. As of June 30, 2010, Wynn Resorts holds this debt and has not contributed it to its wholly-owned subsidiary, Wynn Las Vegas. However, for accounting purposes this transaction has been treated as an extinguishment of debt by Wynn Resorts.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six months ended June 30, 2010, we recorded a tax expense of $7 million. Our provision for income taxes is primarily comprised of increases in our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our U.S. operations. As of June 30, 2010, we no longer consider our portion of the earnings of Wynn Macau, Limited to be permanently reinvested. No additional U.S. tax provision has been made with respect to this amount as we anticipate that U.S. foreign tax credits should be sufficient to reduce any U.S. tax provision relating to such repatriation. Prior to this change, our earnings attributable to periods after September 2009, were considered permanently reinvested abroad. The decrease in our current deferred tax liability is primarily attributable to the repatriation of approximately $1.14 billion of Wynn Macau, Limited IPO proceeds not considered permanently reinvested. During the six months ended June 30, 2010, the Company recognized income tax benefits related to excess tax deductions associated with stock compensation costs of $1.9 million.</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$28.1 million in such taxes for the six months ended June 30, 2010. Our non-gaming profits remain subject to the Macau Complementary Tax and casino winnings remain subject to the Macau Special Gaming tax and other levies at a rate totaling 39% in accordance with its concession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six months ended June 2010, the Macau Finance Bureau commenced an examination of the 2006 and 2007 Macau income tax returns of Wynn Resorts (Macau) S.A. Since the examination is in its initial stages, we are unable to determine if it will conclude within the next 12 months. We believe that our liability for uncertain tax positions is adequate with respect to these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October 2009, Wynn Macau, Limited, our newly formed and indirect wholly-owned subsidiary and the developer, owner and operator of Wynn Macau, listed its ordinary shares of common stock on The Stock Exchange of Hong Kong Limited. Wynn Macau, Limited sold 1,437,500,000 shares (27.7%) of its common stock through an initial public offering. The $67.4 million represents the non-controlling interests share of net income for the six months ended June 30,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Adjusted property EBITDA is used by us to manage the operating results of our segments. The following table summarizes adjusted property EBITDA for our domestic (Las Vegas) and foreign (Macau) operations as reviewed by management and summarized and defined in Note 17 to our Condensed Consolidated Financial Statements in this Quarterly Report on Form 10-Q. Note 17 also presents a reconciliation of adjusted property EBITDA to net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65,126</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125,431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119,357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Macau</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216,248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397,838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231,816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192,679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523,269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351,173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past several quarters we have experienced economic disparity between our domestic (Las Vegas) and our foreign (Macau) operations. Adjusted property EBITDA has grown at our Macau Operations, while we have experienced little or no growth in Las Vegas. This disparity is a direct result of areas of economic weakness and expansion of supply, especially the United States. Demand in Las Vegas has significantly declined while demand in Macau has steadily increased. During 2010, the gaming and hotel markets in Las Vegas continued to experience very little growth in visitation and Las Vegas Strip gaming revenue, as well as continued declines in average daily room rates, all as compared to the prior year. While our customers in the United States have greatly reduced their spending levels due to weakness in the overall economy, increases in unemployment and weak consumer confidence, our customer base and market in Macau has not been impacted by such economic factors and continues to grow.</w:t>
      </w:r>
    </w:p>
    <w:p>
      <w:pPr>
        <w:spacing w:after="0" w:line="118"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Also contributing to the decrease in our Las Vegas Operations adjusted property EBITDA from 2009 to 2010 was the opening of Encore at Wynn Las Vegas in December 2008. While we added significant capacity to our Las Vegas operations, we experienced a relatively small increase in revenues while incurring significant additional operating expenses. Our Macau adjusted property EBITDA has increased as that market continues to grow and as we have expanded our resort. Refer to the discussions above regarding the specific details of our results of operations.</w:t>
      </w:r>
    </w:p>
    <w:p>
      <w:pPr>
        <w:spacing w:after="0" w:line="188"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operating cash flows primarily consist of operating income generated by our Las Vegas and Macau resorts (excluding non-cash charges), interest paid and changes in working capital accounts such as receivables, inventories, prepaid expenses and payables. Our table games play both in Macau and Las Vegas is a mix of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play and credit play, while our slot machine play is conducted primarily on a cash basis. A significant portion of our table games revenue is attributable to the play of a limited number of high-end international customers that gamble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provided by operations for the six months ended June 30, 2010 was $422.6 million compared to $171.7 million provided by operations for the six months ended June 30, 2009. This increase is primarily due to the increase in operating income as a result of increased casino department profitability at our Macau Operations as described above. Also contributing to this increase was the positive impact of ordinary working capital changes driven by accrued expenses and a decrease in cash paid for interest during the six months ended June 30,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require a certain amount of cash on hand for operations. At June 30, 2010, we had approximately $1.86 billion of cash and cash equivalents available for operations, debt service and retirement, development activities, general corporate purposes and enhancements to our resorts. Approximately $1.2 billion of our cash balance is held by Wynn Resorts, Limited, which is not a guarantor of the debt of its subsidiaries, including Wynn Las Vegas, LLC and Wynn Macau, S.A. As of June 30, 2010, we had approximately $146.3 million available to draw under our Wynn Las Vegas credit facilities and approximately $869.8 million available to draw under our Wynn Macau credit facilities. Except for scheduled quarterly payments on two notes payable totaling $0.9 million, we have no debt maturities in 2010. We believe that cash flow from operations and our existing cash balances will be adequate to satisfy our anticipated uses of capital during 2010.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include investments in U.S. Treasury Bills, money market accounts and bank time deposits, all with maturities of less than 90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days.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Capital expenditures were approximately $188.6 million for the six months ended June 30, 2010, and related primarily to the construction of Encore at Wynn Macau and the Beach Club at Encore at Wynn Las Vegas.</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Encore at Wynn Macau opened on April 21, 2010. Total development and construction costs were approximately $550 million. As of June 30, 2010, we have incurred approximately $537.5 million of project costs related to the development and construction of Encore at Wynn Macau.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June 30, 2010, we had borrowed $291.7 million under the Wynn Las Vegas Revolver. We also had $19.9 million of outstanding letters of credit that reduce our availability under the Wynn Las Vegas Revolver. We have availability of approximately $146.3 million under the Wynn Las Vegas Revolver as of June 30, 2010.</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6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and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First Mortgage Notes and senior in right of payment to all of their existing and future subordinated indebtedness.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wholly-owned subsidiary of us,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As of April 23, 2010, the expiration date, approximately $352 million of the 2014 Notes were validly tendered for exchange to the 2020 Notes. The exchange offer closed on April 28, 2010.</w:t>
      </w:r>
    </w:p>
    <w:p>
      <w:pPr>
        <w:spacing w:after="0" w:line="118" w:lineRule="exact"/>
        <w:rPr>
          <w:sz w:val="20"/>
          <w:szCs w:val="20"/>
          <w:color w:val="auto"/>
        </w:rPr>
      </w:pPr>
    </w:p>
    <w:p>
      <w:pPr>
        <w:jc w:val="both"/>
        <w:ind w:right="40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guaranteed by certain of Wynn Las Vegas, LLC’s subsidiaries and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$3.5 million. In accordance with accounting standards, this will be included as deferred financing costs and amortized over the life of the 2020 Notes.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August 2010, Wynn Las Vegas issued $1.32 billion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(the “New 2020 Notes”), concurrently tendered for all of its 2014 Notes, and amended its Credit Facilities. For a description of this transaction see Note 18 to the Condensed Consolidated Financial Statements in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June 30, 2010, our Wynn Macau credit facilities, as amended, consisted of a $550 million equivalent fully-funded senior term loan facility (the “Wynn Macau Term Loan”), and a $1 billion equivalent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During the six months ended June 30, 2010, we repaid approximately $371 million of borrowings under the Wynn Macau Revolver. As of June 30, 2010, the Wynn Macau Term Loan was fully drawn and we had borrowed $130.2 million under the Wynn Macau Revolver. We have approximately $869.8 million of availability under the Wynn Macau Revolver as of June 30, 2010.</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26, 2010, we paid a dividend of $0.25 per share, totaling $ 30.9 million, to holders of record on May 12,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June 30, 2010, we had outstanding letters of credit totaling $19.9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Other than the paydown of approximately $371 million under our Wynn Macau Revolver, and the exchange offer at Wynn Las Vegas described in Note 8 to our Condensed Consolidated Financial Statements in this Quarterly Report on Form 10-Q, there have been no material changes during the quarter to our contractual obligations or off balance sheet arrangements as disclosed in our Annual Report on Form 10-K for the year ended December 31, 2009.</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2014 Notes, the 2017 Notes and the 2020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provided certain conditions are met, distributions of earnings and the distribution of loan proceeds. As a result of the sale of shares in Wynn Macau, Limited in October 2009, we have approximately $1.2 billion of available cash that is not subject to such restrictions.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availability under the Wynn Las Vegas Revolver. We cannot assure you, however, that our Las Vegas Operations will generate sufficient cash flow from operations or that the availability of additional indebtedness, if any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 continuing basis, we and our subsidiaries will evaluate, depending on market conditions, purchasing, refinancing, exchanging, tendering for or retiring certain of our outstanding debt in privately negotiated transactions, open market transactions, or by other direct or indirect means.</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2009. There has been no material change to these policies for the six months ended June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We adopted the new accounting standards on January 1, 2010. The adoption of these new accounting standards did not have a material effect on our condensed consolidated financial statements.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of June 30, 2010, we have one interest rate swap intended to hedge a portion of the underlying interest rate risk on borrowings under the Wynn Las Vegas Revolver. Under this swap agreement, we pay a fixed interest rate of 2.485% on borrowings of $250 million incurred under the Wynn Las Vegas Revolver in exchange for receipts on the same amount at a variable interest rate based on the applicable LIBOR at the time of payment. This interest rate swap fixes the interest rate on $250 million of borrowings under the Wynn Las Vegas Revolver at approximately 5.485%. This interest rate swap agreement matures in November 2012. Changes in the fair value of this interest rate swap have and will continue to be recorded as an increase/ (decrease) in swap fair value in our Condensed Consolidated Statements of Operations as this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June 30, 2010, we had three interest rate swaps intended to hedge a portion of the underlying interest rate risk on borrowings under the Wynn Macau Credit Facilities. Under the first swap agreement, we pay a fixed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interest rate of 3.632% on U.S. dollar borrowings of $153.8 million incurred under the Wynn Macau Term Loan in exchange for receipts on the same amounts at a variable interest rate based on the applicable LIBOR at the time of payment. This interest rate swap fixes the interest rate on $153.8 million of the current U.S. dollar borrowings under the Wynn Macau Term Loan at approximately 5.382%. Under the second swap agreement, we pay a fixed interest rate of 3.39% on Hong Kong dollar borrowings of approximately HK$991.6 million (approximately U.S. $127.9 million) incurred under the Wynn Macau Term Loan in exchange for receipts on the same amounts at a variable interest rate based on the applicable HIBOR at the time of payment. This interest rate swap fixes the interest rate on approximately $127.9 million of the current Hong Kong dollar borrowings under the Wynn Macau Term Loan at approximately 5.14%. Both of these interest rate swap agreements mature in August 2011. We entered into a third interest rate swap agreement on August 17, 2009, with an effective date of November 27, 2009, to hedge a portion of the underlying interest rate risk on borrowings under the Wynn Macau Senior Revolving Credit Facility. Under this swap agreement, we pay a fixed interest rate of 2.15% on borrowings of approximately HK$2.3 billion (approximately U.S. $300 million) incurred under the Wynn Macau Revolver in exchange for receipts on the same amount at a variable interest rate based on the applicable HIBOR at the time of payment. This interest rate swap fixes the interest rate on HK$2.3 billion (approximately U.S. $300 million) of borrowings under the Wynn Revolver at approximately 3.9%. This interest rate swap agreement matures in June 2012. Changes in the fair values of these interest rate swaps for each reporting period recorded are, and will continue to be, recognized as an increase/(decrease) in swap fair value in our Condensed Consolidated Statements of Operations as the swaps do not qualify for hedge accounting.</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June 30, 2010 and December 31, 2009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Total Interest</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b w:val="1"/>
                <w:bCs w:val="1"/>
                <w:color w:val="auto"/>
                <w:w w:val="95"/>
              </w:rPr>
              <w:t>Liability fair value:</w:t>
            </w:r>
          </w:p>
        </w:tc>
        <w:tc>
          <w:tcPr>
            <w:tcW w:w="71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Las Vegas</w:t>
            </w:r>
          </w:p>
        </w:tc>
        <w:tc>
          <w:tcPr>
            <w:tcW w:w="420" w:type="dxa"/>
            <w:vAlign w:val="bottom"/>
          </w:tcPr>
          <w:p>
            <w:pPr>
              <w:spacing w:after="0"/>
              <w:rPr>
                <w:sz w:val="14"/>
                <w:szCs w:val="14"/>
                <w:color w:val="auto"/>
              </w:rPr>
            </w:pPr>
          </w:p>
        </w:tc>
        <w:tc>
          <w:tcPr>
            <w:tcW w:w="1100" w:type="dxa"/>
            <w:vAlign w:val="bottom"/>
            <w:gridSpan w:val="2"/>
          </w:tcPr>
          <w:p>
            <w:pPr>
              <w:jc w:val="center"/>
              <w:ind w:right="438"/>
              <w:spacing w:after="0"/>
              <w:rPr>
                <w:sz w:val="20"/>
                <w:szCs w:val="20"/>
                <w:color w:val="auto"/>
              </w:rPr>
            </w:pPr>
            <w:r>
              <w:rPr>
                <w:rFonts w:ascii="Arial" w:cs="Arial" w:eastAsia="Arial" w:hAnsi="Arial"/>
                <w:sz w:val="14"/>
                <w:szCs w:val="14"/>
                <w:b w:val="1"/>
                <w:bCs w:val="1"/>
                <w:color w:val="auto"/>
                <w:w w:val="91"/>
              </w:rPr>
              <w:t>Macau</w:t>
            </w:r>
          </w:p>
        </w:tc>
        <w:tc>
          <w:tcPr>
            <w:tcW w:w="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Rate Swaps</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w w:val="77"/>
              </w:rPr>
              <w:t>thousands)</w:t>
            </w: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(amounts in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8,779</w:t>
            </w:r>
          </w:p>
        </w:tc>
        <w:tc>
          <w:tcPr>
            <w:tcW w:w="1520" w:type="dxa"/>
            <w:vAlign w:val="bottom"/>
            <w:gridSpan w:val="3"/>
            <w:shd w:val="clear" w:color="auto" w:fill="CCEEFF"/>
          </w:tcPr>
          <w:p>
            <w:pPr>
              <w:jc w:val="center"/>
              <w:ind w:right="38"/>
              <w:spacing w:after="0"/>
              <w:rPr>
                <w:sz w:val="20"/>
                <w:szCs w:val="20"/>
                <w:color w:val="auto"/>
              </w:rPr>
            </w:pPr>
            <w:r>
              <w:rPr>
                <w:rFonts w:ascii="Arial" w:cs="Arial" w:eastAsia="Arial" w:hAnsi="Arial"/>
                <w:sz w:val="18"/>
                <w:szCs w:val="18"/>
                <w:color w:val="auto"/>
                <w:w w:val="89"/>
              </w:rPr>
              <w:t>$17,067</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4,224</w:t>
            </w:r>
          </w:p>
        </w:tc>
        <w:tc>
          <w:tcPr>
            <w:tcW w:w="1520" w:type="dxa"/>
            <w:vAlign w:val="bottom"/>
            <w:gridSpan w:val="3"/>
          </w:tcPr>
          <w:p>
            <w:pPr>
              <w:jc w:val="center"/>
              <w:ind w:right="38"/>
              <w:spacing w:after="0"/>
              <w:rPr>
                <w:sz w:val="20"/>
                <w:szCs w:val="20"/>
                <w:color w:val="auto"/>
              </w:rPr>
            </w:pPr>
            <w:r>
              <w:rPr>
                <w:rFonts w:ascii="Arial" w:cs="Arial" w:eastAsia="Arial" w:hAnsi="Arial"/>
                <w:sz w:val="18"/>
                <w:szCs w:val="18"/>
                <w:color w:val="auto"/>
                <w:w w:val="89"/>
              </w:rPr>
              <w:t>$16,345</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20,569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As of June 30, 2010, approximately 91% of our long-term debt was based on fixed rates, including the notional amounts related to interest rate swaps. Based on our borrowings as of June 30, 2010, an assumed 1% change in variable rates would cause our annual interest cost to change by approximately $2.8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our Macau Operations financial condition and ability to service its debt.</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information regarding the Company’s legal matters see Note 15 to our Condensed Consolidated Financial Statements in this Quarterly Report on Form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2009. There were no material changes to those risk factors during the six months ended June 30,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beginning in 2010. On April 28, 2010, our Board of Directors declared a dividend of $0.25 per share, which was paid on May 26, 2010 to stockholders of record as of May 12, 2010. On July 29, 2010, our Board of Directors declared a dividend of $0.25 per share, payable on August 26, 2010 to stockholders of record as of August 12, 2010.</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2014 Notes, the 2017 Notes and the 2020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provided certain conditions are met, distribution of earnings and the distribution of loan proceeds. As a result of the sale of shares in Wynn Macau, Limited in October 2009, we have approximately $1.2 billion of cash that is not subject to such restrictions.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4"/>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72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(a)</w:t>
            </w:r>
          </w:p>
        </w:tc>
        <w:tc>
          <w:tcPr>
            <w:tcW w:w="10120" w:type="dxa"/>
            <w:vAlign w:val="bottom"/>
            <w:gridSpan w:val="3"/>
          </w:tcPr>
          <w:p>
            <w:pPr>
              <w:ind w:left="180"/>
              <w:spacing w:after="0"/>
              <w:rPr>
                <w:sz w:val="20"/>
                <w:szCs w:val="20"/>
                <w:color w:val="auto"/>
              </w:rPr>
            </w:pPr>
            <w:r>
              <w:rPr>
                <w:rFonts w:ascii="Arial" w:cs="Arial" w:eastAsia="Arial" w:hAnsi="Arial"/>
                <w:sz w:val="18"/>
                <w:szCs w:val="18"/>
                <w:color w:val="auto"/>
              </w:rPr>
              <w:t>Exhibits</w:t>
            </w:r>
          </w:p>
        </w:tc>
      </w:tr>
      <w:tr>
        <w:trPr>
          <w:trHeight w:val="540"/>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40" w:type="dxa"/>
            <w:vAlign w:val="bottom"/>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040" w:type="dxa"/>
            <w:vAlign w:val="bottom"/>
          </w:tcPr>
          <w:p>
            <w:pPr>
              <w:spacing w:after="0"/>
              <w:rPr>
                <w:sz w:val="24"/>
                <w:szCs w:val="24"/>
                <w:color w:val="auto"/>
              </w:rPr>
            </w:pPr>
          </w:p>
        </w:tc>
      </w:tr>
      <w:tr>
        <w:trPr>
          <w:trHeight w:val="316"/>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Second Amended and Restated Articles of Incorporation of the Registrant. </w:t>
            </w:r>
            <w:r>
              <w:rPr>
                <w:rFonts w:ascii="Arial" w:cs="Arial" w:eastAsia="Arial" w:hAnsi="Arial"/>
                <w:sz w:val="11"/>
                <w:szCs w:val="11"/>
                <w:color w:val="auto"/>
              </w:rPr>
              <w:t>(1)</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Fourth Amended and Restated Bylaws of the Registrant, as amended. </w:t>
            </w:r>
            <w:r>
              <w:rPr>
                <w:rFonts w:ascii="Arial" w:cs="Arial" w:eastAsia="Arial" w:hAnsi="Arial"/>
                <w:sz w:val="11"/>
                <w:szCs w:val="11"/>
                <w:color w:val="auto"/>
              </w:rPr>
              <w:t>(2)</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Indenture, dated as of April 28, 2010, by and among Wynn Las Vegas, LLC, Wynn Las Vegas Capital Corp., the Guarantors set forth</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therein and U.S. Bank National Association, as trustee. </w:t>
            </w:r>
            <w:r>
              <w:rPr>
                <w:rFonts w:ascii="Arial" w:cs="Arial" w:eastAsia="Arial" w:hAnsi="Arial"/>
                <w:sz w:val="11"/>
                <w:szCs w:val="11"/>
                <w:color w:val="auto"/>
              </w:rPr>
              <w:t>(3)</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April 28, 2010, by and among Wynn Las Vegas, LLC, Wynn Las Vegas Capital Corp., the</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6"/>
              </w:rPr>
              <w:t xml:space="preserve">Guarantors set forth therein, Deutsche Bank Securities Inc., Banc of America Securities LLC and J.P. Morgan Securities Inc. </w:t>
            </w:r>
            <w:r>
              <w:rPr>
                <w:rFonts w:ascii="Arial" w:cs="Arial" w:eastAsia="Arial" w:hAnsi="Arial"/>
                <w:sz w:val="11"/>
                <w:szCs w:val="11"/>
                <w:color w:val="auto"/>
                <w:w w:val="96"/>
              </w:rPr>
              <w:t>(3)</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Fourth Amendment to Amended and Restated Master Disbursement Agreement, dated April 28, 2010, by and among Wynn Las Vegas,</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Agent. </w:t>
            </w:r>
            <w:r>
              <w:rPr>
                <w:rFonts w:ascii="Arial" w:cs="Arial" w:eastAsia="Arial" w:hAnsi="Arial"/>
                <w:sz w:val="11"/>
                <w:szCs w:val="11"/>
                <w:color w:val="auto"/>
              </w:rPr>
              <w:t>(3)</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8"/>
              </w:rPr>
              <w:t>Sixth Amendment to Amended and Restated Credit Agreement dated as of April 28, 2010 among Wynn Las Vegas, LLC, Wynn Las Vegas</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LLC, Wynn Resorts Holdings, LLC, Wynn Completion Guarantor, LLC and Deutsche Bank Trust Company Americas, as Administrative</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Agent. </w:t>
            </w:r>
            <w:r>
              <w:rPr>
                <w:rFonts w:ascii="Arial" w:cs="Arial" w:eastAsia="Arial" w:hAnsi="Arial"/>
                <w:sz w:val="11"/>
                <w:szCs w:val="11"/>
                <w:color w:val="auto"/>
              </w:rPr>
              <w:t>(3)</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Employment agreement, dated May 12, 2010, by and between Worldwide Wynn, LLC and Linda C. Chen. </w:t>
            </w:r>
            <w:r>
              <w:rPr>
                <w:rFonts w:ascii="Arial" w:cs="Arial" w:eastAsia="Arial" w:hAnsi="Arial"/>
                <w:sz w:val="11"/>
                <w:szCs w:val="11"/>
                <w:color w:val="auto"/>
              </w:rPr>
              <w:t>(4)</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period ended June 30, 2010, filed with</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the SEC on August 6, 2010, formatted in Extensible Business Reporting Language (XBRL): (i) the Consolidated Statement of Income for</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the three and six month periods ended June 30, 2010 and 2009, (ii) the Consolidated Balance Sheet at June 30, 2010 and December 31,</w:t>
            </w:r>
          </w:p>
        </w:tc>
      </w:tr>
    </w:tbl>
    <w:p>
      <w:pPr>
        <w:ind w:left="1660" w:right="760"/>
        <w:spacing w:after="0" w:line="261" w:lineRule="auto"/>
        <w:rPr>
          <w:sz w:val="20"/>
          <w:szCs w:val="20"/>
          <w:color w:val="auto"/>
        </w:rPr>
      </w:pPr>
      <w:r>
        <w:rPr>
          <w:rFonts w:ascii="Arial" w:cs="Arial" w:eastAsia="Arial" w:hAnsi="Arial"/>
          <w:sz w:val="18"/>
          <w:szCs w:val="18"/>
          <w:color w:val="auto"/>
        </w:rPr>
        <w:t>2009, (iii) the Consolidated Statement of Cash Flows for the six month periods ended June 30, 2010 and 2009, and (iv)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58420</wp:posOffset>
            </wp:positionV>
            <wp:extent cx="7200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4" w:lineRule="exact"/>
        <w:rPr>
          <w:sz w:val="20"/>
          <w:szCs w:val="20"/>
          <w:color w:val="auto"/>
        </w:rPr>
      </w:pPr>
    </w:p>
    <w:p>
      <w:pPr>
        <w:ind w:left="1920" w:hanging="440"/>
        <w:spacing w:after="0" w:line="256"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fillings.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left="460" w:right="5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April 28, 2010,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May18, 2010 and incorporated herein by reference.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WYNN RESORTS, LIMITED</w:t>
      </w:r>
    </w:p>
    <w:p>
      <w:pPr>
        <w:spacing w:after="0" w:line="51" w:lineRule="exact"/>
        <w:rPr>
          <w:sz w:val="20"/>
          <w:szCs w:val="20"/>
          <w:color w:val="auto"/>
        </w:rPr>
      </w:pPr>
    </w:p>
    <w:p>
      <w:pPr>
        <w:spacing w:after="0"/>
        <w:tabs>
          <w:tab w:leader="none" w:pos="5900" w:val="left"/>
          <w:tab w:leader="none" w:pos="7940" w:val="left"/>
          <w:tab w:leader="none" w:pos="8280" w:val="left"/>
        </w:tabs>
        <w:rPr>
          <w:sz w:val="20"/>
          <w:szCs w:val="20"/>
          <w:color w:val="auto"/>
        </w:rPr>
      </w:pPr>
      <w:r>
        <w:rPr>
          <w:rFonts w:ascii="Arial" w:cs="Arial" w:eastAsia="Arial" w:hAnsi="Arial"/>
          <w:sz w:val="18"/>
          <w:szCs w:val="18"/>
          <w:color w:val="auto"/>
        </w:rPr>
        <w:t>Dated: August 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35"/>
          <w:szCs w:val="35"/>
          <w:color w:val="auto"/>
          <w:vertAlign w:val="subscript"/>
        </w:rPr>
        <w:t>/s/</w:t>
      </w:r>
      <w:r>
        <w:rPr>
          <w:sz w:val="20"/>
          <w:szCs w:val="20"/>
          <w:color w:val="auto"/>
        </w:rPr>
        <w:tab/>
      </w:r>
      <w:r>
        <w:rPr>
          <w:rFonts w:ascii="Arial" w:cs="Arial" w:eastAsia="Arial" w:hAnsi="Arial"/>
          <w:sz w:val="27"/>
          <w:szCs w:val="27"/>
          <w:color w:val="auto"/>
          <w:vertAlign w:val="subscript"/>
        </w:rPr>
        <w:t>M</w:t>
      </w:r>
      <w:r>
        <w:rPr>
          <w:rFonts w:ascii="Arial" w:cs="Arial" w:eastAsia="Arial" w:hAnsi="Arial"/>
          <w:sz w:val="22"/>
          <w:szCs w:val="22"/>
          <w:color w:val="auto"/>
          <w:vertAlign w:val="subscript"/>
        </w:rPr>
        <w:t>ATT</w:t>
      </w:r>
      <w:r>
        <w:rPr>
          <w:rFonts w:ascii="Arial" w:cs="Arial" w:eastAsia="Arial" w:hAnsi="Arial"/>
          <w:sz w:val="27"/>
          <w:szCs w:val="27"/>
          <w:color w:val="auto"/>
          <w:vertAlign w:val="subscript"/>
        </w:rPr>
        <w:t xml:space="preserve"> M</w:t>
      </w:r>
      <w:r>
        <w:rPr>
          <w:rFonts w:ascii="Arial" w:cs="Arial" w:eastAsia="Arial" w:hAnsi="Arial"/>
          <w:sz w:val="22"/>
          <w:szCs w:val="22"/>
          <w:color w:val="auto"/>
          <w:vertAlign w:val="subscript"/>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36195</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 Maddox</w:t>
      </w:r>
    </w:p>
    <w:p>
      <w:pPr>
        <w:jc w:val="center"/>
        <w:ind w:left="628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28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40"/>
          </w:cols>
          <w:pgMar w:left="240" w:top="459" w:right="11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00" w:val="left"/>
          <w:tab w:leader="none" w:pos="804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Stephen A. Wynn</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2010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2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114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spacing w:after="0"/>
              <w:rPr>
                <w:sz w:val="18"/>
                <w:szCs w:val="18"/>
                <w:color w:val="auto"/>
              </w:rPr>
            </w:pPr>
          </w:p>
        </w:tc>
        <w:tc>
          <w:tcPr>
            <w:tcW w:w="2660" w:type="dxa"/>
            <w:vAlign w:val="bottom"/>
          </w:tcPr>
          <w:p>
            <w:pPr>
              <w:jc w:val="center"/>
              <w:ind w:right="1202"/>
              <w:spacing w:after="0"/>
              <w:rPr>
                <w:sz w:val="20"/>
                <w:szCs w:val="20"/>
                <w:color w:val="auto"/>
              </w:rPr>
            </w:pPr>
            <w:r>
              <w:rPr>
                <w:rFonts w:ascii="Arial" w:cs="Arial" w:eastAsia="Arial" w:hAnsi="Arial"/>
                <w:sz w:val="14"/>
                <w:szCs w:val="14"/>
                <w:b w:val="1"/>
                <w:bCs w:val="1"/>
                <w:color w:val="auto"/>
                <w:w w:val="88"/>
              </w:rPr>
              <w:t>Stephen A. Wynn</w:t>
            </w:r>
          </w:p>
        </w:tc>
      </w:tr>
      <w:tr>
        <w:trPr>
          <w:trHeight w:val="163"/>
        </w:trPr>
        <w:tc>
          <w:tcPr>
            <w:tcW w:w="660" w:type="dxa"/>
            <w:vAlign w:val="bottom"/>
          </w:tcPr>
          <w:p>
            <w:pPr>
              <w:spacing w:after="0" w:line="163" w:lineRule="exact"/>
              <w:rPr>
                <w:sz w:val="20"/>
                <w:szCs w:val="20"/>
                <w:color w:val="auto"/>
              </w:rPr>
            </w:pPr>
            <w:r>
              <w:rPr>
                <w:rFonts w:ascii="Arial" w:cs="Arial" w:eastAsia="Arial" w:hAnsi="Arial"/>
                <w:sz w:val="18"/>
                <w:szCs w:val="18"/>
                <w:color w:val="auto"/>
              </w:rPr>
              <w:t>Title:</w:t>
            </w: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660" w:type="dxa"/>
            <w:vAlign w:val="bottom"/>
          </w:tcPr>
          <w:p>
            <w:pPr>
              <w:spacing w:after="0"/>
              <w:rPr>
                <w:sz w:val="15"/>
                <w:szCs w:val="15"/>
                <w:color w:val="auto"/>
              </w:rPr>
            </w:pP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63"/>
        </w:trPr>
        <w:tc>
          <w:tcPr>
            <w:tcW w:w="1920" w:type="dxa"/>
            <w:vAlign w:val="bottom"/>
            <w:gridSpan w:val="2"/>
          </w:tcPr>
          <w:p>
            <w:pPr>
              <w:spacing w:after="0"/>
              <w:rPr>
                <w:sz w:val="20"/>
                <w:szCs w:val="20"/>
                <w:color w:val="auto"/>
              </w:rPr>
            </w:pPr>
            <w:r>
              <w:rPr>
                <w:rFonts w:ascii="Arial" w:cs="Arial" w:eastAsia="Arial" w:hAnsi="Arial"/>
                <w:sz w:val="18"/>
                <w:szCs w:val="18"/>
                <w:color w:val="auto"/>
              </w:rPr>
              <w:t>Date: August 6, 2010</w:t>
            </w:r>
          </w:p>
        </w:tc>
        <w:tc>
          <w:tcPr>
            <w:tcW w:w="2660" w:type="dxa"/>
            <w:vAlign w:val="bottom"/>
          </w:tcPr>
          <w:p>
            <w:pPr>
              <w:spacing w:after="0"/>
              <w:rPr>
                <w:sz w:val="24"/>
                <w:szCs w:val="24"/>
                <w:color w:val="auto"/>
              </w:rPr>
            </w:pPr>
          </w:p>
        </w:tc>
      </w:tr>
      <w:tr>
        <w:trPr>
          <w:trHeight w:val="419"/>
        </w:trPr>
        <w:tc>
          <w:tcPr>
            <w:tcW w:w="660" w:type="dxa"/>
            <w:vAlign w:val="bottom"/>
          </w:tcPr>
          <w:p>
            <w:pPr>
              <w:spacing w:after="0"/>
              <w:rPr>
                <w:sz w:val="24"/>
                <w:szCs w:val="24"/>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/s/</w:t>
            </w:r>
          </w:p>
        </w:tc>
        <w:tc>
          <w:tcPr>
            <w:tcW w:w="2660" w:type="dxa"/>
            <w:vAlign w:val="bottom"/>
            <w:tcBorders>
              <w:bottom w:val="single" w:sz="8" w:color="auto"/>
            </w:tcBorders>
          </w:tcPr>
          <w:p>
            <w:pPr>
              <w:jc w:val="center"/>
              <w:ind w:right="114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spacing w:after="0"/>
              <w:rPr>
                <w:sz w:val="18"/>
                <w:szCs w:val="18"/>
                <w:color w:val="auto"/>
              </w:rPr>
            </w:pPr>
          </w:p>
        </w:tc>
        <w:tc>
          <w:tcPr>
            <w:tcW w:w="2660" w:type="dxa"/>
            <w:vAlign w:val="bottom"/>
          </w:tcPr>
          <w:p>
            <w:pPr>
              <w:jc w:val="center"/>
              <w:ind w:right="1182"/>
              <w:spacing w:after="0"/>
              <w:rPr>
                <w:sz w:val="20"/>
                <w:szCs w:val="20"/>
                <w:color w:val="auto"/>
              </w:rPr>
            </w:pPr>
            <w:r>
              <w:rPr>
                <w:rFonts w:ascii="Arial" w:cs="Arial" w:eastAsia="Arial" w:hAnsi="Arial"/>
                <w:sz w:val="14"/>
                <w:szCs w:val="14"/>
                <w:b w:val="1"/>
                <w:bCs w:val="1"/>
                <w:color w:val="auto"/>
                <w:w w:val="93"/>
              </w:rPr>
              <w:t>Matt Maddox</w:t>
            </w:r>
          </w:p>
        </w:tc>
      </w:tr>
      <w:tr>
        <w:trPr>
          <w:trHeight w:val="163"/>
        </w:trPr>
        <w:tc>
          <w:tcPr>
            <w:tcW w:w="660" w:type="dxa"/>
            <w:vAlign w:val="bottom"/>
          </w:tcPr>
          <w:p>
            <w:pPr>
              <w:spacing w:after="0" w:line="163" w:lineRule="exact"/>
              <w:rPr>
                <w:sz w:val="20"/>
                <w:szCs w:val="20"/>
                <w:color w:val="auto"/>
              </w:rPr>
            </w:pPr>
            <w:r>
              <w:rPr>
                <w:rFonts w:ascii="Arial" w:cs="Arial" w:eastAsia="Arial" w:hAnsi="Arial"/>
                <w:sz w:val="18"/>
                <w:szCs w:val="18"/>
                <w:color w:val="auto"/>
              </w:rPr>
              <w:t>Title:</w:t>
            </w: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Chief Financial Officer and Treasurer</w:t>
            </w:r>
          </w:p>
        </w:tc>
      </w:tr>
      <w:tr>
        <w:trPr>
          <w:trHeight w:val="174"/>
        </w:trPr>
        <w:tc>
          <w:tcPr>
            <w:tcW w:w="660" w:type="dxa"/>
            <w:vAlign w:val="bottom"/>
          </w:tcPr>
          <w:p>
            <w:pPr>
              <w:spacing w:after="0"/>
              <w:rPr>
                <w:sz w:val="15"/>
                <w:szCs w:val="15"/>
                <w:color w:val="auto"/>
              </w:rPr>
            </w:pP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5"/>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2019-12-10T21:39:56Z</dcterms:created>
  <dcterms:modified xsi:type="dcterms:W3CDTF">2019-12-10T21:39:56Z</dcterms:modified>
</cp:coreProperties>
</file>