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333-149556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 to exchange $400,000,000 of their outstanding</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(CUSIPs 983130 AH8 and U 98347 AD6)</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983130 AK1)</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6"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The exchange offer will expire at 5:00 p.m., New York City time, on April 29, 2008, unless we extend the exchange offer.</w:t>
      </w:r>
    </w:p>
    <w:p>
      <w:pPr>
        <w:spacing w:after="0" w:line="79" w:lineRule="exact"/>
        <w:rPr>
          <w:sz w:val="24"/>
          <w:szCs w:val="24"/>
          <w:color w:val="auto"/>
        </w:rPr>
      </w:pPr>
    </w:p>
    <w:p>
      <w:pPr>
        <w:ind w:right="160" w:firstLine="342"/>
        <w:spacing w:after="0" w:line="246" w:lineRule="auto"/>
        <w:rPr>
          <w:sz w:val="20"/>
          <w:szCs w:val="20"/>
          <w:color w:val="auto"/>
        </w:rPr>
      </w:pPr>
      <w:r>
        <w:rPr>
          <w:rFonts w:ascii="Arial" w:cs="Arial" w:eastAsia="Arial" w:hAnsi="Arial"/>
          <w:sz w:val="12"/>
          <w:szCs w:val="12"/>
          <w:color w:val="auto"/>
        </w:rPr>
        <w:t xml:space="preserve">We refer to the registered notes offered in this exchange offer as the “new notes” and to all outstanding $400,000,000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issued on November 6, 2007 as the “old notes.” The old notes were issued as additional notes under the indenture, dated as of December 14, 2004, as supplemented by a first supplemental indenture, dated as of June 29,</w:t>
      </w:r>
    </w:p>
    <w:p>
      <w:pPr>
        <w:spacing w:after="0" w:line="1" w:lineRule="exact"/>
        <w:rPr>
          <w:sz w:val="24"/>
          <w:szCs w:val="24"/>
          <w:color w:val="auto"/>
        </w:rPr>
      </w:pPr>
    </w:p>
    <w:p>
      <w:pPr>
        <w:jc w:val="both"/>
        <w:ind w:right="120"/>
        <w:spacing w:after="0" w:line="255" w:lineRule="auto"/>
        <w:rPr>
          <w:sz w:val="20"/>
          <w:szCs w:val="20"/>
          <w:color w:val="auto"/>
        </w:rPr>
      </w:pPr>
      <w:r>
        <w:rPr>
          <w:rFonts w:ascii="Arial" w:cs="Arial" w:eastAsia="Arial" w:hAnsi="Arial"/>
          <w:sz w:val="12"/>
          <w:szCs w:val="12"/>
          <w:color w:val="auto"/>
        </w:rPr>
        <w:t xml:space="preserve">2005, and a second supplemental indenture, dated as of July 29, 2005. On December 14, 2004, we issued $1.3 billion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(which we refer to as the “original 2004 notes”), which we subsequently offered to exchange for registered notes (which we refer to as the “registered 2004 notes”) substantially identical to the original 2004 notes, except that the registered 2004 notes had been registered under the Securities Act of 1933, as amended. The exchange offer for the original 2004 notes closed on June 29, 2005. The exchange offer described in this prospectus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applies only to the $400,000,000 aggregate principal amount of our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issued on November 6, 2007.</w:t>
      </w:r>
    </w:p>
    <w:p>
      <w:pPr>
        <w:spacing w:after="0" w:line="74" w:lineRule="exact"/>
        <w:rPr>
          <w:sz w:val="24"/>
          <w:szCs w:val="24"/>
          <w:color w:val="auto"/>
        </w:rPr>
      </w:pPr>
    </w:p>
    <w:p>
      <w:pPr>
        <w:ind w:right="80" w:firstLine="342"/>
        <w:spacing w:after="0" w:line="228" w:lineRule="auto"/>
        <w:rPr>
          <w:sz w:val="20"/>
          <w:szCs w:val="20"/>
          <w:color w:val="auto"/>
        </w:rPr>
      </w:pPr>
      <w:r>
        <w:rPr>
          <w:rFonts w:ascii="Arial" w:cs="Arial" w:eastAsia="Arial" w:hAnsi="Arial"/>
          <w:sz w:val="14"/>
          <w:szCs w:val="14"/>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4"/>
          <w:szCs w:val="24"/>
          <w:color w:val="auto"/>
        </w:rPr>
      </w:pPr>
    </w:p>
    <w:p>
      <w:pPr>
        <w:ind w:left="800" w:hanging="454"/>
        <w:spacing w:after="0"/>
        <w:tabs>
          <w:tab w:leader="none" w:pos="800" w:val="left"/>
        </w:tabs>
        <w:numPr>
          <w:ilvl w:val="0"/>
          <w:numId w:val="1"/>
        </w:numPr>
        <w:rPr>
          <w:rFonts w:ascii="Arial" w:cs="Arial" w:eastAsia="Arial" w:hAnsi="Arial"/>
          <w:sz w:val="12"/>
          <w:szCs w:val="12"/>
          <w:color w:val="auto"/>
        </w:rPr>
      </w:pPr>
      <w:r>
        <w:rPr>
          <w:rFonts w:ascii="Arial" w:cs="Arial" w:eastAsia="Arial" w:hAnsi="Arial"/>
          <w:sz w:val="12"/>
          <w:szCs w:val="12"/>
          <w:color w:val="auto"/>
        </w:rPr>
        <w:t>We will exchange the new notes for all outstanding old notes that are validly tendered pursuant to the exchange offer and not properly withdrawn prior to the expiration of the exchange offer.</w:t>
      </w:r>
    </w:p>
    <w:p>
      <w:pPr>
        <w:spacing w:after="0" w:line="78" w:lineRule="exact"/>
        <w:rPr>
          <w:rFonts w:ascii="Arial" w:cs="Arial" w:eastAsia="Arial" w:hAnsi="Arial"/>
          <w:sz w:val="12"/>
          <w:szCs w:val="12"/>
          <w:color w:val="auto"/>
        </w:rPr>
      </w:pPr>
    </w:p>
    <w:p>
      <w:pPr>
        <w:ind w:left="800" w:hanging="454"/>
        <w:spacing w:after="0"/>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55" w:lineRule="exact"/>
        <w:rPr>
          <w:rFonts w:ascii="Arial" w:cs="Arial" w:eastAsia="Arial" w:hAnsi="Arial"/>
          <w:sz w:val="14"/>
          <w:szCs w:val="14"/>
          <w:color w:val="auto"/>
        </w:rPr>
      </w:pPr>
    </w:p>
    <w:p>
      <w:pPr>
        <w:ind w:left="800" w:hanging="454"/>
        <w:spacing w:after="0" w:line="239" w:lineRule="auto"/>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43" w:lineRule="exact"/>
        <w:rPr>
          <w:rFonts w:ascii="Arial" w:cs="Arial" w:eastAsia="Arial" w:hAnsi="Arial"/>
          <w:sz w:val="14"/>
          <w:szCs w:val="14"/>
          <w:color w:val="auto"/>
        </w:rPr>
      </w:pPr>
    </w:p>
    <w:p>
      <w:pPr>
        <w:ind w:left="800" w:right="360" w:hanging="454"/>
        <w:spacing w:after="0" w:line="239" w:lineRule="auto"/>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3" w:lineRule="exact"/>
        <w:rPr>
          <w:rFonts w:ascii="Arial" w:cs="Arial" w:eastAsia="Arial" w:hAnsi="Arial"/>
          <w:sz w:val="14"/>
          <w:szCs w:val="14"/>
          <w:color w:val="auto"/>
        </w:rPr>
      </w:pPr>
    </w:p>
    <w:p>
      <w:pPr>
        <w:ind w:left="800" w:hanging="454"/>
        <w:spacing w:after="0"/>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55" w:lineRule="exact"/>
        <w:rPr>
          <w:rFonts w:ascii="Arial" w:cs="Arial" w:eastAsia="Arial" w:hAnsi="Arial"/>
          <w:sz w:val="14"/>
          <w:szCs w:val="14"/>
          <w:color w:val="auto"/>
        </w:rPr>
      </w:pPr>
    </w:p>
    <w:p>
      <w:pPr>
        <w:ind w:left="800" w:right="200" w:hanging="454"/>
        <w:spacing w:after="0" w:line="239" w:lineRule="auto"/>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issued the old notes in a transaction not requiring registration under the Securities Act, and as a result, transfer of the old notes is restricted. We are making the exchange offer to satisfy your registration rights as a holder of old notes.</w:t>
      </w:r>
    </w:p>
    <w:p>
      <w:pPr>
        <w:spacing w:after="0" w:line="5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 although the old notes currently trade in The PORTAL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ind w:left="3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See “ </w:t>
      </w:r>
      <w:hyperlink w:anchor="page1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 for a discussion of risks you should consider prior to tendering your old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4"/>
          <w:szCs w:val="24"/>
          <w:color w:val="auto"/>
        </w:rPr>
      </w:pPr>
    </w:p>
    <w:p>
      <w:pPr>
        <w:ind w:right="44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4"/>
          <w:szCs w:val="24"/>
          <w:color w:val="auto"/>
        </w:rPr>
      </w:pPr>
    </w:p>
    <w:p>
      <w:pPr>
        <w:ind w:right="56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date of this prospectus is April 2, 2008</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5"/>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7"/>
          </w:tcPr>
          <w:p>
            <w:pPr>
              <w:spacing w:after="0"/>
              <w:rPr>
                <w:sz w:val="17"/>
                <w:szCs w:val="17"/>
                <w:color w:val="auto"/>
              </w:rPr>
            </w:pPr>
          </w:p>
        </w:tc>
        <w:tc>
          <w:tcPr>
            <w:tcW w:w="85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7">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7">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the New Notes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Disbursement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Material United States Federal Income Tax Considerations</w:t>
              </w:r>
            </w:hyperlink>
          </w:p>
        </w:tc>
        <w:tc>
          <w:tcPr>
            <w:tcW w:w="69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800" w:type="dxa"/>
            <w:vAlign w:val="bottom"/>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1">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right="3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applications for, and maintenance of, licenses and approvals under applicable jurisdictional laws and regulations (including gaming laws and regulations);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16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160" w:firstLine="443"/>
        <w:spacing w:after="0" w:line="291" w:lineRule="auto"/>
        <w:rPr>
          <w:sz w:val="20"/>
          <w:szCs w:val="20"/>
          <w:color w:val="auto"/>
        </w:rPr>
      </w:pPr>
      <w:r>
        <w:rPr>
          <w:rFonts w:ascii="Arial" w:cs="Arial" w:eastAsia="Arial" w:hAnsi="Arial"/>
          <w:sz w:val="15"/>
          <w:szCs w:val="15"/>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Unless the context otherwise requires, all references in this prospectus to the “Company,” “we,” “us” or “our,” or similar terms, refer to Wynn Las Vegas, LLC and its consolidated</w:t>
      </w:r>
    </w:p>
    <w:p>
      <w:pPr>
        <w:spacing w:after="0" w:line="1"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6"/>
          <w:szCs w:val="16"/>
          <w:i w:val="1"/>
          <w:iCs w:val="1"/>
          <w:color w:val="auto"/>
        </w:rPr>
        <w:t xml:space="preserve">subsidiaries (other than Wynn Completion Guarantor, LLC). The 6 </w:t>
      </w:r>
      <w:r>
        <w:rPr>
          <w:rFonts w:ascii="Arial" w:cs="Arial" w:eastAsia="Arial" w:hAnsi="Arial"/>
          <w:sz w:val="20"/>
          <w:szCs w:val="20"/>
          <w:i w:val="1"/>
          <w:iCs w:val="1"/>
          <w:color w:val="auto"/>
          <w:vertAlign w:val="superscript"/>
        </w:rPr>
        <w:t>5</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2014 are sometimes referred to herein as the “notes,” which term, except with respect to discussions of original issue discount and other income tax consequences and unless the context otherwise requires, includes the new notes, the old notes, the original 2004 notes and the registered 2004 notes. The sole member of Wynn Las Vegas, LLC is Wynn Resorts Holdings, LLC (“Wynn Holdings”), and the sole member of Wynn Holdings is Wynn Resorts, Limited (“Wynn Resorts”).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constructing an expansion of Wynn Las Vegas named “Encore at Wynn Las Vegas,” or “Encore.” We commenced operations with the opening of Wynn Las Vegas on April 28, 2005. Prior to April 28, 2005, we were solely a development stage company.</w:t>
      </w:r>
    </w:p>
    <w:p>
      <w:pPr>
        <w:spacing w:after="0" w:line="140"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 and our average daily room rate was $300, which compares favorably to the overall 90.4% average occupancy and $132 average daily room rate of Las Vegas.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Wynn Las Vegas</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 xml:space="preserve">Tryst </w:t>
      </w:r>
      <w:r>
        <w:rPr>
          <w:rFonts w:ascii="Arial" w:cs="Arial" w:eastAsia="Arial" w:hAnsi="Arial"/>
          <w:sz w:val="16"/>
          <w:szCs w:val="16"/>
          <w:color w:val="auto"/>
        </w:rPr>
        <w:t>and</w:t>
      </w:r>
      <w:r>
        <w:rPr>
          <w:rFonts w:ascii="Arial" w:cs="Arial" w:eastAsia="Arial" w:hAnsi="Arial"/>
          <w:sz w:val="16"/>
          <w:szCs w:val="16"/>
          <w:i w:val="1"/>
          <w:iCs w:val="1"/>
          <w:color w:val="auto"/>
        </w:rPr>
        <w:t xml:space="preserve"> Blush, </w:t>
      </w:r>
      <w:r>
        <w:rPr>
          <w:rFonts w:ascii="Arial" w:cs="Arial" w:eastAsia="Arial" w:hAnsi="Arial"/>
          <w:sz w:val="16"/>
          <w:szCs w:val="16"/>
          <w:color w:val="auto"/>
        </w:rPr>
        <w:t>our nightclubs</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areas of the retail promenade, a portion of the baccarat area to feature a casino bar and improved public baccarat</w:t>
      </w:r>
      <w:r>
        <w:rPr>
          <w:rFonts w:ascii="Arial" w:cs="Arial" w:eastAsia="Arial" w:hAnsi="Arial"/>
          <w:sz w:val="16"/>
          <w:szCs w:val="16"/>
          <w:i w:val="1"/>
          <w:iCs w:val="1"/>
          <w:color w:val="auto"/>
        </w:rPr>
        <w:t xml:space="preserve"> </w:t>
      </w:r>
      <w:r>
        <w:rPr>
          <w:rFonts w:ascii="Arial" w:cs="Arial" w:eastAsia="Arial" w:hAnsi="Arial"/>
          <w:sz w:val="16"/>
          <w:szCs w:val="16"/>
          <w:color w:val="auto"/>
        </w:rPr>
        <w:t>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Encore at Wynn Las Vegas</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left="200" w:right="100" w:firstLine="443"/>
        <w:spacing w:after="0" w:line="253" w:lineRule="auto"/>
        <w:rPr>
          <w:sz w:val="20"/>
          <w:szCs w:val="20"/>
          <w:color w:val="auto"/>
        </w:rPr>
      </w:pPr>
      <w:r>
        <w:rPr>
          <w:rFonts w:ascii="Arial" w:cs="Arial" w:eastAsia="Arial" w:hAnsi="Arial"/>
          <w:sz w:val="18"/>
          <w:szCs w:val="18"/>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47"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(“GMP”) for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firstLine="443"/>
        <w:spacing w:after="0" w:line="314" w:lineRule="auto"/>
        <w:rPr>
          <w:sz w:val="20"/>
          <w:szCs w:val="20"/>
          <w:color w:val="auto"/>
        </w:rPr>
      </w:pPr>
      <w:r>
        <w:rPr>
          <w:rFonts w:ascii="Arial" w:cs="Arial" w:eastAsia="Arial" w:hAnsi="Arial"/>
          <w:sz w:val="15"/>
          <w:szCs w:val="15"/>
          <w:i w:val="1"/>
          <w:iCs w:val="1"/>
          <w:color w:val="auto"/>
        </w:rPr>
        <w:t>Capitalize on the “Wynn” Brand</w:t>
      </w:r>
      <w:r>
        <w:rPr>
          <w:rFonts w:ascii="Arial" w:cs="Arial" w:eastAsia="Arial" w:hAnsi="Arial"/>
          <w:sz w:val="15"/>
          <w:szCs w:val="15"/>
          <w:color w:val="auto"/>
        </w:rPr>
        <w:t>. We believe Steve Wynn is the preeminent designer, developer and operator of destination casino resorts and, as such,</w:t>
      </w:r>
      <w:r>
        <w:rPr>
          <w:rFonts w:ascii="Arial" w:cs="Arial" w:eastAsia="Arial" w:hAnsi="Arial"/>
          <w:sz w:val="15"/>
          <w:szCs w:val="15"/>
          <w:i w:val="1"/>
          <w:iCs w:val="1"/>
          <w:color w:val="auto"/>
        </w:rPr>
        <w:t xml:space="preserve"> </w:t>
      </w:r>
      <w:r>
        <w:rPr>
          <w:rFonts w:ascii="Arial" w:cs="Arial" w:eastAsia="Arial" w:hAnsi="Arial"/>
          <w:sz w:val="15"/>
          <w:szCs w:val="15"/>
          <w:color w:val="auto"/>
        </w:rPr>
        <w:t>has 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05"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w:t>
      </w:r>
      <w:r>
        <w:rPr>
          <w:rFonts w:ascii="Arial" w:cs="Arial" w:eastAsia="Arial" w:hAnsi="Arial"/>
          <w:sz w:val="16"/>
          <w:szCs w:val="16"/>
          <w:i w:val="1"/>
          <w:iCs w:val="1"/>
          <w:color w:val="auto"/>
        </w:rPr>
        <w:t xml:space="preserve"> </w:t>
      </w:r>
      <w:r>
        <w:rPr>
          <w:rFonts w:ascii="Arial" w:cs="Arial" w:eastAsia="Arial" w:hAnsi="Arial"/>
          <w:sz w:val="16"/>
          <w:szCs w:val="16"/>
          <w:color w:val="auto"/>
        </w:rPr>
        <w:t>gaming 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 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23"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i w:val="1"/>
          <w:iCs w:val="1"/>
          <w:color w:val="auto"/>
        </w:rPr>
        <w:t>Marketing</w:t>
      </w:r>
      <w:r>
        <w:rPr>
          <w:rFonts w:ascii="Arial" w:cs="Arial" w:eastAsia="Arial" w:hAnsi="Arial"/>
          <w:sz w:val="16"/>
          <w:szCs w:val="16"/>
          <w:color w:val="auto"/>
        </w:rPr>
        <w:t>. We have positioned Wynn Las Vegas as a full-service luxury resort and casino in the leisure, convention and tour and travel markets.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Wynn Las Vegas directly to gaming customers using database marketing techniques, as well as using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20"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high roller and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left="200" w:right="840" w:firstLine="443"/>
        <w:spacing w:after="0" w:line="268" w:lineRule="auto"/>
        <w:rPr>
          <w:sz w:val="20"/>
          <w:szCs w:val="20"/>
          <w:color w:val="auto"/>
        </w:rPr>
      </w:pPr>
      <w:r>
        <w:rPr>
          <w:rFonts w:ascii="Arial" w:cs="Arial" w:eastAsia="Arial" w:hAnsi="Arial"/>
          <w:sz w:val="18"/>
          <w:szCs w:val="18"/>
          <w:color w:val="auto"/>
        </w:rPr>
        <w:t>We also create general market awareness for Wynn Las Vegas through conventions and various media channels, including television, radio, newspapers, magazines, the internet, direct mail and billboards.</w:t>
      </w:r>
    </w:p>
    <w:p>
      <w:pPr>
        <w:spacing w:after="0" w:line="132"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Las Vegas Real Estate Assets</w:t>
      </w:r>
      <w:r>
        <w:rPr>
          <w:rFonts w:ascii="Arial" w:cs="Arial" w:eastAsia="Arial" w:hAnsi="Arial"/>
          <w:sz w:val="18"/>
          <w:szCs w:val="18"/>
          <w:color w:val="auto"/>
        </w:rPr>
        <w:t>. Wynn Las Vegas is located on approximately 55 acres on the famed Las Vegas Strip. Our property is located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3.2 million square feet of convention space operated by the Las Vegas Convention and Visitors Authority and the Palazzo and Venetian Casino Resort and</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87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2087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its adjoining approximately 1.8 million square foot Sands Expo Center; diagonally across from The Mirage and the Treasure Island Hotel and Casino; directly across from the Fashion Show Mall and Trump Towers; and across from Echelon Place and The Plaza, which are currently under development. Encore is being developed on approximately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Mr. Wynn and his team bring significant experience in designing, developing and operating casino resorts. Mr. Wynn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members of our current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07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4070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Expiration Date; Tenders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583"/>
        <w:spacing w:after="0"/>
        <w:rPr>
          <w:sz w:val="20"/>
          <w:szCs w:val="20"/>
          <w:color w:val="auto"/>
        </w:rPr>
      </w:pPr>
      <w:r>
        <w:rPr>
          <w:rFonts w:ascii="Arial" w:cs="Arial" w:eastAsia="Arial" w:hAnsi="Arial"/>
          <w:sz w:val="18"/>
          <w:szCs w:val="18"/>
          <w:b w:val="1"/>
          <w:bCs w:val="1"/>
          <w:color w:val="auto"/>
        </w:rPr>
        <w:t>The Exchange Offer</w:t>
      </w:r>
    </w:p>
    <w:p>
      <w:pPr>
        <w:spacing w:after="0" w:line="245"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which we issued November 6, 2007.</w:t>
      </w:r>
    </w:p>
    <w:p>
      <w:pPr>
        <w:spacing w:after="0" w:line="166" w:lineRule="exact"/>
        <w:rPr>
          <w:sz w:val="20"/>
          <w:szCs w:val="20"/>
          <w:color w:val="auto"/>
        </w:rPr>
      </w:pPr>
    </w:p>
    <w:p>
      <w:pPr>
        <w:ind w:left="3"/>
        <w:spacing w:after="0" w:line="287" w:lineRule="auto"/>
        <w:rPr>
          <w:sz w:val="20"/>
          <w:szCs w:val="20"/>
          <w:color w:val="auto"/>
        </w:rPr>
      </w:pPr>
      <w:r>
        <w:rPr>
          <w:rFonts w:ascii="Arial" w:cs="Arial" w:eastAsia="Arial" w:hAnsi="Arial"/>
          <w:sz w:val="15"/>
          <w:szCs w:val="15"/>
          <w:color w:val="auto"/>
        </w:rPr>
        <w:t>The old notes were issued as additional notes under the indenture, dated as of December 14, 2004, as supplemented by a first supplemental indenture, dated as of June 29, 2005, and a second supplemental indenture, dated as of July 29, 2005. On December 14, 2004, we issued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w:t>
      </w:r>
    </w:p>
    <w:p>
      <w:pPr>
        <w:spacing w:after="0" w:line="1" w:lineRule="exact"/>
        <w:rPr>
          <w:sz w:val="20"/>
          <w:szCs w:val="20"/>
          <w:color w:val="auto"/>
        </w:rPr>
      </w:pPr>
    </w:p>
    <w:p>
      <w:pPr>
        <w:ind w:left="3" w:right="80"/>
        <w:spacing w:after="0" w:line="228" w:lineRule="auto"/>
        <w:rPr>
          <w:sz w:val="20"/>
          <w:szCs w:val="20"/>
          <w:color w:val="auto"/>
        </w:rPr>
      </w:pPr>
      <w:r>
        <w:rPr>
          <w:rFonts w:ascii="Arial" w:cs="Arial" w:eastAsia="Arial" w:hAnsi="Arial"/>
          <w:sz w:val="18"/>
          <w:szCs w:val="18"/>
          <w:color w:val="auto"/>
        </w:rPr>
        <w:t xml:space="preserve">the $400,000,000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84" w:lineRule="exact"/>
        <w:rPr>
          <w:sz w:val="20"/>
          <w:szCs w:val="20"/>
          <w:color w:val="auto"/>
        </w:rPr>
      </w:pPr>
    </w:p>
    <w:p>
      <w:pPr>
        <w:ind w:left="3"/>
        <w:spacing w:after="0" w:line="288" w:lineRule="auto"/>
        <w:rPr>
          <w:sz w:val="20"/>
          <w:szCs w:val="20"/>
          <w:color w:val="auto"/>
        </w:rPr>
      </w:pPr>
      <w:r>
        <w:rPr>
          <w:rFonts w:ascii="Arial" w:cs="Arial" w:eastAsia="Arial" w:hAnsi="Arial"/>
          <w:sz w:val="16"/>
          <w:szCs w:val="16"/>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87" w:lineRule="exact"/>
        <w:rPr>
          <w:sz w:val="20"/>
          <w:szCs w:val="20"/>
          <w:color w:val="auto"/>
        </w:rPr>
      </w:pPr>
    </w:p>
    <w:p>
      <w:pPr>
        <w:ind w:left="3" w:right="320"/>
        <w:spacing w:after="0" w:line="264" w:lineRule="auto"/>
        <w:rPr>
          <w:sz w:val="20"/>
          <w:szCs w:val="20"/>
          <w:color w:val="auto"/>
        </w:rPr>
      </w:pPr>
      <w:r>
        <w:rPr>
          <w:rFonts w:ascii="Arial" w:cs="Arial" w:eastAsia="Arial" w:hAnsi="Arial"/>
          <w:sz w:val="16"/>
          <w:szCs w:val="16"/>
          <w:color w:val="auto"/>
        </w:rPr>
        <w:t xml:space="preserve">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issuance of which has been registered under the Securities Act of 1933. The form and the terms of the new notes are substantially identical to those of the old notes, except that the transfer restrictions, registration rights and liquidated damages provisions relating to the old notes do not apply to the new notes.</w:t>
      </w:r>
    </w:p>
    <w:p>
      <w:pPr>
        <w:spacing w:after="0" w:line="166" w:lineRule="exact"/>
        <w:rPr>
          <w:sz w:val="20"/>
          <w:szCs w:val="20"/>
          <w:color w:val="auto"/>
        </w:rPr>
      </w:pPr>
    </w:p>
    <w:p>
      <w:pPr>
        <w:ind w:left="3" w:right="20"/>
        <w:spacing w:after="0" w:line="255" w:lineRule="auto"/>
        <w:rPr>
          <w:sz w:val="20"/>
          <w:szCs w:val="20"/>
          <w:color w:val="auto"/>
        </w:rPr>
      </w:pPr>
      <w:r>
        <w:rPr>
          <w:rFonts w:ascii="Arial" w:cs="Arial" w:eastAsia="Arial" w:hAnsi="Arial"/>
          <w:sz w:val="18"/>
          <w:szCs w:val="18"/>
          <w:color w:val="auto"/>
        </w:rPr>
        <w:t>We are offering to issue up to $400,000,000 aggregate principal amount of new notes in exchange for a like principal amount of old notes to satisfy our obligations under the registration rights agreement that we entered into when the old notes were issued in a transaction consummated in reliance upon the exemption from registration provided by Rule 144A under the Securities Act.</w:t>
      </w:r>
    </w:p>
    <w:p>
      <w:pPr>
        <w:spacing w:after="0" w:line="183" w:lineRule="exact"/>
        <w:rPr>
          <w:sz w:val="20"/>
          <w:szCs w:val="20"/>
          <w:color w:val="auto"/>
        </w:rPr>
      </w:pPr>
    </w:p>
    <w:p>
      <w:pPr>
        <w:ind w:left="3" w:right="180"/>
        <w:spacing w:after="0" w:line="332" w:lineRule="auto"/>
        <w:rPr>
          <w:sz w:val="20"/>
          <w:szCs w:val="20"/>
          <w:color w:val="auto"/>
        </w:rPr>
      </w:pPr>
      <w:r>
        <w:rPr>
          <w:rFonts w:ascii="Arial" w:cs="Arial" w:eastAsia="Arial" w:hAnsi="Arial"/>
          <w:sz w:val="16"/>
          <w:szCs w:val="16"/>
          <w:color w:val="auto"/>
        </w:rPr>
        <w:t>The exchange offer will expire at 5:00 p.m., New York City time, on April 29, 2008, unless we extend the exchange offer. By tendering your old notes, you represent to us that:</w:t>
      </w:r>
    </w:p>
    <w:p>
      <w:pPr>
        <w:spacing w:after="0" w:line="4" w:lineRule="exact"/>
        <w:rPr>
          <w:sz w:val="20"/>
          <w:szCs w:val="20"/>
          <w:color w:val="auto"/>
        </w:rPr>
      </w:pPr>
    </w:p>
    <w:p>
      <w:pPr>
        <w:ind w:left="423" w:hanging="423"/>
        <w:spacing w:after="0"/>
        <w:tabs>
          <w:tab w:leader="none" w:pos="423"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w:t>
      </w:r>
    </w:p>
    <w:p>
      <w:pPr>
        <w:spacing w:after="0" w:line="200" w:lineRule="exact"/>
        <w:rPr>
          <w:sz w:val="20"/>
          <w:szCs w:val="20"/>
          <w:color w:val="auto"/>
        </w:rPr>
      </w:pPr>
    </w:p>
    <w:p>
      <w:pPr>
        <w:sectPr>
          <w:pgSz w:w="11900" w:h="16838" w:orient="portrait"/>
          <w:cols w:equalWidth="0" w:num="2">
            <w:col w:w="3677" w:space="720"/>
            <w:col w:w="6843"/>
          </w:cols>
          <w:pgMar w:left="240" w:top="459" w:right="419" w:bottom="1440" w:gutter="0" w:footer="0" w:header="0"/>
          <w:type w:val="continuous"/>
        </w:sectPr>
      </w:pP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80" w:type="dxa"/>
            <w:vAlign w:val="bottom"/>
            <w:tcBorders>
              <w:top w:val="single" w:sz="8" w:color="auto"/>
              <w:left w:val="single" w:sz="8" w:color="auto"/>
            </w:tcBorders>
          </w:tcPr>
          <w:p>
            <w:pPr>
              <w:spacing w:after="0"/>
              <w:rPr>
                <w:sz w:val="24"/>
                <w:szCs w:val="24"/>
                <w:color w:val="auto"/>
              </w:rPr>
            </w:pPr>
          </w:p>
        </w:tc>
        <w:tc>
          <w:tcPr>
            <w:tcW w:w="11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1"/>
              </w:rPr>
              <w:t>any new notes you receive in the exchange offer are being acquired by you in the ordinary</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course of your business;</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at the time of the commencement of the exchange offer, neither you nor, to your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knowledge, anyone receiving new notes from you, has any arrangement or understanding</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with any person to participate in the distribution, as defined in the Securities Act, of the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notes in violation of the Securities Act;</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if you are a broker-dealer, you will receive the new notes for your own account in</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exchange for old notes that were acquired by you as a result of your market-making or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other trading activities and that you will deliver a prospectus in connection with any resale</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the new notes you receive; for further information regarding resales of the new notes by</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participating broker-dealers, see the discussion under the caption “Plan of Distribution”;</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if you are not a broker-dealer, you are not engaged in, and do not intend to engage in, the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distribution of the new notes, as defined in the Securities Act.</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New York City time, on April 29, 2008, which date we may extend if we extend the exchange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89"/>
              </w:rPr>
              <w:t>offer. If we decide for any reason not to accept any old notes tendered for exchange, the old notes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will be returned to the registered holder at our expense promptly after the expiration or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3"/>
              </w:rPr>
              <w:t>termination of the exchange offer. In the case of old notes tendered by book-entry transfer into</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7"/>
              </w:rPr>
              <w:t>unaccepted old notes will be credited to the tendering holder’s account at DTC. For further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information regarding the withdrawal of tendered old notes, see “The Exchange Offer—Terms of</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Rights.”</w:t>
            </w:r>
          </w:p>
        </w:tc>
      </w:tr>
      <w:tr>
        <w:trPr>
          <w:trHeight w:val="412"/>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our acceptance of the old notes:</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SEC;</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governmental agency that might materially impair our or our guarantors’ ability to proceed</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with the exchange offer;</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Borders>
              <w:left w:val="single" w:sz="8" w:color="auto"/>
            </w:tcBorders>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89"/>
              </w:rPr>
              <w:t>there has been proposed, adopted, or enacted any law, statute, rule or regulation that, in our</w:t>
            </w:r>
          </w:p>
        </w:tc>
      </w:tr>
      <w:tr>
        <w:trPr>
          <w:trHeight w:val="216"/>
        </w:trPr>
        <w:tc>
          <w:tcPr>
            <w:tcW w:w="348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offer.</w:t>
            </w:r>
          </w:p>
        </w:tc>
      </w:tr>
      <w:tr>
        <w:trPr>
          <w:trHeight w:val="161"/>
        </w:trPr>
        <w:tc>
          <w:tcPr>
            <w:tcW w:w="3480" w:type="dxa"/>
            <w:vAlign w:val="bottom"/>
            <w:tcBorders>
              <w:left w:val="single" w:sz="8" w:color="auto"/>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3"/>
              </w:rPr>
              <w:t>Unless you comply with the procedure described below under the caption “The Exchange Offer</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sending (i) the certificates for your old notes (in proper form for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3"/>
              </w:rPr>
              <w:t>transfer), (ii) a properly completed and duly executed letter of transmittal and (iii) all other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documents required by the letter of transmittal to U.S. Bank National Association,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exchange agent, at one of the addresses listed below under the caption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using the book-entry transfer procedures described below and</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6"/>
              </w:rPr>
              <w:t>transmitting a properly completed and duly executed letter of transmittal, or an agent’s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message instead of the letter of transmittal, to the exchange agent. For a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transfer to constitute a valid tender of your old notes in the exchange offer, U.S. Bank</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National Association, as exchange agent, must receive a confirmation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transfer of your old notes into the exchange agent’s account at DTC prior to the expiration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or termination of the exchange offer. For more information regarding the use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transfer procedures, including a description of the required agent’s message, see the</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discussion below under the caption “The Exchange Offer—Book-Entry Transfers.”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used in this prospectus, the term “agent’s message” means a message, transmitted by DTC</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to and received by the exchange agent and forming a part of a book-entry confirmation,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which states that DTC has received an express acknowledgment from the tendering</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participant stating that such participant has received and agrees to be bound by the letter of</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transmittal and that we may enforce such letter of transmittal against such participant.</w:t>
            </w:r>
          </w:p>
        </w:tc>
      </w:tr>
      <w:tr>
        <w:trPr>
          <w:trHeight w:val="412"/>
        </w:trPr>
        <w:tc>
          <w:tcPr>
            <w:tcW w:w="3560" w:type="dxa"/>
            <w:vAlign w:val="bottom"/>
          </w:tcPr>
          <w:p>
            <w:pPr>
              <w:ind w:left="200"/>
              <w:spacing w:after="0"/>
              <w:rPr>
                <w:sz w:val="20"/>
                <w:szCs w:val="20"/>
                <w:color w:val="auto"/>
              </w:rPr>
            </w:pPr>
            <w:r>
              <w:rPr>
                <w:rFonts w:ascii="Arial" w:cs="Arial" w:eastAsia="Arial" w:hAnsi="Arial"/>
                <w:sz w:val="18"/>
                <w:szCs w:val="18"/>
                <w:color w:val="auto"/>
              </w:rPr>
              <w:t>Guaranteed Delivery Procedures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0"/>
              </w:rPr>
              <w:t>If you are a registered holder of old notes and wish to tender your old notes in the exchange offer,</w:t>
            </w:r>
          </w:p>
        </w:tc>
      </w:tr>
      <w:tr>
        <w:trPr>
          <w:trHeight w:val="222"/>
        </w:trPr>
        <w:tc>
          <w:tcPr>
            <w:tcW w:w="35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720" w:type="dxa"/>
            <w:vAlign w:val="bottom"/>
          </w:tcPr>
          <w:p>
            <w:pPr>
              <w:spacing w:after="0"/>
              <w:rPr>
                <w:sz w:val="19"/>
                <w:szCs w:val="19"/>
                <w:color w:val="auto"/>
              </w:rPr>
            </w:pPr>
          </w:p>
        </w:tc>
      </w:tr>
      <w:tr>
        <w:trPr>
          <w:trHeight w:val="297"/>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time will not permit your old notes or other required documents to reach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procedure for book-entry transfer cannot be completed prior to the expiration or</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r>
        <w:trPr>
          <w:trHeight w:val="161"/>
        </w:trPr>
        <w:tc>
          <w:tcPr>
            <w:tcW w:w="3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20" w:type="dxa"/>
            <w:vAlign w:val="bottom"/>
          </w:tcPr>
          <w:p>
            <w:pPr>
              <w:ind w:left="9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12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180"/>
          </w:cols>
          <w:pgMar w:left="240" w:top="459" w:right="479" w:bottom="1440" w:gutter="0" w:footer="0" w:header="0"/>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9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866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you cannot rely on the applicable interpretations of the staff of the SEC;</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not be entitled to tender your old notes in the exchange offer; and</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7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40"/>
          </w:cols>
          <w:pgMar w:left="240" w:top="459" w:right="419" w:bottom="1440" w:gutter="0" w:footer="0" w:header="0"/>
          <w:type w:val="continuous"/>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32"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120"/>
        <w:spacing w:after="0" w:line="286"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w:t>
      </w:r>
    </w:p>
    <w:p>
      <w:pPr>
        <w:spacing w:after="0" w:line="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later of (i) 180 days following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registration statement containing</w:t>
      </w:r>
    </w:p>
    <w:p>
      <w:pPr>
        <w:spacing w:after="0" w:line="14" w:lineRule="exact"/>
        <w:rPr>
          <w:sz w:val="20"/>
          <w:szCs w:val="20"/>
          <w:color w:val="auto"/>
        </w:rPr>
      </w:pPr>
    </w:p>
    <w:p>
      <w:pPr>
        <w:ind w:left="4400" w:right="220"/>
        <w:spacing w:after="0" w:line="224" w:lineRule="auto"/>
        <w:rPr>
          <w:sz w:val="20"/>
          <w:szCs w:val="20"/>
          <w:color w:val="auto"/>
        </w:rPr>
      </w:pPr>
      <w:r>
        <w:rPr>
          <w:rFonts w:ascii="Arial" w:cs="Arial" w:eastAsia="Arial" w:hAnsi="Arial"/>
          <w:sz w:val="18"/>
          <w:szCs w:val="18"/>
          <w:color w:val="auto"/>
        </w:rPr>
        <w:t>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 See “Plan of Distribution” beginning on page 176 for more information.</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038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we issued the old notes on November 6, 2007,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the exchange offer registration statement with the SEC on or prior to March 5, 2008;</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use all commercially reasonable efforts to cause the exchange offer registration statement to be declared effective no later than July 3, 2008;</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6"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w:t>
      </w:r>
    </w:p>
    <w:p>
      <w:pPr>
        <w:spacing w:after="0" w:line="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820"/>
        <w:spacing w:after="0"/>
        <w:rPr>
          <w:sz w:val="20"/>
          <w:szCs w:val="20"/>
          <w:color w:val="auto"/>
        </w:rPr>
      </w:pPr>
      <w:r>
        <w:rPr>
          <w:rFonts w:ascii="Arial" w:cs="Arial" w:eastAsia="Arial" w:hAnsi="Arial"/>
          <w:sz w:val="16"/>
          <w:szCs w:val="16"/>
          <w:color w:val="auto"/>
        </w:rPr>
        <w:t>for each day that we default on our registration obligations, increasing by an additional</w:t>
      </w:r>
    </w:p>
    <w:p>
      <w:pPr>
        <w:spacing w:after="0" w:line="32" w:lineRule="exact"/>
        <w:rPr>
          <w:sz w:val="20"/>
          <w:szCs w:val="20"/>
          <w:color w:val="auto"/>
        </w:rPr>
      </w:pPr>
    </w:p>
    <w:p>
      <w:pPr>
        <w:ind w:left="4820"/>
        <w:spacing w:after="0" w:line="302" w:lineRule="auto"/>
        <w:rPr>
          <w:sz w:val="20"/>
          <w:szCs w:val="20"/>
          <w:color w:val="auto"/>
        </w:rPr>
      </w:pPr>
      <w:r>
        <w:rPr>
          <w:rFonts w:ascii="Arial" w:cs="Arial" w:eastAsia="Arial" w:hAnsi="Arial"/>
          <w:sz w:val="16"/>
          <w:szCs w:val="16"/>
          <w:color w:val="auto"/>
        </w:rPr>
        <w:t>$0.05 per week per $1,000 of the principal amount of old notes for each subsequent 90-day period our registration obligations are not met, up to a maximum of liquidated damages equal to $0.50 per week per $1,000 of the principal amount of old notes.</w:t>
      </w: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color w:val="auto"/>
        </w:rPr>
        <w:t>The terms of the new notes and those of the outstanding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536"/>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$400,000,000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December 1, 2014.</w:t>
            </w:r>
          </w:p>
        </w:tc>
      </w:tr>
      <w:tr>
        <w:trPr>
          <w:trHeight w:val="304"/>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Upon consummation of the exchange offer, the new notes will be pari passu with, and will vote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with, the old notes, the original 2004 notes and the registered 2004 notes on any matter submitted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to noteholders. However, because the old notes were issued with more than de minimis original</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issue discount, upon consummation of the exchange offer, the new notes will be of a separate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series from, and will have a different CUSIP number than, the registered 2004 notes and will not</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be fungible with the registered 2004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The new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6"/>
              </w:rPr>
              <w:t>Capital, which is a co-issuer of the new notes, and Wynn Completion Guarantor, LLC) on an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equal and ratable basis with the guarantees by such guarantors of our credit facilities.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guarantees may be released if the lenders under our credit facilities release the corresponding</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guarantees provided by such guarantors in respect of our credit facilities and certain other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conditions set forth in the indenture are satisfied.</w:t>
            </w:r>
          </w:p>
        </w:tc>
      </w:tr>
      <w:tr>
        <w:trPr>
          <w:trHeight w:val="522"/>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June 1 and December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The new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w:t>
            </w:r>
          </w:p>
        </w:tc>
      </w:tr>
      <w:tr>
        <w:trPr>
          <w:trHeight w:val="291"/>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guarantees of the new notes will be senior obligations of the guarantors and will rank pari</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passu in right of payment with all other senior obligations of the guarantors, including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guarantors’ obligations under our credit facilities.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liens, the new notes will be secured on an equal and ratable basis (with certain exceptions) with</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our obligations under our credit facilities,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the land on which Wynn Las Vegas is located and the land on which Encore is being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constructed, all improvements constructed in connection with Wynn Las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jc w:val="right"/>
              <w:ind w:right="55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40" w:type="dxa"/>
            <w:vAlign w:val="bottom"/>
            <w:tcBorders>
              <w:top w:val="single" w:sz="8" w:color="auto"/>
              <w:left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Vegas and Encore, all other real property held by us, certain personal property, including</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items of furniture, fixtures and equipment located within Wynn Las Vegas and Encore,</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water rights for the resort’s water feature, and all material agreements and contractual</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rights;</w:t>
            </w:r>
          </w:p>
        </w:tc>
      </w:tr>
      <w:tr>
        <w:trPr>
          <w:trHeight w:val="304"/>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Capital, Wynn Completion Guarantor, LLC and the guarantors;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 perfected first priority lien on all amounts on deposit from time to time in the completion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guarantee deposit account (currently $31.1 million).</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0"/>
              </w:rPr>
              <w:t>liens, the subsidiary guarantors’ obligations under the guarantees of the notes will be secured, on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2"/>
              </w:rPr>
              <w:t>an equal and ratable basis (with certain exceptions) with such guarantors’ obligations under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8"/>
              </w:rPr>
              <w:t>guarantees of our credit facilities, by a perfected first priority lien on substantially all of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existing and future assets of the subsidiary guarantors, including the Wynn Las Vegas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course, water rights for the golf course, and all material agreements and contractual rights.</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1"/>
              </w:rPr>
              <w:t>The notes will not be secured by World Travel, LLC’s aircraft. The notes will also not be secured</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by any proceeds on deposit from time to time in our bank proceeds account.</w:t>
            </w:r>
          </w:p>
        </w:tc>
      </w:tr>
      <w:tr>
        <w:trPr>
          <w:trHeight w:val="412"/>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Release of Collateral</w:t>
            </w: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6"/>
              </w:rPr>
              <w:t>The security interests in all of the collateral securing our obligations under the notes and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obligations of the subsidiary guarantors under the subsidiary guarantees, including the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course land, may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completion date for Encore has occurred;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lenders under our existing credit facilities release their security interest in such</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collateral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the lenders under any other outstanding secured debt (other than capital lease obligations</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and purchase money indebtedness) have released their security interest in such collateral.</w:t>
            </w:r>
          </w:p>
        </w:tc>
      </w:tr>
      <w:tr>
        <w:trPr>
          <w:trHeight w:val="297"/>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The security interests in the golf course land may also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the lenders under our existing credit facilities concurrently release their security interests in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golf course land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Encore is open and operating; and</w:t>
            </w:r>
          </w:p>
        </w:tc>
      </w:tr>
      <w:tr>
        <w:trPr>
          <w:trHeight w:val="161"/>
        </w:trPr>
        <w:tc>
          <w:tcPr>
            <w:tcW w:w="3040" w:type="dxa"/>
            <w:vAlign w:val="bottom"/>
            <w:tcBorders>
              <w:left w:val="single" w:sz="8" w:color="auto"/>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7"/>
              </w:rPr>
              <w:t>our total debt does not exceed 6.5 times our Consolidated EBITDA (as defined in the</w:t>
            </w:r>
          </w:p>
        </w:tc>
      </w:tr>
      <w:tr>
        <w:trPr>
          <w:trHeight w:val="222"/>
        </w:trPr>
        <w:tc>
          <w:tcPr>
            <w:tcW w:w="3400" w:type="dxa"/>
            <w:vAlign w:val="bottom"/>
            <w:tcBorders>
              <w:lef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indenture) for the most recent four full fiscal quarters.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However, if we incur or guarantee debt to finance costs related to the development of the golf</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course parcel into a mixed use hotel, casino and residence resort complex pursuant to the debt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incurrence baskets described below under the caption “Description of the New Notes—Certain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Covenants—Incurrence of Indebtedness and Issuance of Disqualified Stock,” then the security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interest in the golf course land may not be released without obtaining the consent of holders of at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least 90% of the outstanding principal amount of the notes.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The security interest in approximately 20 acres of the golf course land granted by one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subsidiaries may be released if the lenders under our credit facilities concurrently release their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lien on such land (other than pursuant to a refinancing) and no default or event of default exists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or is continuing.</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 addition, the indenture provides for releases of the security interests in certain collateral under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specified circumstances and also provides that security interests in the collateral can be released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 connection with asset sales, permitted investments and other permitted dispositions.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We cannot redeem the notes until December 1, 2009. On or after December 1, 2009, we may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redeem some or all of the notes at a premium declining ratably to zero, plus accrued and unpaid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0"/>
              </w:rPr>
              <w:t>The notes will be subject to redemption requirements imposed by gaming laws and regulations of</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gaming authorities in Nevada or other jurisdictions.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If a change of control occurs, we must offer to repurchase the notes at 101% of their principal</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amount, plus accrued and unpaid 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we must either reinvest the proceeds of such sale in Wynn Las Vegas or Encore, or offer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89"/>
              </w:rPr>
              <w:t>repurchase the notes and repay indebtedness under our credit facilities on a pro rata basis, subject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to certain exceptions, with any proceeds not reinvested in our business.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subsidiaries’ ability to:</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designate restricted and unrestricted subsidiaries.</w:t>
            </w: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for the notes and the agent for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facilities have entered into an intercreditor agreement that will govern the relationship among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holders of the notes, the lenders under our credit facilities and holders of permitted senior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junior indebtedness. Under the intercreditor agreement, the trustee on behalf of the holders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notes and the agent for the lenders under our credit facilities have appointed a collateral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with respect to the collateral granted in favor of the holders of the notes and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The liens on the collateral that secure the notes (which shall not include our bank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proceeds account, with respect to which the intercreditor agreement provides that the collateral</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agent will have a lien for the sole benefit of the lenders under our credit facilities) will rank pari</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passu with the liens on such collateral that secure our credit facilities and any other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senior debt, and will rank prior to the liens on such collateral that secure any permitted junior</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99"/>
              </w:rPr>
              <w:t>debt.</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Pursuant to the intercreditor agreement, each of the agent under our credit facilities and, from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after the expiration of 30 days after a payment default or acceleration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governing the notes, lenders under our credit facilities and holders of notes controlling a majority</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6"/>
              </w:rPr>
              <w:t>of the aggregate amount of loans and notes outstanding may instruct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commence the exercise of remedies against the collateral. In addition, the agent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facilities will have the right, subject to certain limited exceptions, to direct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enter into amendments of, or waive defaults under, or, subject to certain conditions, release all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collateral from, the security documents that grant liens on the collateral without obtaining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consent of the trustee or the holders of the notes. The agent under our credit facilities will also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have the right, at any time when amounts outstanding under our credit facilities equal or exceed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$100.0 million, to amend the intercreditor agreement without the consent of the trustee or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notes, for the purpose of revising or altering the subordination provisions 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respect of any junior debt provided that such amendment does not affect the provisions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relationship between the lenders under our credit facilities and the holders of the</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81"/>
              </w:rPr>
              <w:t>notes.</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Completion Guarantee</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One of our wholly owned unrestricted subsidiaries, Wynn Completion Guarantor, LLC,</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sometimes referred to as the completion guarantor, has provided a completion guarantee in favor</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of the trustee under the</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w w:val="91"/>
              </w:rPr>
              <w:t>indenture for the notes (for the benefit of the holders of the notes) and the agent under our credit</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facilities (as the representative of the lenders under our credit facilities). The completion</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0"/>
              </w:rPr>
              <w:t>guarantee consists of cash collateralized by a security interest in a collateral account holding cash</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1"/>
              </w:rPr>
              <w:t>or short-term highly rated securities and pledged to the lenders under our credit facilities and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holders of the notes as security for the completion guarantee. As of December 31, 2007, there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7"/>
              </w:rPr>
              <w:t>was $31.1 million on deposit in the completion guarantee collateral account. Subject to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intercreditor agreement, upon the occurrence of an event of default under our credit facilities or</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the indenture governing the notes, the lenders under our credit facilities and the holders of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8"/>
              </w:rPr>
              <w:t>notes will be permitted to exercise remedies against deposits in the completion guarantee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collateral account. After the satisfaction of certain conditions relating to the completion of Wynn</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Las Vegas and Encore, any amounts remaining in this account will be released to us.</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Securities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16,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As of December 31, 2007, we had total outstanding debt of approximately $2 billion. Upon the satisfaction of certain conditions, we will be able to incur up to an additional $883.3 million under our credit facilities to fund the construction of Encore. In addition, our credit agreement and the indenture for the notes permit us to incur additional indebtedness in connection with potential expansion plans under certain circumstances in the future. Our substantial indebtedness could have important consequences. For example:</w:t>
      </w:r>
    </w:p>
    <w:p>
      <w:pPr>
        <w:spacing w:after="0" w:line="32" w:lineRule="exact"/>
        <w:rPr>
          <w:sz w:val="20"/>
          <w:szCs w:val="20"/>
          <w:color w:val="auto"/>
        </w:rPr>
      </w:pPr>
    </w:p>
    <w:p>
      <w:pPr>
        <w:ind w:left="900" w:right="20" w:hanging="446"/>
        <w:spacing w:after="0" w:line="35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construction costs of Encore, which will reduce the available cash flow to fund working capital, other capital expenditures and other general corporate purposes;</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construction costs of Encore,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the notes.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customers spending less at our properties, which would adversely affect our revenues.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entirely dependent on one property for all of our cash flow, which subjects us to greater risks than a gaming company with more operating properties.</w:t>
      </w:r>
    </w:p>
    <w:p>
      <w:pPr>
        <w:spacing w:after="0" w:line="1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(opening in December 2008).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New Jersey, riverboat gaming facilities in other states, casino facilities on Native American lands and elsewhere in the world, state lotteries, and other forms of gaming. The proliferation of gaming activities in other areas could significantly harm our business as well. The impact on our business from the legalization of gaming activities in other metropolitan areas is unclear at this time. In addition, new or renovated casinos in Macau or elsewhere in Asia could draw Asian gaming customers, including high-rollers, away from Wynn Las Vegas.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Simultaneous expansion of Wynn Macau and construction of Encore may stretch management time and resources and may impact Wynn Las Vegas.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affiliate, Wynn Resorts (Macau), S.A., has commenced construction of its Wynn Diamond Suites expansion which includes an additional hotel tower and related amenities and is currently expected to open in 2010. Development and construction efforts for Encore continue. Since there is overlap of the development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construction of this project with the construction of Encore, members of Wynn Resorts’ senior management are simultaneously involved in planning and developing both of these projects. Expanding Wynn Macau simultaneously with the development and construction of Encore may divert management resources from the construction and/or completion of Encore. Management’s inability to devote sufficient time and attention to Encore may delay its construction or opening. Any delay caused by such circumstances could have a negative effect on our business and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jc w:val="both"/>
        <w:ind w:right="30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own approximately 21% and 22%, respectively, of Wynn Resorts’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0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2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USA, Inc. prior to either party selling or transferring any shares of Wynn Resorts that it owns.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Construction and Development of Encore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construction and development costs of Encore are estimates only, and actual construction and development costs may be higher than expected.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While we believe that the estimated construction and development costs for Encore are reasonable, these construction and development costs are estimates and the actual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99"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intend to fund a substantial portion of the construction and development costs of Encore and our substantial debt service and other obligations with cash flows generated by Wynn Las Vegas, which may not be sufficient to fund such construction and development costs and debt service obligations.</w:t>
      </w:r>
    </w:p>
    <w:p>
      <w:pPr>
        <w:ind w:firstLine="456"/>
        <w:spacing w:after="0" w:line="323" w:lineRule="auto"/>
        <w:rPr>
          <w:sz w:val="20"/>
          <w:szCs w:val="20"/>
          <w:color w:val="auto"/>
        </w:rPr>
      </w:pPr>
      <w:r>
        <w:rPr>
          <w:rFonts w:ascii="Arial" w:cs="Arial" w:eastAsia="Arial" w:hAnsi="Arial"/>
          <w:sz w:val="15"/>
          <w:szCs w:val="15"/>
          <w:color w:val="auto"/>
        </w:rPr>
        <w:t>Our ability to make interest payments under our credit facilities, the notes and any other indebtedness, and to fund a substantial portion of the construction and development costs of Encore, is dependent on our ability to generate sufficient cash flow from our operations at Wynn Las Vegas. We cannot assure you that Wynn Las Vegas will continue to be able to generate sufficient cash flow to make the interest payments under our credit facilities, the notes and any other indebtedness, and fund other costs (including the construction and development of Encore). Our ability to generate cash flow depends on many factors, including:</w:t>
      </w:r>
    </w:p>
    <w:p>
      <w:pPr>
        <w:spacing w:after="0" w:line="1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Some of these factors are beyond our control. Any inability to generate sufficient cash flows to meet our debt service and other obligations (including the construction and development of Encore) would have a material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Encore will post bonds guaranteeing timely completion of a subcontractor’s work and payment for all of that subcontractor’s labor and materials. We cannot assure you that these bonds will be adequate to ensure completion of the work.</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Encore may not commence operations on schedule and construction costs for the project may exceed budgeted amounts. Failure to complete Encore on schedule or within budget could result in a default under our credit facilities and may have a significant negative effect on us and on our ability to make payments on our debt,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Encore.</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2007, we had approximately $883.3 million available under our credit facilities, which we intend to use to fund construction of Encore. We expect to use the availability under our credit facilities, the proceeds of the offering of the old notes and cash flow from operations to fund the remaining construction costs of Encore.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entered into an amended and restated disbursement agreement with the agent under our credit facilities which establishes conditions for the disbursement of funds for Encore.</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construct Encore. We may not have access to alternative sources of funds necessary to construct Encore on satisfactory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default occurs with respect to the notes, the value of the collateral may not be sufficient to repay the holders of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we had approximately $225 million outstanding under our senior secured term loan credit facility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$883.7 million of borrowing availability under our revolving credit facility. Under the indenture governing the notes, we may be permitted to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that could be secured by first priority liens on the collateral, which liens would have a priority to liens securing the notes and our credit facilities.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notes, the amounts outstanding under the notes and our credit facilities. If these proceeds were not sufficient to repay amounts outstanding under the notes, after paying any higher priority creditors and sharing pari passu with obligations under our credit facilities, then holders of the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credit facilities to amend the terms of, and waive defaults under, the security documents and to amend certain provisions of the intercreditor agreement.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credit facilities. However, the intercreditor agreement grants the agent under our credit facilities certain rights that may adversely affect the interest of the holders of the notes under the security documents. The intercreditor agreement permits the agent under our credit facilities, without the consent of the holders of the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the agent under our credit facilities is entitled, at any time when the amount outstanding under our credit facilities equals or exceeds $100 million and without the consent of the trustee or the holders of the notes, to amend the subordination provisions that apply to any permitted junior secured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the holders of the notes to control decisions regarding the collateral and to take enforcement 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provides that for the first 30 days following an occurrence of an event of default under our credit facilities or a payment event of default under the indenture governing the notes, only the agent for the lenders under our credit facilities will have the right to instruct the collateral agent to enforce their security interests and initiate the exercise of remedies against the collateral, and the holders of the notes will not have any rights to direct such remedies. From and after the expiration of such 30 day period, either the agent for the lenders under our credit facilities, or the lenders under our credit facilities and the holders of the notes controlling a majority of the aggregate amount of loans and notes outstanding, may instruct the collateral agent to commence the exercise of remedies against the collateral. Given that the amount of loans advanced by the lenders under our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our credit facilities may choose to instruct the collateral agent to enforce their security interest or may initiate the exercise of other remedies against the collateral at any given time even though allowing us additional time to resolve any issues or take any other actions could increase the likelihood of repayment of the notes. In addition, the intercreditor agreement includes certain provisions, such as waivers of certain rights or consents to certain proceedings in bankruptcy, that may not be enforceable in bankruptcy.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an exercise of remedies, the lenders under our credit facilities or the holders of the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notes to additional risks, including, without limitation, additional restrictions on exercising rights against collateral and on otherwise pursuing or obtaining repayment of the notes. See “—Bankruptcy laws may significantly impair your rights to repossess and dispose of collateral securing the notes, and otherwise collect on any amounts due thereunder” below.</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result of gaming restrictions, in any foreclosure sale of Wynn Las Vegas, the purchaser or the operator of the facility would need to be licensed to operate the resort’s casino under the Nevada gaming laws and regulations. If the note trustee acting on behalf of the holders of the notes or the lenders under our credit facilities purchased Wynn Las Vegas at a foreclosure sale, the note trustee or such lenders would not be permitted to continue gaming operations at Wynn Las Vegas unless they retained an entity licensed under the Nevada gaming laws to conduct gaming operations at the facility. The holders of the notes may have to be licensed or found suitable in any event.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notes trustee must obtain prior approval from, and may be required to be licensed by, the Nevada gaming authorities before the note trustee can foreclose on the pledged equity interests in our restricted subsidiaries.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and to otherwise pursue or obtain repayment of the notes, is likely to be significantly impaired or delayed by applicable bankruptcy law if a bankruptcy case is commenced by or against us prior to a taking of possession or disposition of the collateral securing the notes by the note trustee for the benefit of the holders of the notes.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notes and guarantees.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 project relate back to the date on which any contractor first commenced work. Accordingly, contractors, subcontractors and suppliers providing goods and services in connection with the expansion project who after recordation of the deed of trust securing the notes otherwise comply with the applicable requirements of Nevada law may have a lien on the property senior in priority to the lien securing the notes until they are paid in full. In the event of a liquidation, proceeds from the sale of collateral will be used to pay the holders of any mechanics’ liens then in existence before holders of the notes.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 and otherwise collect on any amounts due thereunder.</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note collateral, the right of the trustee to repossess and dispose of the note collateral upon the occurrence of an event of default under the indenture is likely to be significantly impaired by applicable bankruptcy law. A bankruptcy case may be commenced by us or by certain unsecured creditors as provided in the United States Bankruptcy Code.</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meaning of the term “adequate protection” may vary according to circumstances, but it is generally intended to protect the value of the secured creditor’s interest in the collateral from diminution as a result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noteholders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note trustee could repossess or dispose of the collateral or whether or to what extent, through the requirement of “adequate protection,” the holders of the notes would be compensated for any delay in payment or loss of value of the collateral.</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might bear on the recovery by the holders of the notes in these circumstances, among others, would include:</w:t>
      </w:r>
    </w:p>
    <w:p>
      <w:pPr>
        <w:spacing w:after="0" w:line="90" w:lineRule="exact"/>
        <w:rPr>
          <w:sz w:val="20"/>
          <w:szCs w:val="20"/>
          <w:color w:val="auto"/>
        </w:rPr>
      </w:pPr>
    </w:p>
    <w:p>
      <w:pPr>
        <w:ind w:left="900" w:right="3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original issue discount may be disallowed in a bankruptcy proceeding as unmatured interest.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notes. For example, under certain circumstances, a bankruptcy court could approve our or third parties’ motions for sales of collateral on terms favorable to us, require you to accept subordinated or other securities in exchange for the notes, or order substantive consolidation of us with Wynn Resorts in a bankruptcy in which Wynn Resorts was debtor.</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notes would be made; whether or when the trustee could foreclose upon or sell the collateral; whether the terms and conditions of the notes or any rights of the noteholders could be altered in a bankruptcy case without the trustee’s or your consent; whether the trustee or you would be able to enforce your rights against the subsidiary guarantors under their guarantees; and whether and to what extent noteholders would be compensated for any delay in payment or decline in the collateral’s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our Design Build Architectural, Engineering and Construction Services Agreement, dated as of February 27, 2007, with Tutor-Saliba Corporation for the design and construction of Encore. If a bankruptcy case were to be commenced by or against Tutor, it is possible that Tutor or a trustee appointed in its bankruptcy case might reject the Tutor construction contract pursuant to section 365 or section 1123 of the United States Bankruptcy Code, which rejection would render the contract unenforceable against Tutor. Additionally, to the extent any rejected agreement constitutes a lease of real property, the resulting claim of the lessor for damages resulting from termination may be capped pursuant to section 502(b)(6) of the United States Bankruptcy Code.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have no liens on certain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holders of the notes do not have a lien on our gaming or liquor licenses, because under the Nevada gaming laws they may not be pledged as collateral. In addition, the notes and our credit facilities are not secured by any assets related to Wynn Macau, and the holders of the notes have no claim against those assets. The notes also are not secured by, among other things, World Travel, LLC’s aircraft. Accordingly, such assets are not available to the holders upon an exercise of remedies under the collateral documents.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noteholders’ liens on all or part of the collateral will be released if certain conditions are met.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liens on all of the collateral will be released if the lenders under our credit facilities release their liens on such collateral (other than in connection with a refinancing) and (i) no default or event of default has occurred, (ii) the completion date for Encore has occurred and (iii) the lenders under any other outstanding secured debt (other than capital lease obligations and purchase money indebtedness) have released their security interest in such collateral.</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 for the notes) for the last four full fiscal quarters.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the security interests in the golf course land and the related water rights are released, the noteholders will have only a first priority lien on the assets comprising the hotel and casino, the equity interest of Wynn Holdings or Wynn Las Vegas and the equity interest in our restricted subsidiaries. In the event that the security interests on all of the collateral are released, the notes will become our unsecured obligations. As our senior unsecured obligations, the notes would be effectively subordinated to any secured indebtedness of the issuers and the guarantors up to the value of the collateral securing such indebtedness, would rank senior in right of payment to any subordinated indebtedness of the issuers and guarantors, and would rank equal in right of payment to any existing and future unsecured senior indebtedness of the issuers and guarantors.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liens on collateral provided after the notes are issued could also be avoided as preferential transfers.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indenture provides that certain future restricted subsidiaries will guarantee the notes and secure their guarantees with liens on their assets. The indenture also requires us to grant liens on certain assets that we and the existing guarantors acquire after the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guarantees, and liens, and to require noteholders to return payments received from us or the guarantors.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creditors or the creditors of our guarantors could challenge the issuance of the notes or the guarantors’ issuance of their guarantees, and the liens on the assets that secure the notes and guarantees, respectively, as fraudulent conveyances or on other grounds. Under the federal bankruptcy law and similar provisions of state fraudulent transfer laws, the issuance of notes, the delivery of the guarantees, and the granting of liens could be avoided (that is, cancelled) as fraudulent transfers if a court determined that the issuer, at the time it issued the notes or granted the liens, or the guarantor, at the time it issued the guarantee or granted the liens (or, in some jurisdictions, when payment became due under the guarantee):</w:t>
      </w:r>
    </w:p>
    <w:p>
      <w:pPr>
        <w:spacing w:after="0" w:line="35"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issued the notes or guarantees, as the case may be, or granted the liens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issued the guarantee, or granted the liens;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 court likely would find that a guarantor did not receive reasonably equivalent value or fair consideration for its guaranty or pledge of assets unless it benefited directly or indirectly from the notes issuance. If the guarantees were avoided or limited under fraudulent transfer or other laws, any claim you may make against the guarantors for amounts payable on the notes would be unenforceable to the extent of such avoidance or limitation.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 —Change of Control.”</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notes under certain circumstances. If these change of control events or similar events occur at a time when we are prohibited from repurchasing the notes, we may seek the consent of our lenders to purchase the notes or could attempt to refinance the obligations that contain these prohibitions or restrictions. If we do not obtain our lenders’ consent or refinance these obligations, we will not be able to 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notes. See “Description of the New Notes—Events of Default and Remedies.”</w:t>
      </w:r>
    </w:p>
    <w:p>
      <w:pPr>
        <w:spacing w:after="0" w:line="20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noteholders should expect payments on the notes to be delayed and/or reduced.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notes.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16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Because the old notes were issued with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 An active market may not develop for the new notes,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 price you paid for the old notes. Future trading prices of the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notes will not be subject to such volatility, either of which could have an adverse effect on the price and liquidity of the notes. We do not intend to apply for listing of the notes on any securities exchange or for quotation of the notes in any automated dealer quotation system, although the old notes currently trade in The PORTAL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85"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20" w:hanging="446"/>
        <w:spacing w:after="0" w:line="357"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investments minus capitalized interest. “Fixed charges” consist of interest cost whether expensed or capitalized, amortization of debt issuance costs and a portion of operating lease rental expense deemed to be representative of the interest factor.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table below sets forth our capitalization, on a consolidated basis, as of December 31, 2007. The data in the table should be read in conjunction with “Management’s Discussion and Analysis of Financial Condition and Results of Operations” and our consolidated financial statements and notes thereto.</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As of 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net of $10.8 million of original issue discount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Aircraft financing</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2"/>
              <w:spacing w:after="0"/>
              <w:rPr>
                <w:sz w:val="20"/>
                <w:szCs w:val="20"/>
                <w:color w:val="auto"/>
              </w:rPr>
            </w:pPr>
            <w:r>
              <w:rPr>
                <w:rFonts w:ascii="Arial" w:cs="Arial" w:eastAsia="Arial" w:hAnsi="Arial"/>
                <w:sz w:val="18"/>
                <w:szCs w:val="18"/>
                <w:color w:val="auto"/>
              </w:rPr>
              <w:t>35</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2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selected data presented below as of and for the years ended December 31, 2007, 2006, 2005, 2004 and 2003 is derived from our audited consolidated financial statements.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revenues(1)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1,139,348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200,621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(160,502)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Ratio of earnings to fixed charges(2)</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1.12X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1.87X</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Deficiency of earnings to cover fixed charges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(275,502)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As of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18,234</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investments(3)</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565,230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1,448,529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214,574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865,130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2,788,302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3,119,888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long-term obligations(4)</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927,327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1,356,593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1,683,906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2,035,653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1,276,868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Wynn Las Vegas opened on April 28, 2005.</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invested minus capitalized interest. “Fixed charges” consist of interest cost whether expensed or capitalized, amortization of debt issuance costs and a portion of operating lease rental expense deemed to be representative of the interest factor. 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3"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and equity financings that are restricted for the construction of Encore and prior to December 31, 2005 for Wynn Las Vegas.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long-term portion of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 hotel casino resort which when completed will be fully integrated with Wynn Las Vegas. Until the opening of Wynn Las Vegas in 2005, we were solely a development stage company.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Mobil Five Star and Michelin award-winning restaurant, Alex;</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Two showrooms, two nightclubs and a lounge.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Tower Suites at Wynn Las Vegas is the only casino resort in the world that holds both the Mobil five star and AAA five diamond distinctions. In addition, Wynn Las Vegas was recognized in November 2007 by Michelin, the esteemed European restaurant rating system. Two Michelin stars were awarded to Alex and one Michelin star was awarded to each of Wing Lei and Daniel Boulud Brasserie. Additionally, Wynn Las Vegas received five red pavilions, the highest for Michelin rated accommodations.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2007.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 During the year ended December 31, 2007, projects included remodeling the Le Rêve Theater to enhance the customer experience, two retail outlet conversions and the conversion of Lure to the nightclub Blush.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December 2008.</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which opened in March 2007. The project budget will be funded from our existing credit facilities, remaining proceeds from the issuance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We opened Wynn Las Vegas on April 28, 2005. Accordingly, our results of operations for the years ended December 31, 2007 and 2006 include full periods for Wynn Las Vegas, however, the year ended December 31, 2005 contains only 248 days of operations.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recorded net income for the year ended December 31, 2007 of $124.2 million, which represents a $114.4 million increase from the $9.8 million recorded during the year ended December 31, 2006. This increase is due to significant increases in revenues and operating income primarily related to our casino operations as identified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discussions of our operational performance for the periods in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2007 compared to financial results for the year ended December 31, 2006.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revenues for the year ended December 31, 2007 were comprised of $642.3 million in net casino revenues (49.6% of total net revenues) and $653.5 million of net non-casino revenues (50.4% of total net revenues). Net revenues for the year ended December 31, 2006 were comprised of $535.6 million in net casino revenues (47.0% of total net revenues) and $603.8 million of net non-casino revenues (53.0% of total net revenues). We believe the quality of our resorts’ non-casino amenities, combined with providing guests an unparalleled total resort experience, has driven a premium in our ADR and other non-gaming revenues as well as increased the length of casino play.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2007 of approximately $642.3 million represents an increase of approximately $106.8 million (or 19.9%) from casino revenues of $535.6 million for the year ended December 31,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21.0% to 24.0%.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2007, room revenues were approximately $285.7 million, which represents a $17.5 million (or 6.5%) increase over the $268.2 million generated for the year ended December 31, 2006. The increase is primarily driven by increased occupancy and rates as noted in the table of key operating measures noted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300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288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During the year ended December 31, 2007, departmental expenses included casino expenses of $276.5 million, rooms expenses of $75.8 million, food and beverage expenses of $192.5 million, and entertainment, retail and other expenses of $145.5 million. Also included are general and administrative expenses of</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approximately $199.8 million and approximately $21.1 million charged as a provision for doubtful accounts receivable. During the year ended December 31, 2006, departmental expenses included casino expenses of $250.4 million, room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The increase of Wynn Las Vegas expenses is commensurate with the increase in revenues.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$19.5 million for the year ended December 31, 2007 compared to $17.1 million for the prior year as a result of increased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Pre-opening costs for the year ended December 31, 2007 of $6.5 million increased by $4.4 million compared to the $2 million incurred during the year ended December 31, 2006. Pre-opening costs for the year ended December 31, 2007 were incurred with the opening of “Monty Python’s Spamalot” and the development of Encore. As the development and construction of Encore progresses in 2008, we expect associated pre-opening costs to increase as opening approaches in December 2008, but not to the same level as we experienced with the opening of Wynn Las Vegas on April 28, 2005.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2007 of $152.8 million increased by $5.2 million compared to the $147.6 million incurred in the year ended December 31, 2006, primarily due to the addition of a new employee parking garage and the amortization of additional show production costs.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construction of Wynn Las Vegas and Encore,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When Encore opens and these assets are placed into service in December 2008, we will begin recognizing the associated depreciation expense thereon.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2007 of $6 million decreased by $8.4 million compared to the $14.4 million incurred for the year ended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continue to make enhancements and refinements to Wynn Las Vegas.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Lure to the nightclub Blush.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Interest income was $14.2 million for the year ended December 31, 2007, a decrease of $8.6 million compared to $22.8 million for the year ended December 31, 2006. This decrease is primarily due to reduced interest income earned on restricted cash balances during the year ended December 31, 2007 compared to 2006 as our restricted cash was used to fund costs related to the development and construction of Encore.</w:t>
      </w:r>
    </w:p>
    <w:p>
      <w:pPr>
        <w:spacing w:after="0" w:line="10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Interest expense, net of capitalized interest of $33.6 million, was $86.1 million for the year ended December 31, 2007 compared to $117.8 million, net of capitalized interest of $7.7 million, for the year ended December 31, 2006. This decrease is due to lower average debt balances under the credit facilities during the year, lower interest rates as a result of the August 2006 bank refinancing and increased capitalized interest of $25.9 million due to the continued construction of Encore, offset by approximately $4 million of additional interest expense related to the $400 million of debt issued in November 2007. Interest capitalization will increase in future periods as Encore construction progresses.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Activity,” as amended. The fair value of our interest rate swap is recorded as either an asset or liability with changes in the fair value of the interest rate swap recorded as an increase (decrease) in swap fair value. We recorded a decrease in swap fair value of approximately $4.4 million for the year ended December 31, 2007 and an increase in swap fair value of approximately $871,000 for the year ended December 31, 2006 resulting from a decrease in the fair value of our interest rate swap from December 31, 2006 to December 31, 2007 and an increase in the fair value of our interest rate swap from December 31, 2005 to December 31, 2006 (December 31, 2005 to August 15, 2006 in the case of the terminated swap), respectively. We began 2006 with two $200 million notional amount interest rate swaps. On August 15, 2006, concurrent with the refinancing of our Credit Facilities (see “Liquidity and Capital Resources—Financing Activities”), we terminated one of our two previously existing interest rate swaps. For further information on our interest rate swaps, see “Quantitative and Qualitative Disclosures about Market Risk.”</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 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2006 compared to financial results for the year ended December 31, 2005.</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2006 include a full period of operations for Wynn Las Vegas and only 248 days of Wynn Las Vegas operations for the year ended December 31, 2005.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2006 were comprised of $535.6 million in casino revenues (47% of total net revenues) and $603.8 million of net non-casino revenues (53% of total net revenues). Net revenues for the 248 days of operations for the year ended December 31, 2005 were comprised of $353.7 million in net casino revenues (49% of total net revenues) and $368.6 million of net non-casino revenues (51% of total net revenues). We believe the quality of our resorts’ non-casino amenities, combined with providing guests an unparalleled total resort experience, has driven a premium in our ADR and other non-gaming revenues.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Casino revenues for the year ended December 31, 2006 of approximately $535.6 million represents an approximately $181.9 million (or 51.4%) increase from the casino revenues of $353.7 million for the 248 days of operations for the year ended December 30, 2005. The increase in casino revenues was primarily driven by Wynn Las Vegas being open for all of 2006 as opposed to only 248 days in 2005. For the year ended December 31, 2006, our average table games win percentage (before discounts) of 22.1% was within the expected range of 21% to 24%. During the year ended December 31, 2005, our average table game win percentage (before discounts) was 21.5%. Our slot win percentage for the years ended December 31, 2006 and 2005 was within the expected range of 4.5% and 5.5%.</w:t>
      </w:r>
    </w:p>
    <w:p>
      <w:pPr>
        <w:spacing w:after="0" w:line="144"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For the year ended December 31, 2006, room revenues were approximately $268.2 million, which represents a $97.9 million (or 57.5%) increase over the $170.3 million generated in the 248 days of operations for the year ended December 31, 2005. The increase is primarily driven by Wynn Las Vegas being open for the full year as opposed to 248 days of operations in 2005, as well as increased occupancy and rates as noted in the table of key operating measures below.</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Occupancy</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$ 32.5 million. Food and beverage revenues in 2006 benefited significantly from increased revenues from the nightclub located in Wynn Las Vegas as compared to the 2005 food and beverage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During the year ended December 31, 2006, departmental expenses included casino expenses of $250.4 million, rooms expenses of $71.2 million, food and beverage expenses of $185.4 million, and entertainment, retail and other expenses of $129.9 million. Also included are general and administrative expenses 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approximately $180.7 million and approximately $20.7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The increase in expenses is due primarily to a full period of Wynn Las Vegas operations in 2006 compared to 248 days of operations in 2005. Furthermore, the increase of Wynn Las Vegas expenses was commensurate with the increase in revenues.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January 1, 2006, we adopted Statement of Accounting Standard (“SFAS”) No. 123R, Share Based Payments, using the modified prospective method. For the year ended December 31, 2006, we recorded $8.1 million of stock-based compensation expense which is included in the departmental expense of the employee recipient of the stock based award. Prior to January 1, 2006, we did not recognize expense for employee stock options that were granted at the market price. See Note 11 to our annual Consolidated Financial Statements included in this prospectus for more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$17.1 million for the year ended December 31, 2006 compared to $10.8 million for the prior year. This increase is primarily due to a full year of operations in 2006 compared to 248 days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Pre-opening costs for the year ended December 31, 2006 of $2 million decreased by $65.4 million compared to the $67.5 million incurred during the year ended December 31, 2005. Wynn Las Vegas no longer incurred pre-opening costs once the property opened on April 28, 2005; consequently, only the relatively small amount of pre-opening costs relating to Encore were incurred during the year ended December 31, 2006. There was a substantial increase in staffing immediately preceding the opening of Wynn Las Vegas, which is reflected in the pre-opening costs in 2005. As the development and construction of Encore progresses, we expect associated pre-opening costs to increase, but not to the same level as we experienced with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2006 of $147.6 million increased by $53.3 million compared to the $94.3 million incurred in the year ended December 31, 2005, primarily as a result of the longer operating period for the year ended December 31, 2006 compared to December 31, 2005.</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2006 of $14.4 million increased by $0.2 million compared to the $14.2 million incurred for the year ended December 31, 2005.</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The $14.4 million of costs relating to assets retired as a result of these enhancement and remodel efforts for the year ended December 31, 2006 have been expensed as property charges.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Interest income was $22.8 million for the year ended December 31, 2006, an increase of $4.3 million compared to $18.5 million for the year ended December 31, 2005. In the third quarter of 2005, we loaned Wynn Resorts $80 million with interest at 7.5% per year, payable semi-annually. The loan was outstanding for the entire year of 2006 and three months in 2005. Accordingly, we earned approximately $3.7 million more interest income during 2006 on this receivable as compared to 2005. In addition, the decrease in our average cash balances during the year was offset by higher interest rates earned in 2006 compared to 2005.</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Interest expense, net of capitalized interest of $7.7 million, was $117.8 million for the year ended December 31, 2006 compared to $86.7 million, net of capitalized interest of $36.8 million, for the year ended December 31, 2005. While interest expense, including capitalized interest, was relatively flat, capitalized interest decreased significantly once Wynn Las Vegas opened on April 28, 2005. For the first four months of the year ended December 31, 2005, virtually all interest incurred was capitalized. Interest capitalization will increase in future periods as Encore construction progresses.</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began 2006 with two $200 million notional amount interest rate swaps. On August 15, 2006, concurrent with the refinancing of our credit facilities (see “Liquidity and Capital Resources—Financing Activities”), we terminated one of our two previously existing interest rate swaps. The fair values of our interest rate swaps are recorded as either assets or liabilities. Changes in the fair value of these interest rate swaps are recorded as an increase (decrease) in swap fair value. We recorded an increase in swap fair value of approximately $871,000 for the year ended December 31, 2006 and an increase in swap fair value of approximately $9.9 million for the year ended December 31, 2005 resulting from the increases in the fair value of our interest rate swaps from December 31,</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2005 to December 31, 2006 (December 31, 2005 to August 15, 2006 in the case of the terminated swap) and from December 31, 2004 to December 31, 2005, respectively. For further information on our interest rate swaps, see “Quantitative and Qualitative Disclosures about Market Risk.”</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Second Mortgage Notes and incurred a $1.7 million redemption premium which is also included as loss from extinguishment of debt.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cash flows are primarily affected by the operating income generated by Wynn Las Vegas, interest paid, and non-cash charges included in operating income. Net cash provided by operations for the year ended December 31, 2007 was $315.7 million compared to $205.6 million provided by operations for the year ended December 31, 2006. This increase is due to the increase in operating income as a result of improved operational results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December 31, 2007, we had approximately $146.5 million of cash and cash equivalents available for use without restriction, including for operations, new development activities, enhancements to Wynn Las Vegas, or to support the construction of Encore. We require a certain amount of cash on hand for operations. Excess funds are swept from accounts into overnight investments, to repay borrowings under our credit facilities or fund development of Encore. In addition, we have $883.3 million available under our credit facilities as described under “Financing Activities” below.</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December 31, 2007, we had approximately $31.1 million of restricted cash and investments in the Encore completion guarantee account. Restricted investments are kept in money market funds or relatively short-term, government-backed, marketable debt securities as required by agreements governing our debt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our credit facilities, we were permitted to make up to $172.2 million of capital expenditures in 2007 (including $47.2 million carried forward from 2006), of which we have expended approximately $60.1 million. For 2008, the limit under our credit facilities is $272.1 million, including $112.1 million carried forward from 2007. The spending limit will be increased to the extent funds are contributed to Wynn Las Vegas by Wynn Resorts.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28, 2006, we commenced construction on Encore. Design and construction is progressing as expected at Encore. We expect to open Encore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2008. Current construction activities in the various project sections include the following:</w:t>
      </w:r>
    </w:p>
    <w:p>
      <w:pPr>
        <w:spacing w:after="0" w:line="8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Exterior glass installation is 95%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furniture and equipment installation is complete up to the 6th floor.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is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Drywall is 80% complete in the convention area and 20% complete at the casino level, spa level, and back of house.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Taxi and valet tunnels are 60% complete and exterior enclosure of the entire low rise is 80% complete.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project budget for Encore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of “Monty Python’s Spamalot” at Wynn Las Vegas. The project budget is being funded from our existing credit facilities and remaining proceeds from the offering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2007, we had incurred approximately $998.7 million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900" w:right="3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remaining proceeds of the offering of the old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Second, by using the proceeds of borrowings under our credit facilities;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Rêve Production Rights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Rêve,” which were previously only licensed to us. We paid $15.9 million to acquire substantially all of the rights in and to “Le Rêve,” and to repay approximately $1.4 million of production costs, which were reimbursable to the executive producer of “Le Rêve.” The rights acquired enable us to produce, present, enhance, or alter the performance of “Le Rêve” after May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our borrowing capacity from $1 billion to $1.125 billion by increasing the revolving credit facility from $600 million to $900 million (the “Revolver”) and reducing the delayed draw term loan facility from $400 million to $225 million (the “Term Loan”) (together, the “Credit Facilities”); (ii) reduced the borrowing margins on London Interbank Offered Rate (“LIBOR”)-based Revolver and Term Loans to 1.625% and 1.875%, respectively; (iii) extended the maturity dates for the Revolver and the Term Loan to 2011 and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1.0% to 1.75%, depending on our leverage ratio; and</w:t>
      </w:r>
    </w:p>
    <w:p>
      <w:pPr>
        <w:ind w:right="120" w:firstLine="8"/>
        <w:spacing w:after="0" w:line="255" w:lineRule="auto"/>
        <w:tabs>
          <w:tab w:leader="none" w:pos="2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simplified the procedures for and conditions to obtaining advances and reduced the reporting obligations under the Amended and Restated Credit Agreement upon the satisfaction of certain conditions, including fully utilizing all remaining proceeds from previously funded amounts under the notes for payment of Encore project costs.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2007, there were no amounts outstanding under the Revolver. We do have $16.7 million of outstanding letters of credit that reduce our availability under the Revolver. Consequently, $883.3 million remains available under the Revolver for future borrowings for the construction of Encore or for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$225 million Term Loan matures in 2 installments: $112.5 million will be payable on September 30, 2012 and the remaining $112.5 million will be payable on August 15, 2013.</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Credit Facilities are obligations of Wynn Las Vegas, LLC and are guaranteed by and secured by substantially all of the assets (except our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notes and senior in right of payment to all of their existing and future subordinated indebtedness.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April 2007, we amended our Credit Facilities to: (a) have the Final Completion as defined, be deemed satisfied for Wynn Las Vegas with the resulting release of (i) all amounts in excess of $30 million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notes.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2007, we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 Also in October 2007, pursuant to the Credit Facilities, Wynn Las Vegas entered into a pre-agreed upon form of Amended and Restated Master Disbursement Agreement with Deutsche Bank Trust Company Americas as Bank Agent and Disbursement Agent.</w:t>
      </w:r>
    </w:p>
    <w:p>
      <w:pPr>
        <w:spacing w:after="0" w:line="170" w:lineRule="exact"/>
        <w:rPr>
          <w:sz w:val="20"/>
          <w:szCs w:val="20"/>
          <w:color w:val="auto"/>
        </w:rPr>
      </w:pPr>
    </w:p>
    <w:p>
      <w:pPr>
        <w:ind w:right="20" w:firstLine="456"/>
        <w:spacing w:after="0" w:line="233" w:lineRule="auto"/>
        <w:rPr>
          <w:sz w:val="20"/>
          <w:szCs w:val="20"/>
          <w:color w:val="auto"/>
        </w:rPr>
      </w:pPr>
      <w:r>
        <w:rPr>
          <w:rFonts w:ascii="Arial" w:cs="Arial" w:eastAsia="Arial" w:hAnsi="Arial"/>
          <w:sz w:val="18"/>
          <w:szCs w:val="18"/>
          <w:color w:val="auto"/>
        </w:rPr>
        <w:t xml:space="preserve">On November 6, 2007, we completed a private offering of $400 million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offering of the old notes). The old notes were issued under the same indenture as the original 2004 notes and the registered 2004 notes that we had previously issued. The old notes are pari passu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The old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old notes have not been registered under the Securities Act of 1933 or under any state securities laws. Therefore, we may not offer or sell the old notes within the United States to, or for the account or benefit of, any United States person unless the offer or sale would qualify for a registration exemption from the Securities Act and applicable state securities laws. We have agreed to make an offer to exchange the old notes for registered, publicly traded notes (the new notes) that have substantially identical terms as the old notes. We have filed the registration statement of which this prospectus forms a part to register such new notes and facilitate the exchange offer.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Airplane Note</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was to terminate and be payable in full on March 31, 2010. The term loans were guaranteed by Wynn Las Vegas, LLC and secured by a first priority security interest in our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our aircraft. Principal and interest are due quarterly with a balloon payment of $28 million due at maturity. Interest is calculated at 90-day LIBOR plus 125 basis points. In connection with this transaction, we incurred a loss from extinguishment of debt of $157,000 related to the write-off of unamortized debt issue costs associated with the original loan during the year ended December 31,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2007, we had outstanding letters of credit totaling $16.7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2007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50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1"/>
                <w:szCs w:val="11"/>
                <w:color w:val="auto"/>
              </w:rPr>
            </w:pPr>
          </w:p>
        </w:tc>
        <w:tc>
          <w:tcPr>
            <w:tcW w:w="62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740.0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515.7</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2,079.0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3,712.2</w:t>
            </w: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2007.</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restricted under the indenture governing the notes from making certain “restricted payments” as defined in the indenture. These restricted payments include the payment of dividends or distributions to any direct or indirect holders of equity interests of Wynn Las Vegas, LLC. The restricted payments may not be made until Encore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our Credit Facilities. We cannot be sure, however, that Wynn Las Vegas will generate sufficient cash flow from operations or that future borrowings available to us under the Credit Facilities will be sufficient to enable us to service and repay Wynn Las Vegas, LLC’s indebtedness and to fund its other liquidity needs. We cannot be sure that we will be able to refinance any of the indebtedness on acceptable terms or at all.</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Once Wynn Las Vegas opened, expenses associated with the opening of the resort were no longer charged as pre-opening expenses. However, start-up costs relating to Encore will continue to be charged to pre-opening expenses.</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of the project, including design and construction and applicable portions of interest, are capitalized. Accordingly, the recorded amounts of property and equipment increase significantly during construction periods. Depreciation expense related to capitalized construction costs is recognized when the related assets are put in service. Upon opening of Wynn Las Vegas, we began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2007 and 2006, approximately 53%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161,913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50,142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6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a normal increase in casino accounts receivable over 180 days. While collection efforts remain active, it is our current policy to fully reserve all accounts over one year old.</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We currently have one interest rate swap with changes in fair value being recorded in our Consolidated Statements of Operations.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us. In applying the modified prospective method, financial statements of prior periods presented do not reflect any adjusted amounts (i.e. prior periods do not include compensation cost calculated under the fair value method).</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will not have a material impact on the Company’s financial position, results of operations or cash flows.</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2007 on our expected long-term indebtedness. However, we cannot predict the LIBOR rate that will be in effect in the future. Accordingly, the one-month LIBOR rate at December 31, 2007 of 4.6% is used for all variable rate calculations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4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1,700.0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Variable rate</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$ 1.1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$ 1.4</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320" w:type="dxa"/>
            <w:vAlign w:val="bottom"/>
          </w:tcPr>
          <w:p>
            <w:pPr>
              <w:spacing w:after="0"/>
              <w:rPr>
                <w:sz w:val="18"/>
                <w:szCs w:val="18"/>
                <w:color w:val="auto"/>
              </w:rPr>
            </w:pPr>
          </w:p>
        </w:tc>
        <w:tc>
          <w:tcPr>
            <w:tcW w:w="1120" w:type="dxa"/>
            <w:vAlign w:val="bottom"/>
            <w:gridSpan w:val="3"/>
          </w:tcPr>
          <w:p>
            <w:pPr>
              <w:jc w:val="right"/>
              <w:ind w:right="472"/>
              <w:spacing w:after="0"/>
              <w:rPr>
                <w:sz w:val="20"/>
                <w:szCs w:val="20"/>
                <w:color w:val="auto"/>
              </w:rPr>
            </w:pPr>
            <w:r>
              <w:rPr>
                <w:rFonts w:ascii="Arial" w:cs="Arial" w:eastAsia="Arial" w:hAnsi="Arial"/>
                <w:sz w:val="18"/>
                <w:szCs w:val="18"/>
                <w:color w:val="auto"/>
              </w:rPr>
              <w:t>$ 1.4</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1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2007,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$200 million notional amount expiring December 31, 2008. Although this interest rate swap is highly effective economically in fixing the interest rate on this borrowing under the new Term Loan at approximately 5.7%, changes in fair value of this interest rate swap for each reporting period are,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2007 and 2006, the Wynn Las Vegas, LLC interest rate swaps had an approximate asset fair value of $0.4 million and $4.8 million, respectively.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 by contractual maturity date, as of December 31, 2007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rates based upon implied forward rates in the yield curve: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52"/>
              <w:spacing w:after="0"/>
              <w:rPr>
                <w:sz w:val="20"/>
                <w:szCs w:val="20"/>
                <w:color w:val="auto"/>
              </w:rPr>
            </w:pPr>
            <w:r>
              <w:rPr>
                <w:rFonts w:ascii="Arial" w:cs="Arial" w:eastAsia="Arial" w:hAnsi="Arial"/>
                <w:sz w:val="14"/>
                <w:szCs w:val="14"/>
                <w:b w:val="1"/>
                <w:bCs w:val="1"/>
                <w:color w:val="auto"/>
                <w:w w:val="84"/>
              </w:rPr>
              <w:t>Expected Averages as of December 31,</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$ 200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pay rate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3.79%</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2007, approximately 97% of our long-term debt was based on fixed rates, including $200 million of the Term Loan subject to the interest rate swap. Based on our borrowings as of December 31, 2007, an assumed 1% change in variable rates would cause our annual interest cost to change by $0.7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is constructing an expansion of Wynn Las Vegas named Encore at Wynn Las Vegas. Wynn Las Vegas, LLC was formed on April 17, 2001 as a Nevada limited liability company. The sole member of Wynn Las Vegas is Wynn Holdings, and the sole member of Wynn Holdings is Wynn Resorts.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any operating activity. Its sole function is to serve as the co-issuer of the notes.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construction of Encore commenced on April 28, 2006.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Las Vegas opened on April 28, 2005. 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96.0% and our average daily room rate was $300, which compares favorably to the overall 90.4% average occupancy and $132 average daily room rate of Las Vegas.</w:t>
      </w:r>
    </w:p>
    <w:p>
      <w:pPr>
        <w:spacing w:after="0" w:line="1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and </w:t>
      </w:r>
      <w:r>
        <w:rPr>
          <w:rFonts w:ascii="Arial" w:cs="Arial" w:eastAsia="Arial" w:hAnsi="Arial"/>
          <w:sz w:val="16"/>
          <w:szCs w:val="16"/>
          <w:i w:val="1"/>
          <w:iCs w:val="1"/>
          <w:color w:val="auto"/>
        </w:rPr>
        <w:t>Blush,</w:t>
      </w:r>
      <w:r>
        <w:rPr>
          <w:rFonts w:ascii="Arial" w:cs="Arial" w:eastAsia="Arial" w:hAnsi="Arial"/>
          <w:sz w:val="16"/>
          <w:szCs w:val="16"/>
          <w:color w:val="auto"/>
        </w:rPr>
        <w:t xml:space="preserve"> our nightclubs</w:t>
      </w:r>
      <w:r>
        <w:rPr>
          <w:rFonts w:ascii="Arial" w:cs="Arial" w:eastAsia="Arial" w:hAnsi="Arial"/>
          <w:sz w:val="16"/>
          <w:szCs w:val="16"/>
          <w:i w:val="1"/>
          <w:iCs w:val="1"/>
          <w:color w:val="auto"/>
        </w:rPr>
        <w:t>,</w:t>
      </w:r>
      <w:r>
        <w:rPr>
          <w:rFonts w:ascii="Arial" w:cs="Arial" w:eastAsia="Arial" w:hAnsi="Arial"/>
          <w:sz w:val="16"/>
          <w:szCs w:val="16"/>
          <w:color w:val="auto"/>
        </w:rPr>
        <w:t xml:space="preserve"> several areas of the retail promenade, a portion of the baccarat area to feature a casino bar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improved public baccarat 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Capitalize on the “Wynn” Brand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Steve Wynn is the preeminent designer, developer and operator of destination casino resorts and, as such,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34"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various media channels, including television, radio, newspapers, magazines, the internet, direct mail and billboards.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Las Vegas Real Estate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Palazzo and Venetian Casino Resort and its approximately 1.8 million square foot Sands Expo Center; diagonally across from the Mirage and the Treasure Island Hotel and Casino; directly across from the Fashion Show Mall and Trump Towers; and across from Echelon and The Plaza, which are currently under development. Encore is being developed on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and his team bring significant experience in designing, developing and operating casino resorts. Mr. Wynn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members of the current Wynn Resorts’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2007, the Las Vegas gaming and hotel markets continued their upward trends with, among other things, a 0.7% increase in visitation to 39.2 million visitors, a 2.3% increase in Las Vegas Strip gaming revenue and a 10.3% increase in average daily room rates, all as compared to the year ended December 31,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Planet Hollywood Resort &amp; Casino (formerly known as the Aladdin), The Venetian and The Palazzo.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in and near Las Vegas.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The Palazzo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to the existing casinos with which Wynn Las Vegas currently competes, several new multi-billion dollar resorts are expected to open on or near the Las Vegas Strip before 2011. The major projects, which have either been announced or are currently under construction include but are not limited to:</w:t>
      </w:r>
    </w:p>
    <w:p>
      <w:pPr>
        <w:spacing w:after="0" w:line="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 development by Boyd Gaming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 development by the MGM Mirage Dubai World 50/50 joint venture located south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Fontainebleau Las Vegas—</w:t>
      </w:r>
      <w:r>
        <w:rPr>
          <w:rFonts w:ascii="Arial" w:cs="Arial" w:eastAsia="Arial" w:hAnsi="Arial"/>
          <w:sz w:val="18"/>
          <w:szCs w:val="18"/>
          <w:color w:val="auto"/>
        </w:rPr>
        <w:t>A development by Fontainebleau Resorts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Plaza, Las Vegas</w:t>
      </w:r>
      <w:r>
        <w:rPr>
          <w:rFonts w:ascii="Arial" w:cs="Arial" w:eastAsia="Arial" w:hAnsi="Arial"/>
          <w:sz w:val="18"/>
          <w:szCs w:val="18"/>
          <w:color w:val="auto"/>
        </w:rPr>
        <w:t>—A development by the Elad Group located across the street from Wynn Las Vegas on the Strip.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assure you that Wynn Las Vegas, LLC will be able to maintain all approvals and licenses from the Nevada Gaming Authorities.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Company Registration Requirements. </w:t>
      </w:r>
      <w:r>
        <w:rPr>
          <w:rFonts w:ascii="Arial" w:cs="Arial" w:eastAsia="Arial" w:hAnsi="Arial"/>
          <w:sz w:val="18"/>
          <w:szCs w:val="18"/>
          <w:color w:val="auto"/>
        </w:rPr>
        <w:t>Wynn Resorts was found suitable by the Nevada Gaming Commission to own the equity interests of Wynn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the notes, also qualified as a registered company. Wynn Capital, a co-issuer of the notes, was not required to be registered or licensed, but may be required to be found suitable as a lender or financing source.</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Securities Holders. </w:t>
      </w:r>
      <w:r>
        <w:rPr>
          <w:rFonts w:ascii="Arial" w:cs="Arial" w:eastAsia="Arial" w:hAnsi="Arial"/>
          <w:sz w:val="16"/>
          <w:szCs w:val="16"/>
          <w:color w:val="auto"/>
        </w:rPr>
        <w:t>Regardless of the number of shares held, any beneficial owner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owner of voting securities determined if the Nevada Gaming Commission has reason to believe that the ownership would otherwise be inconsistent with the declared policies of the State of Nevada. If the beneficial owner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5.0% of the voting securities of a registered company to report the acquisition to the Nevada Gaming Commission. The Nevada Gaming Control Act requires beneficial owners of more than 10.0%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10.0%, but not more than 15.0%,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19.0% of a registered company’s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3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446"/>
        <w:spacing w:after="0" w:line="370"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Wynn Las Vegas had a total of approximately 9,300 employees.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of our employees. In May 2007, the dealers at Wynn Las Vegas elected the Transportation Workers Union to represent them. We are currently negotiating a contract.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“ENCORE” and “WYNN DIAMOND.” Some of the applications are based upon ongoing use and others are based upon a bona fide intent to use the marks in the future.</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“ENCORE” and “WYNN DIAMOND.” Some of the applications are based upon ongoing use and others are based upon a bona fide intent to use the marks in the future.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own approximately 240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31, 2008.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92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(until March 31, 2008)</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4"/>
              </w:rPr>
              <w:t>Vice President and Chief Financial Officer, Wynn Resorts (Macau), S.A.</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Chief Financial Officer, Wynn Las Vegas, LLC</w:t>
            </w:r>
          </w:p>
        </w:tc>
      </w:tr>
    </w:tbl>
    <w:p>
      <w:pPr>
        <w:spacing w:after="0" w:line="15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2009 Annual Meeting of Wynn Resorts Stockholders)</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was elected to the Board in October 2007. Ms. Chen serves as the President of Wynn International Marketing Ltd., a wholly owned</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 subsidiary of Wynn Resorts, a position she has held since January 2005. Ms. Chen is responsible for managing Wynn Resorts’ global marketing efforts. In addition, Ms. Chen is Chief Operating Officer of Wynn Resorts (Macau), S.A., a position she has held since June 2002. From May 1997 through May 2002, Ms. Chen was Executive Vice President—International Marketing at MGM MIRAGE, a gaming company.</w:t>
      </w:r>
    </w:p>
    <w:p>
      <w:pPr>
        <w:spacing w:after="0" w:line="103"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for Wynn Resorts since October 2002, and is an active collaborator in the operation of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 addition to her corporate responsibilities, Mrs. Wynn has also served as Co-Chairperson of the Greater Las Vegas After-School All-Stars since 1996 and is the Founding Chairperson of Communities-in-Schools in Nevada. In addition, in October, 2007, she was named National Chairperson for Communities-in-Schools. She is currently on the State Council to Establish Academic Standards in Nevada. Mrs. Wynn served as a director for Mirage Resorts, Incorporated from 1976 until 2000. Mrs. Wynn is married to Stephen A. Wynn.</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Wynn Resorts Stockholders)</w:t>
      </w:r>
    </w:p>
    <w:p>
      <w:pPr>
        <w:spacing w:after="0" w:line="84"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Wynn Resorts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Wynn Resorts’ predecessor and its wholly owned subsidiary.</w:t>
      </w:r>
    </w:p>
    <w:p>
      <w:pPr>
        <w:spacing w:after="0" w:line="1" w:lineRule="exact"/>
        <w:rPr>
          <w:sz w:val="20"/>
          <w:szCs w:val="20"/>
          <w:color w:val="auto"/>
        </w:rPr>
      </w:pPr>
    </w:p>
    <w:p>
      <w:pPr>
        <w:jc w:val="both"/>
        <w:ind w:right="140"/>
        <w:spacing w:after="0" w:line="361" w:lineRule="auto"/>
        <w:rPr>
          <w:sz w:val="20"/>
          <w:szCs w:val="20"/>
          <w:color w:val="auto"/>
        </w:rPr>
      </w:pPr>
      <w:r>
        <w:rPr>
          <w:rFonts w:ascii="Arial" w:cs="Arial" w:eastAsia="Arial" w:hAnsi="Arial"/>
          <w:sz w:val="15"/>
          <w:szCs w:val="15"/>
          <w:color w:val="auto"/>
        </w:rPr>
        <w:t>Mr. Wynn also serves as an officer and/or director of several of Wynn Resorts’ subsidiaries. From 1973 until 2000, Mr. Wynn served as Chairman of the Board, President and Chief Executive Officer of Mirage Resorts, Incorporated, and its predecessor. Mr. Wynn is married to Elaine P. Wynn, a director of Wynn Resorts.</w:t>
      </w:r>
    </w:p>
    <w:p>
      <w:pPr>
        <w:spacing w:after="0" w:line="6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Ray R. Irani. </w:t>
      </w:r>
      <w:r>
        <w:rPr>
          <w:rFonts w:ascii="Arial" w:cs="Arial" w:eastAsia="Arial" w:hAnsi="Arial"/>
          <w:sz w:val="16"/>
          <w:szCs w:val="16"/>
          <w:color w:val="auto"/>
        </w:rPr>
        <w:t>Dr. Irani has served as a director since October 2007. Dr. Irani is Chairman and Chief Executive Officer of Occidental Petroleum</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He joined Occidental in 1983 as Chairman and Chief Executive Officer of Occidental Chemical Corporation, an Occidental subsidiary, and as Executive Vice President of Occidental. In 1984, he was elected to the Board of Directors of Occidental and was named President and Chief Operating Officer. He assumed the responsibilities of Chairman and Chief Executive Officer in 1990, and the additional position of President in 2005. Dr. Irani was Chairman of the Board of Directors of Canadian Occidental Petroleum Ltd., an Occidental affiliate, from 1987 to 1999. Dr. Irani is a director of the American Petroleum Institute and the TCW Group, Inc. Dr. Irani was first identified to the Nominating and Corporate Governance Committee of Wynn Resorts as a potential director by the chief executive officer of Wynn Resorts.</w:t>
      </w:r>
    </w:p>
    <w:p>
      <w:pPr>
        <w:spacing w:after="0" w:line="11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since August 2003. Mr. Wayson has been a principal of Wayson’s Properties, Incorporated, a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development and holding company, since 1970. He also serves as an officer and/or director of other real estate and business ventures. From 2000 through May 2003, Mr. Wayson served as a member of the board of directors of MGM MIRAGE, a gaming company.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2008 Annual Meeting of Wynn Resorts Stockholders)</w:t>
      </w:r>
    </w:p>
    <w:p>
      <w:pPr>
        <w:spacing w:after="0" w:line="8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In 1969, Mr. Okada founded Universal Co. Ltd.,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stockholder for its two subsidiaries, Aruze Gaming America, Inc., and Aruze USA, Inc. Aruze Gaming America holds manufacture, distributor, and operator licenses from the Nevada Gaming Commission, while Aruze USA has been found suitable by the Nevada Gaming Commission as a major stockholder of Wynn Resorts. Since 1998, Mr. Okada has served as Director and Chairman of the Board of Aruze Corp., since 1999, he has also served as Chairman of the Board and Treasurer of Aruze USA, and, since July 2007, has served as Director and Chairman of the Board of Aruze Gaming America,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Since July 2005, he has been principal of Dutko Worldwide, a multidisciplinary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affairs, strategy and management firm. From January 1999 until he joined Dutko Worldwide, Mr. Miller was a partner of the Nevada law firm of Jones Vargas. He was also a partner in Miller &amp; Behar Strategies, a partnership designed to assist American businesses in Bulgaria, from January 2003 to August 2007, and has been a partner in Nevada Rose LLC, parent to a group of companies engaged in the business of importing and selling rose nectar and related products,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since July 1996. Mr. Zeman is also chairman of Ocean Park, a major theme park in Hong Kong. In 2001, he was appointed a Justice of the Peace in Hong Kong and, in 2004, he was awarded the Gold Bauhinia Star by the Chief Executive of Hong Kong.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Ian Michael Coughlan is the President of Wynn Macau. Mr. Coughlan joined Wynn Macau in January 2007 from the Peninsula</w:t>
      </w:r>
      <w:r>
        <w:rPr>
          <w:rFonts w:ascii="Arial" w:cs="Arial" w:eastAsia="Arial" w:hAnsi="Arial"/>
          <w:sz w:val="18"/>
          <w:szCs w:val="18"/>
          <w:b w:val="1"/>
          <w:bCs w:val="1"/>
          <w:color w:val="auto"/>
        </w:rPr>
        <w:t xml:space="preserve"> </w:t>
      </w:r>
      <w:r>
        <w:rPr>
          <w:rFonts w:ascii="Arial" w:cs="Arial" w:eastAsia="Arial" w:hAnsi="Arial"/>
          <w:sz w:val="18"/>
          <w:szCs w:val="18"/>
          <w:color w:val="auto"/>
        </w:rPr>
        <w:t>Group where he served as General Manager of the Peninsula Hong Kong. Mr. Coughlan first joined the Peninsula Group in 1997 as Resident Manager, eventually serving as Hotel Manager, directing hotel and commercial leasing operations as well as his hotel responsibilities. Mr. Coughlan remained with Peninsula Group until he joined Wynn Macau.</w:t>
      </w:r>
    </w:p>
    <w:p>
      <w:pPr>
        <w:spacing w:after="0" w:line="136"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Treasurer, a position he has held since March 2006, and Chief Financial Officer, a position he has</w:t>
      </w:r>
      <w:r>
        <w:rPr>
          <w:rFonts w:ascii="Arial" w:cs="Arial" w:eastAsia="Arial" w:hAnsi="Arial"/>
          <w:sz w:val="16"/>
          <w:szCs w:val="16"/>
          <w:b w:val="1"/>
          <w:bCs w:val="1"/>
          <w:color w:val="auto"/>
        </w:rPr>
        <w:t xml:space="preserve"> </w:t>
      </w:r>
      <w:r>
        <w:rPr>
          <w:rFonts w:ascii="Arial" w:cs="Arial" w:eastAsia="Arial" w:hAnsi="Arial"/>
          <w:sz w:val="16"/>
          <w:szCs w:val="16"/>
          <w:color w:val="auto"/>
        </w:rPr>
        <w:t>held since March 2008. From June 2005 to December 31, 2006, Mr. Maddox served as the Senior Vice President of Business Development for Wynn Las Vegas, LLC. From March 2003 to June 2005, Mr. Maddox was the Chief Financial Officer of Wynn Resorts (Macau), S.A. From May 2002 through March 2003,</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Maddox was Wynn Resorts’ Treasurer and Vice President—Investor Relations. From February 2000 to May 2002, Mr. Maddox was Vice President—Finance with Caesars Entertainment, Inc., a gaming company.</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Operating Officer of Wynn Las Vegas, LLC. Mr. Pascal served as the Senior Vice President—Product Marketing and Development for Wynn Resorts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Vice President and Chief Financial Officer of Wynn Resorts (Macau), S.A., a position he has held since June 2005.</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2002 to June 2005, Mr. Peterson was the Vice President—Finance of Wynn Las Vegas, LLC. From April 2001 to September 2002, Mr. Peterson was Assistant Vice President—Finance of Wynn Holdings, a wholly owned indirect subsidiary of Wynn Resorts.</w:t>
      </w:r>
    </w:p>
    <w:p>
      <w:pPr>
        <w:spacing w:after="0" w:line="9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Wynn Resorts, a position he has held since June 2002. Mr. Schorr also serves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several of Wynn Resorts’ other subsidiaries. From June 2000 through April 2001, Mr. Schorr served as Chief Operating Officer of Valvino, Wynn Resorts’ predecessor, and from June 2002, through October 2005 he served as the Chief Executive Officer and President of Wynn Las Vegas, LLC, a subsidiary of Wynn Resorts. From January 1997 through May 2000, Mr. Schorr served as President of The Mirage Casino-Hotel, a gaming company and then a wholly owned subsidiary of Mirage Resorts, Incorporated.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 xml:space="preserve">Kim Sinatra. </w:t>
      </w:r>
      <w:r>
        <w:rPr>
          <w:rFonts w:ascii="Arial" w:cs="Arial" w:eastAsia="Arial" w:hAnsi="Arial"/>
          <w:sz w:val="15"/>
          <w:szCs w:val="15"/>
          <w:color w:val="auto"/>
        </w:rPr>
        <w:t>Ms. Sinatra is the Senior Vice President—General Counsel and Secretary of Wynn Resorts, a position she has held since March 2006.</w:t>
      </w:r>
      <w:r>
        <w:rPr>
          <w:rFonts w:ascii="Arial" w:cs="Arial" w:eastAsia="Arial" w:hAnsi="Arial"/>
          <w:sz w:val="15"/>
          <w:szCs w:val="15"/>
          <w:b w:val="1"/>
          <w:bCs w:val="1"/>
          <w:color w:val="auto"/>
        </w:rPr>
        <w:t xml:space="preserve"> </w:t>
      </w:r>
      <w:r>
        <w:rPr>
          <w:rFonts w:ascii="Arial" w:cs="Arial" w:eastAsia="Arial" w:hAnsi="Arial"/>
          <w:sz w:val="15"/>
          <w:szCs w:val="15"/>
          <w:color w:val="auto"/>
        </w:rPr>
        <w:t>Ms. Sinatra is also the Senior Vice President and General Counsel of Worldwide Wynn, LLC, Wynn Resorts’ wholly owned development subsidiary, a position she has held since January 2004. She also serves as an officer of several of Wynn Resorts’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 a gaming company.</w:t>
      </w:r>
    </w:p>
    <w:p>
      <w:pPr>
        <w:spacing w:after="0" w:line="9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Executive Vice President and Chief Financial Officer of Wynn Las Vegas, LLC, a wholly owned indirect subsidiary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a position he has held since October 2003. From October 1999 to October 2003, Mr. Sisk was Senior Vice President, Treasurer and Chief Financial Officer of Caesars Palace, a subsidiary of Caesars Entertainment, Inc., a gaming company.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Administrative Officer of Wynn Resorts, a position he has held since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Wynn Resorts’ Executive Vice President-Chief Financial Officer from September 2002 to March 2008. Mr. Strzemp served as Wynn Resorts’ Treasurer from March 2003 to March 2006, and serves as an officer of several of Wynn Resorts’ subsidiaries. Mr. Strzemp was Executive Vice President and Chief Financial Officer of Bellagio, LLC, a gaming company and then a wholly owned subsidiary of Mirage Resorts, Incorporated, from April 1998 to October 2000.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Board of Directors has determined that the following directors are independent: Messrs. Irani, Miller, Moran, Shoemaker, Wayson and Zeman. During his service on the Board, Stanley R. Zax (who retired from the Board at the 2007 Annual Meeting of Wynn Resorts’ stockholders) was also an independent director.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None of the independent directors has any economic relationship with Wynn Resorts other than receipt of his director’s compensation. Additionally, all related party transactions are considered under Wynn Resorts’ policy (described in additional detail below). None of the independent directors is engaged in any related party transaction with Wynn Resorts. Mr. Wynn, Mr. Okada, Mrs. Wynn and Ms. Chen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Arial" w:cs="Arial" w:eastAsia="Arial" w:hAnsi="Arial"/>
                <w:sz w:val="14"/>
                <w:szCs w:val="14"/>
                <w:b w:val="1"/>
                <w:bCs w:val="1"/>
                <w:color w:val="auto"/>
                <w:w w:val="94"/>
              </w:rPr>
              <w:t>Audit Committee</w:t>
            </w:r>
          </w:p>
        </w:tc>
        <w:tc>
          <w:tcPr>
            <w:tcW w:w="1880" w:type="dxa"/>
            <w:vAlign w:val="bottom"/>
          </w:tcPr>
          <w:p>
            <w:pPr>
              <w:spacing w:after="0"/>
              <w:rPr>
                <w:sz w:val="15"/>
                <w:szCs w:val="15"/>
                <w:color w:val="auto"/>
              </w:rPr>
            </w:pPr>
          </w:p>
        </w:tc>
        <w:tc>
          <w:tcPr>
            <w:tcW w:w="4700" w:type="dxa"/>
            <w:vAlign w:val="bottom"/>
            <w:gridSpan w:val="2"/>
          </w:tcPr>
          <w:p>
            <w:pPr>
              <w:ind w:left="1060"/>
              <w:spacing w:after="0"/>
              <w:rPr>
                <w:sz w:val="20"/>
                <w:szCs w:val="20"/>
                <w:color w:val="auto"/>
              </w:rPr>
            </w:pPr>
            <w:r>
              <w:rPr>
                <w:rFonts w:ascii="Arial" w:cs="Arial" w:eastAsia="Arial" w:hAnsi="Arial"/>
                <w:sz w:val="14"/>
                <w:szCs w:val="14"/>
                <w:b w:val="1"/>
                <w:bCs w:val="1"/>
                <w:color w:val="auto"/>
              </w:rPr>
              <w:t>Compensation Committee</w:t>
            </w: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Governance Committee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Alvin V. Shoemaker, Chair</w:t>
            </w:r>
          </w:p>
        </w:tc>
        <w:tc>
          <w:tcPr>
            <w:tcW w:w="106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John A. Moran, Chair</w:t>
            </w:r>
          </w:p>
        </w:tc>
        <w:tc>
          <w:tcPr>
            <w:tcW w:w="1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Robert J. Miller, Chair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Alvin V. Shoemaker</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Ray R. Irani</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D. Boone Wayson</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 Boone Wayson</w:t>
            </w:r>
          </w:p>
        </w:tc>
        <w:tc>
          <w:tcPr>
            <w:tcW w:w="0" w:type="dxa"/>
            <w:vAlign w:val="bottom"/>
          </w:tcPr>
          <w:p>
            <w:pPr>
              <w:spacing w:after="0"/>
              <w:rPr>
                <w:sz w:val="1"/>
                <w:szCs w:val="1"/>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0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Allan Zeman</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2007, Messrs. Moran, Shoemaker and Wayson, were appointed on May 8, 2007. Messrs. Moran and Wayson, along with Robert J. Miller, were appointed in May 2006.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Earned 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Cash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 (1)(4)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Ray R. Irani(2)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Robert J. Miller(3)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161,667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Stanley R. Zax(5)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398,119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84"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Irani was appointed to the Board, effective October 29, 2007.</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The Gaming Compliance Committee is a committee comprised of Mr. Miller, Mr. Schorr and Mr. Strzemp, and its purpose is to assist Wynn Resorts in maintaining the highest level of regulatory compliance.</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aggregate number of outstanding awards for each director, excluding Mr. Okada and Mrs. Wynn, at December 31, 2007 is as follows: (i) for directors other than Dr. Irani, restricted stock awards 5,000 each; Dr. Irani received a grant of 2,500 shares of restricted stock upon his election to the Board; (ii) for directors other than Dr. Irani, stock option awards 30,000 each of which 7,500 are unvested and 22,500 are vested as of December 31, 2007. Dr. Irani received a stock option grant of 10,000 shares that vested immediately upon his election to the Board. The restricted stock awards were granted on May 3, 2006 and May 7, 2007. The restricted stock awards will vest on May 3, 2011 and May 7, 2012. The total fair value on the grant date of such awards as determined under Statement of Financial Accounting Standard No. 123R, “Share-Based Payment” was $182,625 for the grant made in May 2006 and $254,625 for the grant made in May 2007.</w:t>
      </w:r>
    </w:p>
    <w:p>
      <w:pPr>
        <w:spacing w:after="0" w:line="4"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Zax’s term as a member of the Board of Directors expired at the 2007 Annual Meeting of Wynn Resorts Stockholders and Mr. Zax did not stand for reelection to the Board of Directors at such time.</w:t>
      </w:r>
    </w:p>
    <w:p>
      <w:pPr>
        <w:ind w:left="460" w:hanging="452"/>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Other Compensation consists of cash distributions accrued on unvested restricted stock, which is paid if and when the restricted stock vests.</w:t>
      </w:r>
    </w:p>
    <w:p>
      <w:pPr>
        <w:spacing w:after="0" w:line="1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who are not employees of Wynn Resorts receive a monthly fee of $4,000 for services as a director. Directors who serve on the Audit Committee, the Compensation Committee or the Nominating/Governance Committee receive an additional monthly fee of $1,000 per committee ($2,000 for committee chairmen). Each non-employee director also receives a $1,500 meeting fee for each board or committee meeting he or she attends. All directors are provided complementary room, food and beverage privileges at Wynn Resorts’ properties in connection with their attendance at Board or Committee meetings or other Wynn Resorts’ events and are reimbursed for any other out of pocket expenses related to attendance at meetings.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received an immediately exercisable option grant for 10,000 shares of Wynn Resorts’ common stock upon their initial appointment to the Board of Directors. In addition, on May 3, 2006 and May 7, 2007, each member of the Board of Directors then in office, other than Messrs. Wynn, Okada and Kramer, Ms. Chen and Mrs. Wynn, were granted 2,500 shares of restricted stock. This grant vests upon the fifth anniversary of the grant date unless the director leaves the Board of Directors prior to vesting, in which case the grant vests pro rata, 20% per year, based upon the number of years served since the grant. Wynn Resorts does not provide non-equity incentive plan awards or deferred compensation or retirement plans for non-employee directors.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29, 2007, Wynn Resorts appointed Dr. Ray Irani and Ms. Linda Chen as members of Wynn Resorts’ Board of Directors. In connection with his appointment to the Board, Dr. Irani received an immediately exercisable option grant for 10,000 shares of Wynn Resorts common stock and a grant of 2,500 shares of restricted stock, which grant vests on November 7, 2012, unless Dr. Irani leaves the Board of Directors prior to vesting, in which case the grant vests pro rata, 20% per year, based upon the number of years served since the date of grant. Dr. Irani is the sixth independent member of the Board of Directors. In addition, on November 8, 2007, Dr. Irani was appointed as a member of Wynn Resorts’ Nominating and Corporate Governance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responsibility for setting and implementing compensation for named executive officers. The Committee strives to provide total compensation that is fair and competitive.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both performance and compensation to enable Wynn Resorts to attract and retain superior employees in key positions. To achieve these objectives, Wynn Resorts’ compensation includes both cash and equity based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Wynn Resorts. The Committee considers the recommendations of the Chief Executive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making compensation decisions, the Compensation Committee compares each element of compensation against a peer group of publicly traded companies. This list of peer companies includes those with which the Committee believes Wynn Resorts competes for talent and stockholder investment. In 2007, Wynn Resorts expanded its peer group from pure gaming companies (MGM Mirage, Las Vegas Sands, Harrah’s Entertainment and Stations Casinos) to include those in the hospitality (Hilton, Marriott and Starwood) and entertainment (Disney) businesses as well as growth companies (Starbucks, Yahoo, EBay). This expanded peer group allowed Wynn Resorts to more comprehensively include in evaluation of executive performance the non-gaming products which it offers. These non-gaming amenities of lodging, food and beverage, retail and entertainment generate over one half of the revenue and cash flow in Wynn Resorts’ US operations and have received unprecedented recognition. Wynn Las Vegas is the only casino resort hotel to have been awarded Mobil’s five stars, an honor which it has received for two consecutive years. Additionally, in 2007, Wynn Las Vegas received five red pavilions, the highest honor for Michelin rated accommodations. These third-party confirmations of brand performance, combined with financial performance that significantly exceeded pre-established targets for adjusted EBITDA, support the compensation levels paid by Wynn Resorts. In addition to peer group review, the Compensation Committee evaluates relative internal pay levels, relative levels of responsibility and correlates overall compensation levels to reward the drivers of financial and brand performance.</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 2007, the Compensation Committee engaged Strategic Apex Group, an independent, nationally recognized executive compensation consulting firm, to assist it in evaluating Wynn Resorts’ executive compensation plans, and Wynn Resorts’ position relative to its peer group. In connection with its engagement, Strategic Apex provided the Compensation Committee with comparative data and, at the direction of the Compensation Committee, worked with senior management in evaluating previous compensation decisions by the Compensation Committee and in designing a long term equity incentive program that is currently being evaluated.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Wynn Resorts’ total compensation for named executive officers includes (a) base salary, (b) annual cash incentive compensation, and (c) long term equity incentives. Annually, the Compensation Committee reviews each element, along with value created from past incentives, to assess whether Wynn Resorts’ compensation program achieves its objectives of attracting and retaining superior management while rewarding achievement of property development and operating performance. Wynn Resorts’ policy for allocating between currently paid compensation and long term compensation does not include specific formula or weighting, but is designed to offer what the Compensation Committee views as adequate base compensation to attract and retain personnel while providing incentives to maximize long term value for Wynn Resorts and its stockholders.</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Base Salaries are established by employment contracts and reviewed and adjusted periodically if necessary due to competitive reasons or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reflect changes in responsibility or other extraordinary circumstances. As part of its strategy to attract and retain high quality executive employees, Wynn Resorts’ policy is to pay executives base salaries which it deems necessary to attract and retain desired management expertise. These goals require that Wynn Resorts pay base salary levels for its named executive officers that may exceed the peer group mean. Companies in the gaming and hospitality business typically pay at higher levels than their non-gaming counterparts due to certain regulatory and other extraordinary demands. Wynn Resorts’ rapid expansion in the last five years has required that named executive officers provide extraordinary levels of development, opening and operating expertise. These efforts have rewarded stockholders with industry leading product and financial results. Periodic merit increases are made after annual review. During its annual review of overall compensation, the Compensation Committee evaluates Wynn Resorts’ payment of its senior management against its competitors in each element of compensation and on an overall basis. In February, 2007, Mr. Wynn’s base salary was increased from $2,750,000 per annum to $3,250,000 per annum after review by the Committee. Mr. Wynn’s increase was made in recognition of his contributions to design and operation of Wynn Resorts’ assets as well as his overall leadership. Additionally, the Committee considered that Mr. Wynn, at his request, has not been awarded equity in Wynn Resorts for his employment services. Consequently, Mr. Wynn’s overall compensation is significantly less than that paid to Chairmen and Chief Executive Officers of Wynn Resorts’ competitors.</w:t>
      </w:r>
    </w:p>
    <w:p>
      <w:pPr>
        <w:spacing w:after="0" w:line="1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Annual Incentives. </w:t>
      </w:r>
      <w:r>
        <w:rPr>
          <w:rFonts w:ascii="Arial" w:cs="Arial" w:eastAsia="Arial" w:hAnsi="Arial"/>
          <w:sz w:val="15"/>
          <w:szCs w:val="15"/>
          <w:color w:val="auto"/>
        </w:rPr>
        <w:t>In 2004, the Compensation Committee and the Board of Directors recommended and the stockholders approved the Wynn Resorts,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Limited Annual Performance-Based Incentive Plan for Executive Officers (the “Incentive Plan”) discussed below under “Tax and Accounting Implications.”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Wynn Resorts’ named executive officers is eligible to participate in the Incentive Plan. Each year, within 90 days after the commencement of that year, the Compensation Committee identifies the executive officers who will participate in the Incentive Plan for that year, establishes the performance criteria for the Incentive Plan, as well as the maximum percentage of base salary that can be paid to each participant. For each of 2006, 2007 and 2008, the Committee selected property adjusted EBITDA (adjusted EBITDA for Wynn Las Vegas and Wynn Macau), which is a non-GAAP measure calculated at the segment level and reported in the footnotes to Wynn Resorts’ audited financial statements, as the appropriate criteria and, in the course of such determination, concluded that the achievement of the performance criterion was substantially uncertain. These criteria are a reflection of the operating performance of Wynn Resorts’ assets and directly influences return to stockholders. In addition, management and stockholders use adjusted EBITDA to value Wynn Resorts as a whole and its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provided under the Incentive Plan as amended and approved by stockholders in 2007, named executive officer participants (other than Mr. Wynn) had a maximum payable under the Plan of 200% of Base Salary, and Mr. Wynn’s maximum is 250% of his Base Salary. The Compensation Committee elected to establish only one target, with the Committee having the discretion for downward adjustment of the maximum payable under the plan dependent on individual performance. In 2007, the Adjusted EBITDA target for Wynn Macau and Wynn Las Vegas operations combined was $522 million. Actual performance of $781 million significantly exceeded the target and all participants were awarded the maximum payable. Bonuses under the Incentive Plan are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after determination of whether the criteria have been met. While the Compensation Committee has the discretion to reduce amounts paid below the amount determined under this formula based on company and individual performance and other considerations it may determine appropriate, it did not exercise that discretion with respect to 2007 due to strong performance by Wynn Resorts.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Wynn Resorts’ 2002 Stock Plan is designed to provide stock-based incentives to its officers and employees.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specifically approves all awards of stock options and restricted stock granted by Wynn Resorts. The Compensation Committee does not provide annual equity grants to executives but instead uses grants under the 2002 Stock Plan to attract qualified individuals to work for Wynn Resorts, and to make periodic grants to existing officers as determined appropriate in the Compensation Committee’s judgment, to retain superior officers and to reward extraordinary performance. The number of options or shares of restricted stock to be granted to each executive officer is based on the individual executive’s job accomplishments, tenure and future potential as well as the Compensation Committee’s assessment of competitive compensation levels. Grants to named executive officers are typically made periodically with long term vesting dates. The underlying philosophy is to retain senior management for the long term, building a talent base for Wynn Resorts’ future growth and achievement of desired goals.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Mr. Schorr and Mr. Strzemp received grants of restricted stock upon the initial public offering of Wynn Resorts’ common stock. Mr. Kramer received such a grant upon his commencement of employment with Wynn Resorts. Mr. Wynn, the founder, Chairman and Chief Executive Officer of Wynn Resorts, does not participate in Wynn Resorts’ equity incentive plans at his election. This election differs from most of the companies included in the peer group. The Compensation Committee is currently working with its consultant to consider a long term equity incentive plan program to provide a more systematic approach to equity grants and to bring Wynn Resorts’ executives to above the mean in its peer group.</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each of December 2006 and 2007, Wynn Resorts paid a $6 per share cash distribution to holders of Wynn Resorts’ common stock. Wynn Resorts accrued a payable to certain of the named executive officers in the amount of the cash distribution on unvested restricted stock owned by such officers. These amounts are included in “All Other Compensation” in the “2007 Summary Compensation Table.”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executive officers in excess of $1,000,000 in any taxable year. Other than (a) base salary of $2,152,577, $284,500 and $729,500 respectively paid to Messrs. Wynn, Kramer and Schorr, (b) cash distributions on restricted stock of $360,000 and $300,000 paid to Messrs. Kramer and Schorr; and (c) $113,007 and $27,687 of other compensation paid to Mr. Wynn and Ms. Chen, respectively, the Compensation Committee does not believe that there will be any non-deductible compensation in 2007 based upon allowances under Section 162(m) or otherwise. Wynn Resorts’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in extraordinary circumstances, when necessary for competitive reasons or to attract or retain a key executive, or where achieving maximum tax deductibility would be considered disadvantageous to the best interests of Wynn Resorts.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2007 fiscal year, all named executive officers were bound by employment agreements, except that Mr. Schorr’s Employment Agreement expired on October 31, 2007. On March 4, 2008, Wynn Resorts and Mr. Schorr entered into a new five (5) year employment contract, which expires in October 2012. Certain employment agreements were negotiated and executed prior to the formation of the Compensation Committee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October 2002 and in 2006, those of Mr. Schorr and Ms. Chen’s were amended to increase base salaries, in each case to reflect extraordinary effort and achievement in the operations of Wynn Las Vegas and Wynn Macau. These amendments (along with any other employment agreements in which base salary exceeds $500,000 per year) were approved by the Compensation Committee. The employment agreements set minimum levels of base salary and detail other benefits of employment. As for term, Mr. Wynn’s employment agreement with Wynn Resorts expires in 2017, Mr. Strzemp’s in March 2009, Mr. Schorr’s in 2012 and Ms. Chen’s in 2011. Mr. Kramer’s agreement expired on March 31, 2008, at which time he left the employ of Wynn Resorts.</w:t>
      </w:r>
    </w:p>
    <w:p>
      <w:pPr>
        <w:spacing w:after="0" w:line="1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employment agreements for certain key employees, including the named executive officers, include change of control provisions. These provisions are intended to protect senior management in the event that certain events occur after a defined Change in Control of Wynn Resorts. If, after a Change in Control, a named executive officer experiences any of the following adverse employment actions: (a) a reduction in base salary, (b) discontinuance of Wynn Resorts’ bonus plan as in effect immediately before the Change in Control without substitution of a comparable plan (c) material reduction in aggregate benefits and perquisites,</w:t>
      </w:r>
    </w:p>
    <w:p>
      <w:pPr>
        <w:spacing w:after="0" w:line="3" w:lineRule="exact"/>
        <w:rPr>
          <w:sz w:val="20"/>
          <w:szCs w:val="20"/>
          <w:color w:val="auto"/>
        </w:rPr>
      </w:pPr>
    </w:p>
    <w:p>
      <w:pPr>
        <w:ind w:firstLine="8"/>
        <w:spacing w:after="0" w:line="287" w:lineRule="auto"/>
        <w:tabs>
          <w:tab w:leader="none" w:pos="2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Wynn Resorts requires that such officer change the location of his or her job or office by a distance of more than 25 miles, (e) a reduction in responsibilities or change in reporting, or (f) failure of a successor to expressly assume the obligations of such officer’s employment agreement, the officer may terminate his or her employment and receive a payment equal to base salary, bonus, accrued vacation pay and gross up payments for the greater of one year or the remainder of the contract term. Mr. Wynn’s payment is a maximum of four years. The severance payment is not a specified multiple of annual compensation, but dependent upon the remaining length of each particular officer’s contract term. The formula is the same for all named executive officers (other than Mr. Wynn’s whose payment is limited to four years). The Compensation Committee has determined that such agreements are fair compensation to Wynn Resorts’ senior management, especially in light of the double trigger required (i.e. in addition to a Change in Control, the officer must experience an identified adverse employment action prior to terminating his or her employment and receiving the severance payment).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its named executive officers with a number of executive benefits. The primary executive benefits include certain life insurance premiums, matching contributions as defined in Wynn Resorts’ 401(k) program and complementary privileges with respect to Wynn Resorts’ properties which are described in the footnotes to the “2007 Summary Compensation Table.” In addition, Messrs. Wynn and Schorr have access to Wynn Resorts’ aircraft pursuant to time sharing agreements described in “Certain Relationships and Related Transactions—Aircraft Arrangements.” For security purposes, the Board of Directors requires Mr. Wynn to travel on Wynn Resorts’ aircraft for both personal and business travel, and Wynn Resorts provides a car and driver (and security when necessary) for his personal use. Ms. Chen receives a car and driver, certain housing and living expenses in Macau, as well as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and February 1, 2007, which has a term expiring in 2017. Mr. Wynn, a holder of approximately 21% of Wynn Resorts’ common stock, has not received any equity awards as part of this compensation as Chief Executive Officer of Wynn Resorts. Mr. Wynn receives a base salary, $3,250,000 per year as of February 1, 2007, and participates in the Annual Performance Based Incentive Plan, with a maximum bonus potential for 2007 and 2008 of 250% of his base salary. Based upon achievement of the applicable performance criteria in each year, Mr. Wynn was paid the maximum bonus under the Incentive Plan. Mr. Wynn is provided with a Wynn Resorts’ paid life insurance and disability policies, as well as participation in Wynn Resorts’ 401(k) plan. He also receives certain executive benefits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 ended December 31, 2007 and December 31,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7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CEO</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11,246,505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2,825,000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$ 6,875,000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9,962,915</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Exec VP/CFO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$453,354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$ 1,200,000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38,052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2,291,406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$580,274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  600,000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1,789,712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$ 81,328</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6,552,328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$321,737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8,477,999</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COO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$ 78,460</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$ 3,500,000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646,933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7,660,393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1,072,115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$332,301</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7,311,437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of Wynn Int’l Marketing</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1,066,833</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$516,797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5,234,709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444,514</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$614,086</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$ 1,296,164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3,956,581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59"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80" w:lineRule="exact"/>
        <w:rPr>
          <w:rFonts w:ascii="Arial" w:cs="Arial" w:eastAsia="Arial" w:hAnsi="Arial"/>
          <w:sz w:val="18"/>
          <w:szCs w:val="18"/>
          <w:color w:val="auto"/>
        </w:rPr>
      </w:pPr>
    </w:p>
    <w:p>
      <w:pPr>
        <w:ind w:left="340" w:right="200" w:hanging="332"/>
        <w:spacing w:after="0" w:line="34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Compensation includes cash distributions accrued on unvested restricted stock reported in the year such amounts accrue instead of the year paid, based on an SEC Staff interpretation issued after the 2007 proxy statement was filed. These amounts are paid only if and when the restricted stock vests. The following amounts for 2007 are included in “All Other Compensation” for Mr. Wynn:</w:t>
      </w:r>
    </w:p>
    <w:p>
      <w:pPr>
        <w:spacing w:after="0" w:line="1" w:lineRule="exact"/>
        <w:rPr>
          <w:rFonts w:ascii="Arial" w:cs="Arial" w:eastAsia="Arial" w:hAnsi="Arial"/>
          <w:sz w:val="18"/>
          <w:szCs w:val="18"/>
          <w:color w:val="auto"/>
        </w:rPr>
      </w:pPr>
    </w:p>
    <w:p>
      <w:pPr>
        <w:ind w:left="800" w:hanging="45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personal use of Wynn Resorts’ aircraft of $424,548;</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executive life insurance premiums of $29,123;</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$109,416;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$3,591;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401k employer matching contributions of $6,750.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Strzemp:</w:t>
      </w:r>
    </w:p>
    <w:p>
      <w:pPr>
        <w:spacing w:after="0" w:line="90" w:lineRule="exact"/>
        <w:rPr>
          <w:sz w:val="20"/>
          <w:szCs w:val="20"/>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$9,588;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$28,464 for executive’s participation in an employee incentive trip.</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Kramer:</w:t>
      </w:r>
    </w:p>
    <w:p>
      <w:pPr>
        <w:spacing w:after="0" w:line="90" w:lineRule="exact"/>
        <w:rPr>
          <w:sz w:val="20"/>
          <w:szCs w:val="20"/>
          <w:color w:val="auto"/>
        </w:rPr>
      </w:pPr>
    </w:p>
    <w:p>
      <w:pPr>
        <w:ind w:left="800" w:hanging="45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$540,000 of accrued cash distributions related to unvested restricted stock;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$9,000.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Schorr:</w:t>
      </w:r>
    </w:p>
    <w:p>
      <w:pPr>
        <w:spacing w:after="0" w:line="90" w:lineRule="exact"/>
        <w:rPr>
          <w:sz w:val="20"/>
          <w:szCs w:val="20"/>
          <w:color w:val="auto"/>
        </w:rPr>
      </w:pP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$450,000 of accrued cash distributions related to unvested restricted stock;</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personal use of Wynn Resorts’ aircraft of $176,914;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$20,019.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$43,189 attributable to housing and other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$7,890;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$600,000 of accrued cash distributions related to unvested restricted stock.</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2007 total direct (variable) flight expenses by the total hours the aircraft was operated during the year. The executives’ hourly usage was multiplied by this annual hourly rate.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2007, each of the named executive officers received base salary in accordance with the terms of his or her employment agreement, as well as an annual bonus under the terms of the Incentive Plan.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2008, as shown in “2007 Grants of Plan-Based Awards Table,” the named executive officers also received bonuses under the Incentive Plan related to 2007 performance. Since the operating criterion was satisfied (Adjusted EBITDA for Wynn Las Vegas and Wynn Macau), all participants were entitled to, and did receive the maximum bonuses payable under the Incentive Plan.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2007 GRANTS OF PLAN-BASED AWARDS TABLE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79"/>
              </w:rPr>
              <w:t>Possible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4"/>
              </w:rPr>
              <w:t>Payouts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Under</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Non-Equity</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Plan Awards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Maximum</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363"/>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20" w:type="dxa"/>
            <w:vAlign w:val="bottom"/>
          </w:tcPr>
          <w:p>
            <w:pPr>
              <w:jc w:val="right"/>
              <w:ind w:right="36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Wynn Resorts’ Incentive Plan rewards management for creation of superior return to stockholders, measured by operating performance of its properties. The amounts shown on the table above reflect achievement of the 2007 performance criteria of Adjusted EBITDA at Wynn Resorts’ Wynn Las Vegas and Wynn Macau properties and the payment of maximum bonuses under the Incentive Plan to all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3"/>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Exercisable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Unexercisable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John Strzemp(1)</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04/01/13</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Marc D. Schorr(3)</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15.40</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Strzemp’s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stock options—50,000 shares will vest on August 1, 2008.</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Due to Mr. Kramer’s departure from Wynn Resorts on March 31, 2008, his restricted stock was forfeited and did not vest.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Schorr’s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restricted stock will vest 25,000 shares on each of December 15, 2008 and 2009.</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Chen’s outstanding awards will vest as follows:</w:t>
      </w:r>
    </w:p>
    <w:p>
      <w:pPr>
        <w:spacing w:after="0" w:line="15" w:lineRule="exact"/>
        <w:rPr>
          <w:rFonts w:ascii="Arial" w:cs="Arial" w:eastAsia="Arial" w:hAnsi="Arial"/>
          <w:sz w:val="18"/>
          <w:szCs w:val="18"/>
          <w:color w:val="auto"/>
        </w:rPr>
      </w:pPr>
    </w:p>
    <w:p>
      <w:pPr>
        <w:ind w:left="900" w:right="280" w:hanging="446"/>
        <w:spacing w:after="0" w:line="261"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stock options—33,333 shares will vest on each of August 1, 2008 and 2009 and 33,334 shares vest on August 1, 2010; and b. restricted stock will vest in its entirety on July 31, 2012.</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closing price of Wynn Resorts’ stock at year-end was $112.13 per share.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vesting is conditioned upon such named executive officer being an employee of Wynn Resorts on the vesting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160" w:type="dxa"/>
            <w:vAlign w:val="bottom"/>
            <w:gridSpan w:val="2"/>
          </w:tcPr>
          <w:p>
            <w:pPr>
              <w:jc w:val="center"/>
              <w:ind w:left="331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08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438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581,800</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3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$ 3,536,100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34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w w:val="90"/>
              </w:rPr>
              <w:t>$ 2,946,750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4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2,195,188</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0" w:type="dxa"/>
            <w:vAlign w:val="bottom"/>
          </w:tcPr>
          <w:p>
            <w:pPr>
              <w:jc w:val="right"/>
              <w:ind w:right="957"/>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6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Wynn Resorts’ employment agreements with its named executive officers provide that such agreements are terminable by Wynn Resorts without cause upon notice to the employee, so long as a “separation payment” is paid within 10 days of such notice. The “separation payment” includes (a) base salary through the end of the term of the agreement, but not less than 12 months (and in Mr. Wynn’s case, not more than 4 years); (b) bonus for all bonus periods based upon last bonus paid through the end of the term (and in Mr. Wynn’s case, not more than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the stock option agreements and restricted stock agreements for all named executive officers other than Mr. Wynn provide that all unvested options and shares will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or his or her job or office by a distance of more than 25 miles; (v) reduction of responsibilities or required reporting to a person of lower rank or responsibilities; or (vi) failure to expressly assume in writing the employment agreement. Upon termination by the employee pursuant to this provision, the employee is entitled to the same amounts described under “Payments Made Upon Termination Without Cause at Employer’s Election During the Term” above. Pursuant to the terms of the applicable stock option agreements and restricted stock grant agreements, all outstanding options and unvested shares of restricted stock held by each of Mr. Schorr, Mr. Strzemp and Ms. Chen immediately vest upon termination by Wynn Resorts without cause or upon termination by the employee for good reason after a change in control.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During the Term</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tables below reflect the amount of compensation that would become payable to each of the named executive officers under existing agreements and arrangements if the named executive’s employment had terminated on December 31, 2007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to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Wynn Resorts’ stock price and the executive’s 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A. Wynn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case of Mr. Wynn, the payments to be made upon “Termination Without Cause at Employer’s Election During the Term” and “Termination by Employee for Good Reason After Change in Control for Good Reason” are limited to four years (rather than the remainder of the term).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Disability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Term(1)(3)</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Control(1)(3)</w:t>
            </w:r>
          </w:p>
        </w:tc>
        <w:tc>
          <w:tcPr>
            <w:tcW w:w="20" w:type="dxa"/>
            <w:vAlign w:val="bottom"/>
          </w:tcPr>
          <w:p>
            <w:pPr>
              <w:spacing w:after="0"/>
              <w:rPr>
                <w:sz w:val="14"/>
                <w:szCs w:val="14"/>
                <w:color w:val="auto"/>
              </w:rPr>
            </w:pPr>
          </w:p>
        </w:tc>
      </w:tr>
      <w:tr>
        <w:trPr>
          <w:trHeight w:val="201"/>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13,000,000</w:t>
            </w:r>
          </w:p>
        </w:tc>
        <w:tc>
          <w:tcPr>
            <w:tcW w:w="2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unpaid through the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5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7,500,000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37,500,000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37,500,000</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17,453,535</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323,214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471,647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Bonus amounts include bonuses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Term (3)</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unvested 50,000 stock option grant would vest immediately upon death or complete disability. Using the closing price on December 31, 2007, the value of such options upon exercise would have been $2,773,000.</w:t>
      </w:r>
    </w:p>
    <w:p>
      <w:pPr>
        <w:ind w:left="460" w:right="1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J. Kramer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Termination</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Voluntary</w:t>
            </w:r>
          </w:p>
        </w:tc>
        <w:tc>
          <w:tcPr>
            <w:tcW w:w="8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Termination Upon</w:t>
            </w: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6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12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3"/>
              </w:rPr>
              <w:t>Death or Complete</w:t>
            </w:r>
          </w:p>
        </w:tc>
        <w:tc>
          <w:tcPr>
            <w:tcW w:w="6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by the Employee</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Disability</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the Term(4)</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earned</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1,300,000</w:t>
            </w:r>
          </w:p>
        </w:tc>
        <w:tc>
          <w:tcPr>
            <w:tcW w:w="20" w:type="dxa"/>
            <w:vAlign w:val="bottom"/>
          </w:tcPr>
          <w:p>
            <w:pPr>
              <w:spacing w:after="0"/>
              <w:rPr>
                <w:sz w:val="17"/>
                <w:szCs w:val="17"/>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unpaid</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 unpaid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the date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6"/>
              </w:rPr>
              <w:t>through the date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termination.</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of termination.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Bonus</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5,200,000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6,727,800</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Tax Gross Up</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60,000 restricted stock grants would vest. Using the closing price on December 31, 2007, the value of such grants upon vesting would have been $6,727,800.</w:t>
      </w:r>
    </w:p>
    <w:p>
      <w:pPr>
        <w:ind w:left="460" w:right="1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Mr. Kramer’s employment agreement expired on March 31, 2008, at which time he left the employ of Wynn Resorts.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Term(4)</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50,000 restricted stock grants would vest. Using the closing price on December 31, 2007, the value of such grant upon vesting would have been $5,606,500.</w:t>
      </w:r>
    </w:p>
    <w:p>
      <w:pPr>
        <w:ind w:left="460" w:right="22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Schorr’s employment agreement had expired on October 31, 2007. On March 4, 2008, Wynn Resorts and Mr. Schorr entered into a new five (5) year employment agreement, effective October 31, 2007, which expires on October 31, 2012.</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Term(4)</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Control(4)</w:t>
            </w:r>
          </w:p>
        </w:tc>
        <w:tc>
          <w:tcPr>
            <w:tcW w:w="20" w:type="dxa"/>
            <w:vAlign w:val="bottom"/>
          </w:tcPr>
          <w:p>
            <w:pPr>
              <w:spacing w:after="0"/>
              <w:rPr>
                <w:sz w:val="14"/>
                <w:szCs w:val="14"/>
                <w:color w:val="auto"/>
              </w:rPr>
            </w:pP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3,583,333</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3,583,333</w:t>
            </w:r>
          </w:p>
        </w:tc>
        <w:tc>
          <w:tcPr>
            <w:tcW w:w="2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8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Bonus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2,647,726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2,647,726</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Tax Gross Up</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5,618,828</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Benefits(3)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unvested 100,000 stock option grant would vest immediately upon death or complete disability. Using the closing price on December 31, 2007, the value of such options upon exercise would have been $5,546,000.</w:t>
      </w:r>
    </w:p>
    <w:p>
      <w:pPr>
        <w:ind w:left="460" w:right="30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termination without cause the restricted stock will vest on a pro-rated basis based on the number of months since the grant date. Using the closing price on December 31, 2007, the value of such 23,613 shares would have been $2,647,726.</w:t>
      </w:r>
    </w:p>
    <w:p>
      <w:pPr>
        <w:ind w:left="460" w:right="38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Bonus includes bonus for 2007 performance year paid in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following table summarizes, as of December 31, 2007,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80" w:type="dxa"/>
            <w:vAlign w:val="bottom"/>
          </w:tcPr>
          <w:p>
            <w:pPr>
              <w:spacing w:after="0"/>
              <w:rPr>
                <w:sz w:val="12"/>
                <w:szCs w:val="12"/>
                <w:color w:val="auto"/>
              </w:rPr>
            </w:pPr>
          </w:p>
        </w:tc>
        <w:tc>
          <w:tcPr>
            <w:tcW w:w="22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80" w:type="dxa"/>
            <w:vAlign w:val="bottom"/>
          </w:tcPr>
          <w:p>
            <w:pPr>
              <w:spacing w:after="0"/>
              <w:rPr>
                <w:sz w:val="12"/>
                <w:szCs w:val="12"/>
                <w:color w:val="auto"/>
              </w:rPr>
            </w:pPr>
          </w:p>
        </w:tc>
        <w:tc>
          <w:tcPr>
            <w:tcW w:w="22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61"/>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Warrants and Rights(1)</w:t>
            </w:r>
          </w:p>
        </w:tc>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489,500 shares of unvested restricted stock awards outstanding under an 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are our wholly owned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February 29, 2008, certain information regarding the shares of Wynn Resorts’ common stock beneficially owned by: (i) each director; (ii) each stockholder who is known by the Wynn Resorts to beneficially own in excess of 5% of the outstanding shares of Wynn Resorts’ common stock based on information reported on Form 13D or 13G filed with the SEC; (iii) each of the executive officers of Wynn Resorts named in the Summary Compensation Table; and (iv) all executive officers of Wynn Resorts, and directors of Wynn Resorts, as a group.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9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24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4"/>
              </w:rPr>
              <w:t>Shares(1)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80" w:type="dxa"/>
            <w:vAlign w:val="bottom"/>
            <w:gridSpan w:val="3"/>
            <w:vMerge w:val="continue"/>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6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Marsico Capital Management, LLC(6)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16,543,565</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1200 17th Street, Suite 1600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7,564,839</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Linda Chen(8)</w:t>
            </w:r>
          </w:p>
        </w:tc>
        <w:tc>
          <w:tcPr>
            <w:tcW w:w="800" w:type="dxa"/>
            <w:vAlign w:val="bottom"/>
          </w:tcPr>
          <w:p>
            <w:pPr>
              <w:jc w:val="right"/>
              <w:spacing w:after="0"/>
              <w:rPr>
                <w:sz w:val="20"/>
                <w:szCs w:val="20"/>
                <w:color w:val="auto"/>
              </w:rPr>
            </w:pPr>
            <w:r>
              <w:rPr>
                <w:rFonts w:ascii="Arial" w:cs="Arial" w:eastAsia="Arial" w:hAnsi="Arial"/>
                <w:sz w:val="18"/>
                <w:szCs w:val="18"/>
                <w:color w:val="auto"/>
              </w:rPr>
              <w:t>185,000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Ronald J. Kramer(10)</w:t>
            </w:r>
          </w:p>
        </w:tc>
        <w:tc>
          <w:tcPr>
            <w:tcW w:w="800" w:type="dxa"/>
            <w:vAlign w:val="bottom"/>
          </w:tcPr>
          <w:p>
            <w:pPr>
              <w:jc w:val="right"/>
              <w:spacing w:after="0"/>
              <w:rPr>
                <w:sz w:val="20"/>
                <w:szCs w:val="20"/>
                <w:color w:val="auto"/>
              </w:rPr>
            </w:pPr>
            <w:r>
              <w:rPr>
                <w:rFonts w:ascii="Arial" w:cs="Arial" w:eastAsia="Arial" w:hAnsi="Arial"/>
                <w:sz w:val="18"/>
                <w:szCs w:val="18"/>
                <w:color w:val="auto"/>
              </w:rPr>
              <w:t>338,370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A. Moran(11)(12)</w:t>
            </w:r>
          </w:p>
        </w:tc>
        <w:tc>
          <w:tcPr>
            <w:tcW w:w="800" w:type="dxa"/>
            <w:vAlign w:val="bottom"/>
          </w:tcPr>
          <w:p>
            <w:pPr>
              <w:jc w:val="right"/>
              <w:spacing w:after="0"/>
              <w:rPr>
                <w:sz w:val="20"/>
                <w:szCs w:val="20"/>
                <w:color w:val="auto"/>
              </w:rPr>
            </w:pPr>
            <w:r>
              <w:rPr>
                <w:rFonts w:ascii="Arial" w:cs="Arial" w:eastAsia="Arial" w:hAnsi="Arial"/>
                <w:sz w:val="18"/>
                <w:szCs w:val="18"/>
                <w:color w:val="auto"/>
              </w:rPr>
              <w:t>148,000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Wynn(3)(4)(13)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800" w:type="dxa"/>
            <w:vAlign w:val="bottom"/>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00" w:type="dxa"/>
            <w:vAlign w:val="bottom"/>
          </w:tcPr>
          <w:p>
            <w:pPr>
              <w:jc w:val="right"/>
              <w:spacing w:after="0"/>
              <w:rPr>
                <w:sz w:val="20"/>
                <w:szCs w:val="20"/>
                <w:color w:val="auto"/>
              </w:rPr>
            </w:pPr>
            <w:r>
              <w:rPr>
                <w:rFonts w:ascii="Arial" w:cs="Arial" w:eastAsia="Arial" w:hAnsi="Arial"/>
                <w:sz w:val="18"/>
                <w:szCs w:val="18"/>
                <w:color w:val="auto"/>
              </w:rPr>
              <w:t>205,500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Group(19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50,390,833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100" w:hanging="572"/>
        <w:spacing w:after="0" w:line="250"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 w:hanging="572"/>
        <w:spacing w:after="0" w:line="331"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Does not include shares that may be deemed to be beneficially owned by virtue of the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hanging="572"/>
        <w:spacing w:after="0" w:line="25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578,292 shares, in the aggregate, of Wynn Resorts’ common stock held in four grantor retained annuity trusts created by Stephen A. Wynn and Elaine P. Wynn. In 2007, Mr. Wynn ceased to be the trustee of each of these trusts.</w:t>
      </w:r>
    </w:p>
    <w:p>
      <w:pPr>
        <w:ind w:left="580" w:right="140" w:hanging="572"/>
        <w:spacing w:after="0" w:line="281"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Aruze USA, Inc. is a wholly owned subsidiary of Aruze Corp., of which Mr. Kazuo Okada owns a controlling interest and is the Chairman. The subject securities were acquired and are owned by Aruze USA, Inc. but Aruze Corp. and Mr. Okada may also be considered beneficial owners of the shares because Aruze USA, Aruze Corp. and Mr. Okada may be deemed to have shared voting and dispositive power over the shares.</w:t>
      </w:r>
    </w:p>
    <w:p>
      <w:pPr>
        <w:spacing w:after="0" w:line="2" w:lineRule="exact"/>
        <w:rPr>
          <w:rFonts w:ascii="Arial" w:cs="Arial" w:eastAsia="Arial" w:hAnsi="Arial"/>
          <w:sz w:val="16"/>
          <w:szCs w:val="16"/>
          <w:color w:val="auto"/>
        </w:rPr>
      </w:pPr>
    </w:p>
    <w:p>
      <w:pPr>
        <w:ind w:left="580" w:right="280" w:hanging="572"/>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14, 2008, filed by Marsico.</w:t>
      </w:r>
    </w:p>
    <w:p>
      <w:pPr>
        <w:ind w:left="580" w:right="100" w:hanging="572"/>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Reflects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The information provided is based upon a Schedule 13G, dated February 14, 2008, filed by Morgan Stanley.</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Plan and subject to a Restricted Stock Agreement which provides such grant will vest on July 31, 2012; (ii) 26,250 shares owned by Linda Chen, as trustee; and (iii) 48,750 shares pledged by Ms. Chen to secure a loan made to her.</w:t>
      </w:r>
    </w:p>
    <w:p>
      <w:pPr>
        <w:spacing w:after="0" w:line="1" w:lineRule="exact"/>
        <w:rPr>
          <w:rFonts w:ascii="Arial" w:cs="Arial" w:eastAsia="Arial" w:hAnsi="Arial"/>
          <w:sz w:val="18"/>
          <w:szCs w:val="18"/>
          <w:color w:val="auto"/>
        </w:rPr>
      </w:pPr>
    </w:p>
    <w:p>
      <w:pPr>
        <w:jc w:val="both"/>
        <w:ind w:left="580" w:right="200" w:hanging="572"/>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2,500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120" w:hanging="572"/>
        <w:spacing w:after="0" w:line="300"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(i) 60,000 shares of restricted stock granted pursuant to Wynn Resorts’ 2002 Stock Plan and subject to a Restricted Stock Agreement which provides that such grant will vest 30,000 shares each on December 15, 2008, and 2009 or upon the earlier death or disability of Mr. Kramer; (ii) 50,000 shares subject to an immediately exercisable option to purchase Wynn Resorts’ common stock granted pursuant to Wynn Resorts’ 2002 Stock Incentive Plan; and (iii) 7,615 shares of Wynn Resorts’ common stock held by Mr. Kramer’s children, for which Mr. Kramer’s spouse is the custodian and</w:t>
      </w:r>
    </w:p>
    <w:p>
      <w:pPr>
        <w:spacing w:after="0" w:line="1" w:lineRule="exact"/>
        <w:rPr>
          <w:rFonts w:ascii="Arial" w:cs="Arial" w:eastAsia="Arial" w:hAnsi="Arial"/>
          <w:sz w:val="15"/>
          <w:szCs w:val="15"/>
          <w:color w:val="auto"/>
        </w:rPr>
      </w:pPr>
    </w:p>
    <w:p>
      <w:pPr>
        <w:ind w:left="580"/>
        <w:spacing w:after="0" w:line="250" w:lineRule="auto"/>
        <w:rPr>
          <w:rFonts w:ascii="Arial" w:cs="Arial" w:eastAsia="Arial" w:hAnsi="Arial"/>
          <w:sz w:val="15"/>
          <w:szCs w:val="15"/>
          <w:color w:val="auto"/>
        </w:rPr>
      </w:pPr>
      <w:r>
        <w:rPr>
          <w:rFonts w:ascii="Arial" w:cs="Arial" w:eastAsia="Arial" w:hAnsi="Arial"/>
          <w:sz w:val="18"/>
          <w:szCs w:val="18"/>
          <w:color w:val="auto"/>
        </w:rPr>
        <w:t>Mr. Kramer disclaims beneficial ownership. Due to Mr. Kramer’s departure from Wynn Resorts on March 31, 2008, his restricted stock was forfeited and did not vest.</w:t>
      </w:r>
    </w:p>
    <w:p>
      <w:pPr>
        <w:jc w:val="both"/>
        <w:ind w:left="580" w:right="200" w:hanging="572"/>
        <w:spacing w:after="0" w:line="250"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 22,500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140" w:hanging="572"/>
        <w:spacing w:after="0" w:line="281"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500 shares of Wynn Resorts’ common stock held by the Carol Moran Trust for the benefit of Mr. Moran’s wife, for which Mr. Moran disclaims beneficial ownership.</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23,970,930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(i) 332,923 shares of Wynn Resorts’ common stock held in trust for the benefit of Mr. Schorr and his wife (including 50,000 shares of restricted stock granted pursuant to Wynn Resorts’ 2002 Stock Plan and subject to a Restricted Stock Agreement which provides such grant will vest 25,000 shares on each of December 15, 2008 and 2009); (ii) 50,000 shares subject to an immediately exercisable option to purchase Wynn Resorts’ common stock granted pursuant to Wynn Resorts’ 2002 Stock Incentive Plan; and (iii) 150,000 shares pledged by Mr. Schorr to secure a loan made to him.</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500 shares of Wynn Resorts’ common stock held by Mr. Strzemp’s mother, for which Mr. Strzemp disclaims beneficial ownership.</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classified as pre-approved (a) employment of executive officers and director compensation if the compensation is required to be reported under Item 402 of the Securities and Exchange Commission’s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Mr. Wynn, Aruze USA and Baron Asset Fund are parties to a stockholders agreement that establishes various rights among</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Aruze USA and Baron Asset Fund with respect to the ownership and management of Wynn Resorts. These rights include, but are not limited to, preemptive rights, rights of first refusal, tag-along rights and certain other restrictions on the transfer of the shares of Wynn Resorts’ common stock owned by the parties to the stockholders agreement. Aruze USA is a wholly owned subsidiary of Aruze Corp., a corporation in which one of Wynn Resorts’ directors, Mr. Okada, owns a controlling interest and where he serves as Chairman. Mr. Okada currently serves as Chairman of Aruze USA.</w:t>
      </w:r>
    </w:p>
    <w:p>
      <w:pPr>
        <w:spacing w:after="0" w:line="11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its options to Wynn Resorts.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240" w:firstLine="456"/>
        <w:spacing w:after="0" w:line="275" w:lineRule="auto"/>
        <w:rPr>
          <w:sz w:val="20"/>
          <w:szCs w:val="20"/>
          <w:color w:val="auto"/>
        </w:rPr>
      </w:pPr>
      <w:r>
        <w:rPr>
          <w:rFonts w:ascii="Arial" w:cs="Arial" w:eastAsia="Arial" w:hAnsi="Arial"/>
          <w:sz w:val="16"/>
          <w:szCs w:val="16"/>
          <w:color w:val="auto"/>
        </w:rPr>
        <w:t>On November 13, 2006, the Board of Directors approved an amendment to Wynn Resorts’ Bylaws that exempts future acquisitions of Wynn Resorts’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 Nevada corporations unless the</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the voting power of Wynn Resorts in the election of directors, without requiring a resolution of the stockholders of Wynn Resorts granting voting rights in the control shares acquired.</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Art Gallery. </w:t>
      </w:r>
      <w:r>
        <w:rPr>
          <w:rFonts w:ascii="Arial" w:cs="Arial" w:eastAsia="Arial" w:hAnsi="Arial"/>
          <w:sz w:val="16"/>
          <w:szCs w:val="16"/>
          <w:color w:val="auto"/>
        </w:rPr>
        <w:t>At the opening of Wynn Las Vegas, the resort included an art gallery that displayed rare paintings from The Wynn Collection,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of fine art owned by Mr. and Mrs. Wynn. Prior to June 30, 2005, Wynn Resorts leased The Wynn Collection from Mr. and Mrs. Wynn for an annual fee of one dollar ($1), and Wynn Resorts was entitled to retain all revenues from the public display of The Wynn Collection and the related merchandising revenues. Wynn Resorts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Wynn Resorts.</w:t>
      </w:r>
    </w:p>
    <w:p>
      <w:pPr>
        <w:ind w:right="40"/>
        <w:spacing w:after="0" w:line="302" w:lineRule="auto"/>
        <w:rPr>
          <w:sz w:val="20"/>
          <w:szCs w:val="20"/>
          <w:color w:val="auto"/>
        </w:rPr>
      </w:pPr>
      <w:r>
        <w:rPr>
          <w:rFonts w:ascii="Arial" w:cs="Arial" w:eastAsia="Arial" w:hAnsi="Arial"/>
          <w:sz w:val="16"/>
          <w:szCs w:val="16"/>
          <w:color w:val="auto"/>
        </w:rPr>
        <w:t>However, the material economic terms of the leasing relationship applicable to Mr. and Mrs. Wynn remained unchanged. In February 2006, Wynn Resorts closed the art gallery and converted the gallery location into additional retail stores. The artwork in the gallery has been relocated to different venues within Wynn Las Vegas. Wynn Resorts continues to be responsible for all expenses in exhibiting and safeguarding The Wynn Collection.</w:t>
      </w:r>
    </w:p>
    <w:p>
      <w:pPr>
        <w:spacing w:after="0" w:line="10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 xml:space="preserve">Surname and Rights of Publicity Agreements. </w:t>
      </w:r>
      <w:r>
        <w:rPr>
          <w:rFonts w:ascii="Arial" w:cs="Arial" w:eastAsia="Arial" w:hAnsi="Arial"/>
          <w:sz w:val="18"/>
          <w:szCs w:val="18"/>
          <w:color w:val="auto"/>
        </w:rPr>
        <w:t>On August 6, 2004, Wynn Holdings entered into agreements with Mr. Wynn that confirm and clarify</w:t>
      </w:r>
      <w:r>
        <w:rPr>
          <w:rFonts w:ascii="Arial" w:cs="Arial" w:eastAsia="Arial" w:hAnsi="Arial"/>
          <w:sz w:val="18"/>
          <w:szCs w:val="18"/>
          <w:b w:val="1"/>
          <w:bCs w:val="1"/>
          <w:color w:val="auto"/>
        </w:rPr>
        <w:t xml:space="preserve"> </w:t>
      </w:r>
      <w:r>
        <w:rPr>
          <w:rFonts w:ascii="Arial" w:cs="Arial" w:eastAsia="Arial" w:hAnsi="Arial"/>
          <w:sz w:val="18"/>
          <w:szCs w:val="18"/>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4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On December 29, 2004, we entered into an agreement with Mr. Wynn for the lease of a villa suite in the Wynn Las Vegas resort to Mr. and</w:t>
      </w:r>
      <w:r>
        <w:rPr>
          <w:rFonts w:ascii="Arial" w:cs="Arial" w:eastAsia="Arial" w:hAnsi="Arial"/>
          <w:sz w:val="16"/>
          <w:szCs w:val="16"/>
          <w:b w:val="1"/>
          <w:bCs w:val="1"/>
          <w:color w:val="auto"/>
        </w:rPr>
        <w:t xml:space="preserve"> </w:t>
      </w:r>
      <w:r>
        <w:rPr>
          <w:rFonts w:ascii="Arial" w:cs="Arial" w:eastAsia="Arial" w:hAnsi="Arial"/>
          <w:sz w:val="16"/>
          <w:szCs w:val="16"/>
          <w:color w:val="auto"/>
        </w:rPr>
        <w:t>Mrs. Wynn as their personal residence. Lease payments under this agreement commenced on July 1, 2005, the date Mr. and Mrs. Wynn moved into the villa. The term of the agreement continues from year to year unless terminated on at least 90 days’ written notice prior to the end of any lease year, or upon the death of Mr. Wynn. Based on third party appraisals, the Audit Committee determined the rent for each year in the three-year period commencing July 1, 2005 and ending June 30, 2008 to be $580,000. Services for, and maintenance of, the suite are included in the rental, with certain exceptions.</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color w:val="auto"/>
        </w:rPr>
        <w:t xml:space="preserve">Aircraft Arrangements. </w:t>
      </w:r>
      <w:r>
        <w:rPr>
          <w:rFonts w:ascii="Arial" w:cs="Arial" w:eastAsia="Arial" w:hAnsi="Arial"/>
          <w:sz w:val="18"/>
          <w:szCs w:val="18"/>
          <w:color w:val="auto"/>
        </w:rPr>
        <w:t>Messrs. Wynn and Schorr have, and Mr. Kramer, until March 31, 2008 when he left the employ of Wynn Resorts, had time-sharing agreements with Las Vegas Jet, LLC, a 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2007, the following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amounts were included in the executives’ taxable compensation pursuant to these timesharing arrangements: Stephen A. Wynn $145,739; Mr. Kramer $0; and Mr. Schorr $76,739. In the event that direct costs in operating the aircraft exceed the amounts determined by using the SIFL method, such additional costs are paid for by Wynn Resorts. Pursuant to the provisions of the American Jobs Creation Act of 2004, such additional costs incurred after October 22, 2004 are not eligible to be claimed as a deduction for United States federal income tax purposes. $3,740,382 and $1,372,065 were disallowed in 2007 and 2006, respectively.</w:t>
      </w:r>
    </w:p>
    <w:p>
      <w:pPr>
        <w:spacing w:after="0" w:line="9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Wynn Resorts periodically incurs costs on Mr. Wynn’s and Mr. Schorr’s behalf (and incurred costs on Mr. Kramer’s behalf until</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2008 when he left the employ of Wynn Resorts), including costs with respect to personal use of the corporate aircraft, household employees, personal legal fees, construction work and other personal purchases and services. Mr. Wynn and other officers have deposits with Wynn Resorts to prepay any such items. These deposits are replenished on an ongoing basis as needed. At December 31, 2007, Mr. Wynn, Mr. Schorr and Mr. Kramer had a credit balance with Wynn Resorts of $305,559, $42,660 and $8,674, respectively.</w:t>
      </w:r>
    </w:p>
    <w:p>
      <w:pPr>
        <w:spacing w:after="0" w:line="139"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2007, Wynn Macau, an affiliate of Wynn Resorts, purchased 15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Wynn Resorts’ directors, Mr. Okada, currently serves as Chairman and Treasurer, for use at Wynn Macau. The Aruze machines were purchased in an arm’s length transaction at market prices for a total purchase price of approximately $266,000.</w:t>
      </w:r>
    </w:p>
    <w:p>
      <w:pPr>
        <w:spacing w:after="0" w:line="97"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have entered into agreements with TransOrbit, a travel agency affiliated with Aruze Corp.,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Aruze Corp.</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Mr. and Mrs. Wynn, as President of Wynn Las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Vegas; (b) Eddie Tseng, the spouse of Ms. Chen, as Senior Vice President of Customer Development of Worldwide Wynn, LLC; (c) Peter Early, the son-in-law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and Mrs. Wynn, as Vice President—Human Resources of Wynn Las Vegas; and (d) Michael Pascal, the father of Andrew Pascal and brother of Mrs. Wynn,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Senior Executive Host of Wynn Las Vegas, and Mr. Michael Pascal’s wife, Mary Ann Pascal, as a Host at Wynn Las Vegas. The Audit Committee of Wynn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Resorts approved each such employment arrangement in advance and determined that compensation was at (or below) levels paid to non-family members.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total compensation paid to the above named individuals included the following amounts calculated in the same manner as the Summary Compensation values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presented for named executive officers: (a) to Andrew Pascal, base salary and bonus of $2,990,385, equity based compensation expense of $954,284,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$157,828, (b) to Eddie Tseng, base salary and bonus of $475,000, equity based compensation expense of $58,685, and other compensation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$4,975, (c) to Peter Early, base salary and bonus of $265,748, equity based compensation expense of $67,900, and other compensation of $31,278, (d) to Michael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Pascal, base salary and bonus of $157,452, equity based compensation expense of $100,731, and other compensation of $1,920, and (e) to Mary Ann Pascal, base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salary and bonus of $257,582, equity based compensation expense of $65,752, and other compensation of $24,000. Wynn Resorts anticipates that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individuals, other than Mr. Early who will leave Wynn Las Vegas in June 2008, will continue to serve in their respective positions during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 not withdrawn as permitted below. When we refer to the term expiration date, we mean 5:00 p.m., New York City time, April 29, 2008. We may, however, extend the period of time that the exchange offer is open. In such event, the term expiration date means the latest time and date to which the exchange offer is extended.</w:t>
      </w:r>
    </w:p>
    <w:p>
      <w:pPr>
        <w:spacing w:after="0" w:line="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the date of this prospectus, $400,000,000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90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w:t>
      </w:r>
    </w:p>
    <w:p>
      <w:pPr>
        <w:spacing w:after="0" w:line="1" w:lineRule="exact"/>
        <w:rPr>
          <w:sz w:val="20"/>
          <w:szCs w:val="20"/>
          <w:color w:val="auto"/>
        </w:rPr>
      </w:pPr>
    </w:p>
    <w:p>
      <w:pPr>
        <w:jc w:val="both"/>
        <w:ind w:right="580"/>
        <w:spacing w:after="0" w:line="287" w:lineRule="auto"/>
        <w:rPr>
          <w:sz w:val="20"/>
          <w:szCs w:val="20"/>
          <w:color w:val="auto"/>
        </w:rPr>
      </w:pPr>
      <w:r>
        <w:rPr>
          <w:rFonts w:ascii="Arial" w:cs="Arial" w:eastAsia="Arial" w:hAnsi="Arial"/>
          <w:sz w:val="15"/>
          <w:szCs w:val="15"/>
          <w:color w:val="auto"/>
        </w:rPr>
        <w:t>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 and (ii) 180 days following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exchange offer expires, we will make this prospectus available to any broker-dealer for use in connection with any such resale. See “Plan of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4"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new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making or other trading activities. Under the registration rights agreement, we have agreed that for a period of up to the later of (i) 180 days following the 30</w:t>
      </w:r>
      <w:r>
        <w:rPr>
          <w:rFonts w:ascii="Arial" w:cs="Arial" w:eastAsia="Arial" w:hAnsi="Arial"/>
          <w:sz w:val="20"/>
          <w:szCs w:val="20"/>
          <w:color w:val="auto"/>
          <w:vertAlign w:val="superscript"/>
        </w:rPr>
        <w:t>th</w:t>
      </w:r>
    </w:p>
    <w:p>
      <w:pPr>
        <w:spacing w:after="0" w:line="14"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business day after the registration statement containing 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U.S. Bank National Association, as trustee (the “trustee”), as amended by a first supplemental indenture, dated as of June 29, 2005, among the Issuers,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Guarantors and the trustee, and a second supplemental indenture, dated as of July 29, 2005, among the Issuers, the Guarantors and the trustee (collectively,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Indenture</w:t>
      </w:r>
      <w:r>
        <w:rPr>
          <w:rFonts w:ascii="Arial" w:cs="Arial" w:eastAsia="Arial" w:hAnsi="Arial"/>
          <w:sz w:val="15"/>
          <w:szCs w:val="15"/>
          <w:color w:val="auto"/>
        </w:rPr>
        <w:t>”). This is the same indenture under which the old notes, the original 2004 notes and the registered 2004 notes were issued. The terms of the new notes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include those stated in the Indenture and those made part of the Indenture by reference to the Trust Indenture Act of 1939, as amended.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Documents referred to under the caption “—Security” define the terms of the collateral that will secure the notes and the Note Guarantees.</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5"/>
          <w:szCs w:val="15"/>
          <w:color w:val="auto"/>
        </w:rPr>
        <w:t>On December 14, 2004, we issued and sold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 the $400,000,000 aggregate principal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old notes are, and, upon consummation of the exchange offer, the new notes will be, secured by the Collateral described below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incorporated to serve as a corporate co-issuer of the Second Mortgage Notes, and will serve as a corporate co-issuer of the new notes in order to facilitate the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$400,000,000;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90" w:lineRule="exact"/>
        <w:rPr>
          <w:rFonts w:ascii="Arial" w:cs="Arial" w:eastAsia="Arial" w:hAnsi="Arial"/>
          <w:sz w:val="18"/>
          <w:szCs w:val="18"/>
          <w:color w:val="auto"/>
        </w:rPr>
      </w:pPr>
    </w:p>
    <w:p>
      <w:pPr>
        <w:ind w:left="900" w:right="320" w:hanging="446"/>
        <w:spacing w:after="0" w:line="22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June 1 and December 1;</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will be secured, in the case of the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(2) all amounts on deposit from time to time in the Completion Guarantor’s completion guarantee account and (3) the pledged Equity Interests held by Wynn Resorts Holdings in Wynn Las Vegas;</w:t>
      </w:r>
    </w:p>
    <w:p>
      <w:pPr>
        <w:spacing w:after="0" w:line="39" w:lineRule="exact"/>
        <w:rPr>
          <w:rFonts w:ascii="Arial" w:cs="Arial" w:eastAsia="Arial" w:hAnsi="Arial"/>
          <w:sz w:val="16"/>
          <w:szCs w:val="16"/>
          <w:color w:val="auto"/>
        </w:rPr>
      </w:pPr>
    </w:p>
    <w:p>
      <w:pPr>
        <w:ind w:left="900" w:right="140" w:hanging="446"/>
        <w:spacing w:after="0" w:line="255"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Wynn Las Vegas’ water entertainment features and certain specified Phase I Key Project Documents, but excluding the Aircraft Assets and gaming and liquor licenses and other assets in which the grant of a security interest is prohibited by their terms or by law;</w:t>
      </w:r>
    </w:p>
    <w:p>
      <w:pPr>
        <w:spacing w:after="0" w:line="61"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will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Wynn Las Vegas’ borrowings under the Credit Agreement, which borrowings will be secured by a perfected first priority lien on the same assets as are subject to the lien securing the notes and the Guarantees (subject to certain exceptions);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noteholders,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and (iii)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Issuers will issue up to $400,000,000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old notes, the original 2004 notes, the registered 2004 notes and the new notes and any additional notes subsequently issued under the Indenture will (subject to the qualifications expressed in the third paragraph of this “Description of the New Notes”) be treated as a single class for all purposes under the Indenture, including, without limitation, waivers, amendments, redemptions and offers to purchase. The Issuers will issue new notes in denominations of $1,000 and integral multiples of $1,000. The new notes will mature on December 1, 2014.</w:t>
      </w:r>
    </w:p>
    <w:p>
      <w:pPr>
        <w:spacing w:after="0" w:line="145"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Interest on the new notes will accrue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June 1 and December 1, with the first interest payment date being June 1, 2008. Interest on overdue principal and interest and Liquidated Damages, if any, will accrue at a rate that is 1% higher than the then applicable interest rate on the new notes. The Issuers will make each interest payment to the holders of record on the immediately preceding May 15 and November 15.</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or, if interest has already been paid, from the date it was most recently paid. Interest will be computed on the basis of a 360-day year comprised of twelve 30-day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addresses set forth in the register of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Notes.” Federal and state statutes allow courts, under specific circumstances, to void the guarantees, and require noteholders to return payments received from us or the Guarantors.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20" w:firstLine="421"/>
        <w:spacing w:after="0" w:line="306" w:lineRule="auto"/>
        <w:tabs>
          <w:tab w:leader="none" w:pos="1579"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54"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noteholders in the Golf Course Land and certain portions of the Golf Course Land owned by Wynn Golf may be released under the circumstances described below under the captions “—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51" w:lineRule="exact"/>
        <w:rPr>
          <w:sz w:val="20"/>
          <w:szCs w:val="20"/>
          <w:color w:val="auto"/>
        </w:rPr>
      </w:pPr>
    </w:p>
    <w:p>
      <w:pPr>
        <w:ind w:left="460" w:firstLine="443"/>
        <w:spacing w:after="0" w:line="254"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Phase I Project, the Phase II 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perfected first priority security interest in the funds on deposit in the Completion Guarantee Account from time to time to support the current</w:t>
      </w:r>
    </w:p>
    <w:p>
      <w:pPr>
        <w:spacing w:after="0" w:line="38"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$31.1 million on deposit as a guarantee by the Completion Guarantor of the completion in full of the construction and opening of the Projects, subject to disbursement pursuant to the Disbursement Agreement;</w:t>
      </w:r>
    </w:p>
    <w:p>
      <w:pPr>
        <w:spacing w:after="0" w:line="57"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Wynn Golf and Kevyn, LLC.</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new notes will not be secured by any such gaming or liquor licenses.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Completion Guarantee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provides a $30.0 million Completion Guarantee in favor of the trustee (for the benefit of the holders of the notes) and the administrative agent (for the benefit of the lenders under the Credit Agreement). The Completion Guarantor will, subject to a $30.0 million cap, guarantee final completion of the Phase II Project. The Completion Guarantor has deposited $31.1 million into a collateral account (the “</w:t>
      </w:r>
      <w:r>
        <w:rPr>
          <w:rFonts w:ascii="Arial" w:cs="Arial" w:eastAsia="Arial" w:hAnsi="Arial"/>
          <w:sz w:val="16"/>
          <w:szCs w:val="16"/>
          <w:i w:val="1"/>
          <w:iCs w:val="1"/>
          <w:color w:val="auto"/>
        </w:rPr>
        <w:t>Completion Guarantee Account</w:t>
      </w:r>
      <w:r>
        <w:rPr>
          <w:rFonts w:ascii="Arial" w:cs="Arial" w:eastAsia="Arial" w:hAnsi="Arial"/>
          <w:sz w:val="16"/>
          <w:szCs w:val="16"/>
          <w:color w:val="auto"/>
        </w:rPr>
        <w:t>”) to support its obligations under the Completion Guarantee. Funds in the Completion Guarantee Account must be held in cash, certain cash equivalents and/or Permitted Securities until such funds are applied to pay costs of the Phase II Project (or otherwise released in accordance with the Disbursement Agreement). The collateral agent has a first priority security interest in the funds in the Completion Guarantee Account for the benefit of the lenders under the Credit Agreement and the holders of the notes. At least $30.0 million is required to be on deposit in the Completion Guarantee Account for utilization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respect to the Phase II Project. Amounts in the Completion Guarantee Account may be applied to the costs of the Phase II Project in accordance with the Disbursement Agreement. Upon the Completion Guarantee Release Date, any amounts then remaining in the Completion Guarantee Account will be released to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ind w:left="460" w:right="4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Note Guarantee of World Travel, LLC is not secured by the Aircraft Assets.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right="20" w:firstLine="443"/>
        <w:spacing w:after="0" w:line="255"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first priority security interest in the Golf Course Land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380" w:firstLine="443"/>
        <w:spacing w:after="0" w:line="357" w:lineRule="auto"/>
        <w:tabs>
          <w:tab w:leader="none" w:pos="11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w:t>
      </w:r>
      <w:r>
        <w:rPr>
          <w:rFonts w:ascii="Arial" w:cs="Arial" w:eastAsia="Arial" w:hAnsi="Arial"/>
          <w:sz w:val="18"/>
          <w:szCs w:val="18"/>
          <w:i w:val="1"/>
          <w:iCs w:val="1"/>
          <w:color w:val="auto"/>
        </w:rPr>
        <w:t>Phase III Project</w:t>
      </w:r>
      <w:r>
        <w:rPr>
          <w:rFonts w:ascii="Arial" w:cs="Arial" w:eastAsia="Arial" w:hAnsi="Arial"/>
          <w:sz w:val="18"/>
          <w:szCs w:val="18"/>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noteholders if the release of the first priority lien securing the Credit Agreement is the result of a refinancing of the Credit Agreement and as a result of which the first priority liens in favor of the administrative agent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benefit of the lenders under the Credit Agreement) are terminated and/or replaced with liens in favor of the lenders or holders of such refinancing Indebtedness (or any agent on their behalf). In the event that, following the automatic release of the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noteholders to secure the notes (or, if such Person is a Guarantor, its Note Guarantee of the notes). That security interest in favor of the trustee for the benefit of the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73"/>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jc w:val="both"/>
        <w:ind w:left="460" w:firstLine="443"/>
        <w:spacing w:after="0" w:line="302" w:lineRule="auto"/>
        <w:tabs>
          <w:tab w:leader="none" w:pos="1147" w:val="left"/>
        </w:tabs>
        <w:numPr>
          <w:ilvl w:val="1"/>
          <w:numId w:val="73"/>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86"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redeemable at the Issuers’ option prior to December 1, 2009</w:t>
      </w:r>
      <w:r>
        <w:rPr>
          <w:rFonts w:ascii="Arial" w:cs="Arial" w:eastAsia="Arial" w:hAnsi="Arial"/>
          <w:sz w:val="18"/>
          <w:szCs w:val="18"/>
          <w:i w:val="1"/>
          <w:iCs w:val="1"/>
          <w:color w:val="auto"/>
        </w:rPr>
        <w: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8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the price that the holder or beneficial owner paid for the notes</w:t>
      </w:r>
    </w:p>
    <w:p>
      <w:pPr>
        <w:spacing w:after="0" w:line="90" w:lineRule="exact"/>
        <w:rPr>
          <w:sz w:val="20"/>
          <w:szCs w:val="20"/>
          <w:color w:val="auto"/>
        </w:rPr>
      </w:pPr>
    </w:p>
    <w:p>
      <w:pPr>
        <w:jc w:val="both"/>
        <w:ind w:left="1500" w:right="620"/>
        <w:spacing w:after="0" w:line="259" w:lineRule="auto"/>
        <w:rPr>
          <w:sz w:val="20"/>
          <w:szCs w:val="20"/>
          <w:color w:val="auto"/>
        </w:rPr>
      </w:pPr>
      <w:r>
        <w:rPr>
          <w:rFonts w:ascii="Arial" w:cs="Arial" w:eastAsia="Arial" w:hAnsi="Arial"/>
          <w:sz w:val="18"/>
          <w:szCs w:val="18"/>
          <w:color w:val="auto"/>
        </w:rPr>
        <w:t>in either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Payment Date</w:t>
      </w:r>
      <w:r>
        <w:rPr>
          <w:rFonts w:ascii="Arial" w:cs="Arial" w:eastAsia="Arial" w:hAnsi="Arial"/>
          <w:sz w:val="16"/>
          <w:szCs w:val="16"/>
          <w:color w:val="auto"/>
        </w:rPr>
        <w:t>”) specified in the notice, which date will be no earlier than 30 days and no later than 60 days from the date such notice is mailed,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40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00" w:firstLine="421"/>
        <w:spacing w:after="0" w:line="370" w:lineRule="auto"/>
        <w:tabs>
          <w:tab w:leader="none" w:pos="1588" w:val="left"/>
        </w:tabs>
        <w:numPr>
          <w:ilvl w:val="1"/>
          <w:numId w:val="82"/>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on behalf of the holders of notes, as security for the notes.</w:t>
      </w:r>
    </w:p>
    <w:p>
      <w:pPr>
        <w:spacing w:after="0" w:line="147"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Any Net Proceeds from Asset Sales that are not applied or invested as provided in the preceding paragraph will constitute “</w:t>
      </w:r>
      <w:r>
        <w:rPr>
          <w:rFonts w:ascii="Arial" w:cs="Arial" w:eastAsia="Arial" w:hAnsi="Arial"/>
          <w:sz w:val="15"/>
          <w:szCs w:val="15"/>
          <w:i w:val="1"/>
          <w:iCs w:val="1"/>
          <w:color w:val="auto"/>
        </w:rPr>
        <w:t>Excess Net Proceeds</w:t>
      </w:r>
      <w:r>
        <w:rPr>
          <w:rFonts w:ascii="Arial" w:cs="Arial" w:eastAsia="Arial" w:hAnsi="Arial"/>
          <w:sz w:val="15"/>
          <w:szCs w:val="15"/>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w:t>
      </w:r>
      <w:r>
        <w:rPr>
          <w:rFonts w:ascii="Arial" w:cs="Arial" w:eastAsia="Arial" w:hAnsi="Arial"/>
          <w:sz w:val="15"/>
          <w:szCs w:val="15"/>
          <w:i w:val="1"/>
          <w:iCs w:val="1"/>
          <w:color w:val="auto"/>
        </w:rPr>
        <w:t>Excess Proceeds</w:t>
      </w:r>
      <w:r>
        <w:rPr>
          <w:rFonts w:ascii="Arial" w:cs="Arial" w:eastAsia="Arial" w:hAnsi="Arial"/>
          <w:sz w:val="15"/>
          <w:szCs w:val="15"/>
          <w:color w:val="auto"/>
        </w:rPr>
        <w:t>”),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color w:val="auto"/>
        </w:rPr>
        <w:t>Asset Sale Offer</w:t>
      </w:r>
      <w:r>
        <w:rPr>
          <w:rFonts w:ascii="Arial" w:cs="Arial" w:eastAsia="Arial" w:hAnsi="Arial"/>
          <w:sz w:val="15"/>
          <w:szCs w:val="15"/>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5"/>
          <w:szCs w:val="15"/>
          <w:i w:val="1"/>
          <w:iCs w:val="1"/>
          <w:color w:val="auto"/>
        </w:rPr>
        <w:t>Asset Sale Repayment Amount</w:t>
      </w:r>
      <w:r>
        <w:rPr>
          <w:rFonts w:ascii="Arial" w:cs="Arial" w:eastAsia="Arial" w:hAnsi="Arial"/>
          <w:sz w:val="15"/>
          <w:szCs w:val="15"/>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any Event of Loss with respect to Collateral (other than Events of Loss with respect to Collateral comprising the Phase II Project at any time during the construction of the Phase II Project,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62" w:lineRule="exact"/>
        <w:rPr>
          <w:sz w:val="20"/>
          <w:szCs w:val="20"/>
          <w:color w:val="auto"/>
        </w:rPr>
      </w:pPr>
    </w:p>
    <w:p>
      <w:pPr>
        <w:ind w:left="460" w:right="420" w:firstLine="443"/>
        <w:spacing w:after="0" w:line="332"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4"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ability of Wynn Las Vegas or any of its Restricted Subsidiaries to repair or restore any of the Collateral following an Event of Loss that occurs on or prior to the Phase II Completion Date will be governed by the Disbursement Agreement.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 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less than all of the notes are to be redeemed at any time, the trustee will select notes for redemption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87"/>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firstLine="443"/>
        <w:spacing w:after="0" w:line="298" w:lineRule="auto"/>
        <w:tabs>
          <w:tab w:leader="none" w:pos="1147" w:val="left"/>
        </w:tabs>
        <w:numPr>
          <w:ilvl w:val="1"/>
          <w:numId w:val="87"/>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6"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140" w:firstLine="421"/>
        <w:spacing w:after="0" w:line="256" w:lineRule="auto"/>
        <w:tabs>
          <w:tab w:leader="none" w:pos="1579"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920" w:right="140" w:firstLine="421"/>
        <w:spacing w:after="0" w:line="291" w:lineRule="auto"/>
        <w:tabs>
          <w:tab w:leader="none" w:pos="1579"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39" w:lineRule="exact"/>
        <w:rPr>
          <w:rFonts w:ascii="Arial" w:cs="Arial" w:eastAsia="Arial" w:hAnsi="Arial"/>
          <w:sz w:val="16"/>
          <w:szCs w:val="16"/>
          <w:color w:val="auto"/>
        </w:rPr>
      </w:pPr>
    </w:p>
    <w:p>
      <w:pPr>
        <w:ind w:left="920" w:right="320" w:firstLine="421"/>
        <w:spacing w:after="0" w:line="306" w:lineRule="auto"/>
        <w:tabs>
          <w:tab w:leader="none" w:pos="15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the Indenture (other than the Completion Guarantor) is redesignated as a Restricted Subsidiary after the date of the Indenture, the lesser of (i) the Fair Market Value of Wynn Las Vegas’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from the substantially concurrent contribution of common equity capital to Wynn Las Vegas,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firstLine="443"/>
        <w:spacing w:after="0" w:line="253" w:lineRule="auto"/>
        <w:tabs>
          <w:tab w:leader="none" w:pos="11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rFonts w:ascii="Arial" w:cs="Arial" w:eastAsia="Arial" w:hAnsi="Arial"/>
          <w:sz w:val="18"/>
          <w:szCs w:val="18"/>
          <w:color w:val="auto"/>
        </w:rPr>
      </w:pPr>
    </w:p>
    <w:p>
      <w:pPr>
        <w:ind w:left="460" w:right="220" w:firstLine="443"/>
        <w:spacing w:after="0" w:line="332" w:lineRule="auto"/>
        <w:tabs>
          <w:tab w:leader="none" w:pos="11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100" w:firstLine="8"/>
        <w:spacing w:after="0" w:line="315" w:lineRule="auto"/>
        <w:tabs>
          <w:tab w:leader="none" w:pos="249" w:val="left"/>
        </w:tabs>
        <w:numPr>
          <w:ilvl w:val="0"/>
          <w:numId w:val="92"/>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13" w:lineRule="exact"/>
        <w:rPr>
          <w:sz w:val="20"/>
          <w:szCs w:val="20"/>
          <w:color w:val="auto"/>
        </w:rPr>
      </w:pPr>
    </w:p>
    <w:p>
      <w:pPr>
        <w:ind w:left="460" w:right="60" w:firstLine="443"/>
        <w:spacing w:after="0" w:line="303" w:lineRule="auto"/>
        <w:tabs>
          <w:tab w:leader="none" w:pos="1147" w:val="left"/>
        </w:tabs>
        <w:numPr>
          <w:ilvl w:val="1"/>
          <w:numId w:val="93"/>
        </w:numPr>
        <w:rPr>
          <w:rFonts w:ascii="Arial" w:cs="Arial" w:eastAsia="Arial" w:hAnsi="Arial"/>
          <w:sz w:val="15"/>
          <w:szCs w:val="15"/>
          <w:color w:val="auto"/>
        </w:rPr>
      </w:pPr>
      <w:r>
        <w:rPr>
          <w:rFonts w:ascii="Arial" w:cs="Arial" w:eastAsia="Arial" w:hAnsi="Arial"/>
          <w:sz w:val="15"/>
          <w:szCs w:val="15"/>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5"/>
          <w:szCs w:val="15"/>
          <w:i w:val="1"/>
          <w:iCs w:val="1"/>
          <w:color w:val="auto"/>
        </w:rPr>
        <w:t>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50" w:lineRule="exact"/>
        <w:rPr>
          <w:rFonts w:ascii="Arial" w:cs="Arial" w:eastAsia="Arial" w:hAnsi="Arial"/>
          <w:sz w:val="18"/>
          <w:szCs w:val="18"/>
          <w:color w:val="auto"/>
        </w:rPr>
      </w:pPr>
    </w:p>
    <w:p>
      <w:pPr>
        <w:ind w:left="920" w:firstLine="421"/>
        <w:spacing w:after="0" w:line="255" w:lineRule="auto"/>
        <w:tabs>
          <w:tab w:leader="none" w:pos="1579" w:val="left"/>
        </w:tabs>
        <w:numPr>
          <w:ilvl w:val="2"/>
          <w:numId w:val="94"/>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20" w:right="20" w:firstLine="421"/>
        <w:spacing w:after="0" w:line="298" w:lineRule="auto"/>
        <w:tabs>
          <w:tab w:leader="none" w:pos="1588" w:val="left"/>
        </w:tabs>
        <w:numPr>
          <w:ilvl w:val="2"/>
          <w:numId w:val="94"/>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79" w:val="left"/>
        </w:tabs>
        <w:numPr>
          <w:ilvl w:val="2"/>
          <w:numId w:val="95"/>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2"/>
          <w:numId w:val="95"/>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88" w:val="left"/>
        </w:tabs>
        <w:numPr>
          <w:ilvl w:val="2"/>
          <w:numId w:val="95"/>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20" w:firstLine="443"/>
        <w:spacing w:after="0" w:line="268" w:lineRule="auto"/>
        <w:tabs>
          <w:tab w:leader="none" w:pos="122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original 2004 notes issued on the date of the Indenture in an aggregate principal amount of $1.3 billion and the registered 2004 notes related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332" w:lineRule="auto"/>
        <w:tabs>
          <w:tab w:leader="none" w:pos="12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firstLine="443"/>
        <w:spacing w:after="0" w:line="267" w:lineRule="auto"/>
        <w:tabs>
          <w:tab w:leader="none" w:pos="12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8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notes, the Indenture, the Note Guarantees or the Collateral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99"/>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31"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101"/>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760" w:firstLine="443"/>
        <w:spacing w:after="0" w:line="268" w:lineRule="auto"/>
        <w:tabs>
          <w:tab w:leader="none" w:pos="114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firstLine="443"/>
        <w:spacing w:after="0" w:line="357" w:lineRule="auto"/>
        <w:tabs>
          <w:tab w:leader="none" w:pos="114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ind w:left="460" w:right="40" w:firstLine="443"/>
        <w:spacing w:after="0" w:line="256"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 and</w:t>
      </w:r>
    </w:p>
    <w:p>
      <w:pPr>
        <w:spacing w:after="0" w:line="50"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Note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will, and will cause its Restricted Subsidiaries to, construct the Phase II Project, including the furnishing, fixturing and equipping of the Phase II Project, with diligence and continuity in a good and workmanlike manner substantially in accordance with the Phase II Plans and Specifications.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incur any Indebtedness, the proceeds of which are expected to be used, or are used, for the construction, development or improvement of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40" w:firstLine="443"/>
        <w:spacing w:after="0" w:line="357" w:lineRule="auto"/>
        <w:tabs>
          <w:tab w:leader="none" w:pos="114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40" w:firstLine="421"/>
        <w:spacing w:after="0" w:line="268" w:lineRule="auto"/>
        <w:tabs>
          <w:tab w:leader="none" w:pos="158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6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12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00" w:firstLine="421"/>
        <w:spacing w:after="0" w:line="332" w:lineRule="auto"/>
        <w:tabs>
          <w:tab w:leader="none" w:pos="157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20" w:firstLine="443"/>
        <w:spacing w:after="0" w:line="306"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2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90" w:lineRule="exact"/>
        <w:rPr>
          <w:sz w:val="20"/>
          <w:szCs w:val="20"/>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60" w:firstLine="421"/>
        <w:spacing w:after="0" w:line="332" w:lineRule="auto"/>
        <w:tabs>
          <w:tab w:leader="none" w:pos="158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23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22"/>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noteholders with respect to the Collateral. See “Intercreditor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Notes—Bankruptcy laws may significantly impair your rights to repossess and dispose of collateral securing the notes, and otherwise collect on any amounts due thereunder,” “—In the event that a bankruptcy court orders the substantive consolidation of us with certain affiliated parties, payments on the notes could be delayed or reduced” and “—Contract rights under agreements serving as collateral for the notes may be rejected in bankruptcy.”</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260" w:firstLine="443"/>
        <w:spacing w:after="0" w:line="268"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32"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60" w:firstLine="4"/>
        <w:spacing w:after="0" w:line="292" w:lineRule="auto"/>
        <w:tabs>
          <w:tab w:leader="none" w:pos="69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jc w:val="both"/>
        <w:ind w:left="460" w:right="20" w:firstLine="443"/>
        <w:spacing w:after="0" w:line="256" w:lineRule="auto"/>
        <w:tabs>
          <w:tab w:leader="none" w:pos="114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right="80"/>
        <w:spacing w:after="0" w:line="211"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103" w:lineRule="exact"/>
        <w:rPr>
          <w:sz w:val="20"/>
          <w:szCs w:val="20"/>
          <w:color w:val="auto"/>
        </w:rPr>
      </w:pPr>
    </w:p>
    <w:p>
      <w:pPr>
        <w:jc w:val="both"/>
        <w:ind w:left="460" w:right="12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Credit Agreement concurrently release their security interest in such assets, so long as no Default or Event of Default exists or is continuing immediately prior to or after giving effect to such release; and</w:t>
      </w:r>
    </w:p>
    <w:p>
      <w:pPr>
        <w:spacing w:after="0" w:line="51" w:lineRule="exact"/>
        <w:rPr>
          <w:sz w:val="20"/>
          <w:szCs w:val="20"/>
          <w:color w:val="auto"/>
        </w:rPr>
      </w:pPr>
    </w:p>
    <w:p>
      <w:pPr>
        <w:ind w:left="460" w:right="2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68" w:lineRule="auto"/>
        <w:tabs>
          <w:tab w:leader="none" w:pos="114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100" w:firstLine="421"/>
        <w:spacing w:after="0" w:line="332" w:lineRule="auto"/>
        <w:tabs>
          <w:tab w:leader="none" w:pos="157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59" w:lineRule="auto"/>
        <w:tabs>
          <w:tab w:leader="none" w:pos="158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2" w:lineRule="exact"/>
        <w:rPr>
          <w:sz w:val="20"/>
          <w:szCs w:val="20"/>
          <w:color w:val="auto"/>
        </w:rPr>
      </w:pPr>
    </w:p>
    <w:p>
      <w:pPr>
        <w:ind w:left="460" w:right="140" w:firstLine="443"/>
        <w:spacing w:after="0" w:line="306" w:lineRule="auto"/>
        <w:tabs>
          <w:tab w:leader="none" w:pos="1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new notes will be issued in the form of one or more notes in global form (the “</w:t>
      </w:r>
      <w:r>
        <w:rPr>
          <w:rFonts w:ascii="Arial" w:cs="Arial" w:eastAsia="Arial" w:hAnsi="Arial"/>
          <w:sz w:val="18"/>
          <w:szCs w:val="18"/>
          <w:i w:val="1"/>
          <w:iCs w:val="1"/>
          <w:color w:val="auto"/>
        </w:rPr>
        <w:t>Global Notes</w:t>
      </w:r>
      <w:r>
        <w:rPr>
          <w:rFonts w:ascii="Arial" w:cs="Arial" w:eastAsia="Arial" w:hAnsi="Arial"/>
          <w:sz w:val="18"/>
          <w:szCs w:val="18"/>
          <w:color w:val="auto"/>
        </w:rPr>
        <w:t>”). The new notes will be issued in minimum denominations of $1,000 and integral multiples of $1,000 in excess of $1,000. The Global Notes will be deposited upon issuance with the trustee as custodian for DTC, in New York, New York, and registered in the name of DTC or its nominee (such nominee being referred to as the “</w:t>
      </w:r>
      <w:r>
        <w:rPr>
          <w:rFonts w:ascii="Arial" w:cs="Arial" w:eastAsia="Arial" w:hAnsi="Arial"/>
          <w:sz w:val="18"/>
          <w:szCs w:val="18"/>
          <w:i w:val="1"/>
          <w:iCs w:val="1"/>
          <w:color w:val="auto"/>
        </w:rPr>
        <w:t>Global Note Holder</w:t>
      </w:r>
      <w:r>
        <w:rPr>
          <w:rFonts w:ascii="Arial" w:cs="Arial" w:eastAsia="Arial" w:hAnsi="Arial"/>
          <w:sz w:val="18"/>
          <w:szCs w:val="18"/>
          <w:color w:val="auto"/>
        </w:rPr>
        <w:t>”), in each case for credit to an account of a direct or indirect participant in DTC as described below.</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37"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ind w:left="460" w:right="380" w:firstLine="443"/>
        <w:spacing w:after="0" w:line="259"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w:t>
      </w:r>
    </w:p>
    <w:p>
      <w:pPr>
        <w:ind w:right="140"/>
        <w:spacing w:after="0" w:line="238" w:lineRule="auto"/>
        <w:rPr>
          <w:sz w:val="20"/>
          <w:szCs w:val="20"/>
          <w:color w:val="auto"/>
        </w:rPr>
      </w:pPr>
      <w:r>
        <w:rPr>
          <w:rFonts w:ascii="Arial" w:cs="Arial" w:eastAsia="Arial" w:hAnsi="Arial"/>
          <w:sz w:val="17"/>
          <w:szCs w:val="17"/>
          <w:color w:val="auto"/>
        </w:rPr>
        <w:t>notes represented by the Global Notes are expected to be eligible to trade in The PORTAL</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20" w:firstLine="443"/>
        <w:spacing w:after="0" w:line="259"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w:t>
      </w:r>
      <w:r>
        <w:rPr>
          <w:rFonts w:ascii="Arial" w:cs="Arial" w:eastAsia="Arial" w:hAnsi="Arial"/>
          <w:sz w:val="18"/>
          <w:szCs w:val="18"/>
          <w:i w:val="1"/>
          <w:iCs w:val="1"/>
          <w:color w:val="auto"/>
        </w:rPr>
        <w:t>Permitted Dispositions</w:t>
      </w:r>
      <w:r>
        <w:rPr>
          <w:rFonts w:ascii="Arial" w:cs="Arial" w:eastAsia="Arial" w:hAnsi="Arial"/>
          <w:sz w:val="18"/>
          <w:szCs w:val="18"/>
          <w:color w:val="auto"/>
        </w:rPr>
        <w:t>”):</w:t>
      </w:r>
    </w:p>
    <w:p>
      <w:pPr>
        <w:spacing w:after="0" w:line="51" w:lineRule="exact"/>
        <w:rPr>
          <w:sz w:val="20"/>
          <w:szCs w:val="20"/>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2"/>
          <w:numId w:val="143"/>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40" w:firstLine="443"/>
        <w:spacing w:after="0" w:line="332" w:lineRule="auto"/>
        <w:tabs>
          <w:tab w:leader="none" w:pos="123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80" w:firstLine="443"/>
        <w:spacing w:after="0" w:line="305" w:lineRule="auto"/>
        <w:tabs>
          <w:tab w:leader="none" w:pos="122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w:t>
      </w:r>
    </w:p>
    <w:p>
      <w:pPr>
        <w:ind w:left="460" w:right="60" w:firstLine="4"/>
        <w:spacing w:after="0" w:line="261" w:lineRule="auto"/>
        <w:tabs>
          <w:tab w:leader="none" w:pos="71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23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firstLine="443"/>
        <w:spacing w:after="0" w:line="256" w:lineRule="auto"/>
        <w:tabs>
          <w:tab w:leader="none" w:pos="1235" w:val="left"/>
        </w:tabs>
        <w:numPr>
          <w:ilvl w:val="1"/>
          <w:numId w:val="145"/>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06" w:lineRule="auto"/>
        <w:tabs>
          <w:tab w:leader="none" w:pos="114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80" w:firstLine="421"/>
        <w:spacing w:after="0" w:line="253" w:lineRule="auto"/>
        <w:tabs>
          <w:tab w:leader="none" w:pos="15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Kazuo Okada, Aruze USA and Aruze Corp.,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4"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150"/>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50"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Completion Guaranty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20" w:firstLine="443"/>
        <w:spacing w:after="0" w:line="259" w:lineRule="auto"/>
        <w:tabs>
          <w:tab w:leader="none" w:pos="12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the Indenture, by the Completion Guarantor in favor of the trustee and the agent under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Guaranty Collateral Account Agreement</w:t>
      </w:r>
      <w:r>
        <w:rPr>
          <w:rFonts w:ascii="Arial" w:cs="Arial" w:eastAsia="Arial" w:hAnsi="Arial"/>
          <w:sz w:val="18"/>
          <w:szCs w:val="18"/>
          <w:color w:val="auto"/>
        </w:rPr>
        <w:t>” means the Completion Guaranty Collateral Account Agreement, dated as of the date of the Indenture, among the Completion Guarantor, the securities intermediary named therein and the collateral agent, as amended, modified or otherwise supplemented from time to time in accordance with its terms and with the Indenture and the Collateral Documents.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51" w:lineRule="exact"/>
        <w:rPr>
          <w:sz w:val="20"/>
          <w:szCs w:val="20"/>
          <w:color w:val="auto"/>
        </w:rPr>
      </w:pPr>
    </w:p>
    <w:p>
      <w:pPr>
        <w:ind w:left="460" w:right="24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63"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31"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54"/>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 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the date of the Indenture, among Wynn Show Performers, the securities intermediary named therein and the collateral agent, (2) the Control Agreement, dated as of the date of the Indenture, among Wynn Las Vegas, the securities intermediary named therein and the collateral agent, and (3) the Control Agreement, dated as of the date of the Indenture, among Wynn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dated as of January 13, 2005, between Wynn Las Vegas, as lessor, and PW Automotive, LLC, as lessee, with respect to the lease of space at the Phase I Project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and the Guarantors,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as of the date of Indenture, was expect to feature the musical, “Avenue Q.”</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any loss, destruction or damage of such property or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259"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the date of the Indenture,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63"/>
        </w:numPr>
        <w:rPr>
          <w:rFonts w:ascii="Arial" w:cs="Arial" w:eastAsia="Arial" w:hAnsi="Arial"/>
          <w:sz w:val="15"/>
          <w:szCs w:val="15"/>
          <w:color w:val="auto"/>
        </w:rPr>
      </w:pPr>
      <w:r>
        <w:rPr>
          <w:rFonts w:ascii="Arial" w:cs="Arial" w:eastAsia="Arial" w:hAnsi="Arial"/>
          <w:sz w:val="15"/>
          <w:szCs w:val="15"/>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the date of the Indenture, among the trustee,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as of the date of this offering of notes,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administrative agent under the Credit Agreement and the trustee.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 assets that are necessary to the development, construction or operation of the Phase I Project in accordance with the Phase I Plans and Specifications; provided, however, that in no event shall (1) Released Assets or (2) assets with a Fair Market Value less than $100.0 million be considered Material Project Assets.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extraordinary gain (or loss), together with any related provision for the Tax Amount on such extraordinary gain (or loss).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8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70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240" w:firstLine="4"/>
        <w:spacing w:after="0" w:line="255" w:lineRule="auto"/>
        <w:tabs>
          <w:tab w:leader="none" w:pos="69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380" w:firstLine="443"/>
        <w:spacing w:after="0" w:line="306" w:lineRule="auto"/>
        <w:tabs>
          <w:tab w:leader="none" w:pos="114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“Permitted Investments”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20" w:firstLine="443"/>
        <w:spacing w:after="0" w:line="259"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228"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23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23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306" w:lineRule="auto"/>
        <w:tabs>
          <w:tab w:leader="none" w:pos="114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68" w:lineRule="auto"/>
        <w:tabs>
          <w:tab w:leader="none" w:pos="1588"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Liens on the Collateral created by the Indenture and the Collateral Documents securing the Indebtedness and other Obligations under the Indenture and the Collateral Documents, including the new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 —Incurrence of Indebtedness and Issuance of Disqualified Stock”;</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firstLine="443"/>
        <w:spacing w:after="0" w:line="268"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113"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94" w:lineRule="auto"/>
        <w:tabs>
          <w:tab w:leader="none" w:pos="123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23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63" w:lineRule="exact"/>
        <w:rPr>
          <w:rFonts w:ascii="Arial" w:cs="Arial" w:eastAsia="Arial" w:hAnsi="Arial"/>
          <w:sz w:val="16"/>
          <w:szCs w:val="16"/>
          <w:color w:val="auto"/>
        </w:rPr>
      </w:pPr>
    </w:p>
    <w:p>
      <w:pPr>
        <w:jc w:val="both"/>
        <w:ind w:left="460" w:right="300" w:firstLine="443"/>
        <w:spacing w:after="0" w:line="259" w:lineRule="auto"/>
        <w:tabs>
          <w:tab w:leader="none" w:pos="12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Key Project Documents</w:t>
      </w:r>
      <w:r>
        <w:rPr>
          <w:rFonts w:ascii="Arial" w:cs="Arial" w:eastAsia="Arial" w:hAnsi="Arial"/>
          <w:sz w:val="16"/>
          <w:szCs w:val="16"/>
          <w:color w:val="auto"/>
        </w:rPr>
        <w:t>” means each Payment and Performance Bond, in each case, as amended, modified or otherwise supplemented from time to time in accordance with the Disbursement Agreement (or, if the covenant described above under the caption “—Certain Covenants—Amendments to Certain Agreements” is applicable thereto, as amended, modified or otherwise supplemented in any manner that is not in contravention of that covenant).</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April 28,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on the Project Site.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means “Plans and Specifications” as defined in the Disbursement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will be part of Wynn Las Vegas and tentatively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Phase I Project, the Phase II Project and the Macau Project shall count as separate projects.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and the funds securing the Completion Guarantee (currently, $31.1 million).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0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Pledge and Security Agreement, dated as of the date of the Indenture,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4" w:lineRule="auto"/>
        <w:tabs>
          <w:tab w:leader="none" w:pos="24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193"/>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Amended and Restated Project Administrative Services Agreement, dated as of the date of the Indenture,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the date of the Indenture,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40"/>
          </w:cols>
          <w:pgMar w:left="240" w:top="460" w:right="7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August 15, 2006, we entered into the Amended and Restated Credit Agreement and related ancillary agreements with Deutsche Bank Trust Company Americas (referred to herein as Deutsche Bank), as administrative agent, issuing lender and swing line lender, Deutsche Bank Securities Inc., as lead arranger and joint book-running manager, Banc of America Securities LLC, as lead arranger and joint book-running manager, Bank of America, N.A., as syndication agent, Bear, Stearns &amp; Co. Inc., as arranger and joint book-running manager, Bear Stearns Corporate Lending Inc., as joint documentation agent, SG Americas Securities, LLC, as arranger and joint book-running manager, Société Générale, as joint documentation agent, J.P. Morgan Securities Inc., as arranger and joint book-running manager, JPMorgan Chase Bank, N.A.,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which credit agreement provided for secured revolving credit and term loan facilities in the aggregate amount of $1.125 billion. The following summary is qualified in its entirety by reference to the credit agreement. On April 9, 2007, we entered into an amendment to the credit agreement which, among other things, effected certain procedural changes to the credit agreement and removed from the credit agreement a limitation on expenditures with respect to project costs for Encore. Additionally, on October 31, 2007, we entered into an amendment to the credit agreement which, among other things, amended certain provisions relating to the insurance coverages we are required to maintain under the credit agreement and the disbursement agreement and permitted us to issue the old notes and permits us to issue the new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credit facilities are comprised of the following:</w:t>
      </w:r>
    </w:p>
    <w:p>
      <w:pPr>
        <w:spacing w:after="0" w:line="90" w:lineRule="exact"/>
        <w:rPr>
          <w:sz w:val="20"/>
          <w:szCs w:val="20"/>
          <w:color w:val="auto"/>
        </w:rPr>
      </w:pPr>
    </w:p>
    <w:p>
      <w:pPr>
        <w:ind w:left="900" w:hanging="446"/>
        <w:spacing w:after="0" w:line="268"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$900 million that will terminate and be payable in full on August 15, 2011, and a portion of which may be used for letters of credit;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$225 million.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2007, no amounts were outstanding under the revolving credit facility; however, we do have $16.7 million of outstanding letters of credit that reduce our availability under the revolving credit facility. Consequently, $883.3 million remains available under the revolving credit facility for future borrowings for the construction of Encore or for other uses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 loans under the term loan facility will be amortized through the date of maturity for the term loan facility according to the following schedule: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93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initial term loan</w:t>
            </w:r>
          </w:p>
        </w:tc>
      </w:tr>
      <w:tr>
        <w:trPr>
          <w:trHeight w:val="161"/>
        </w:trPr>
        <w:tc>
          <w:tcPr>
            <w:tcW w:w="9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principal amount</w:t>
            </w:r>
          </w:p>
        </w:tc>
        <w:tc>
          <w:tcPr>
            <w:tcW w:w="140" w:type="dxa"/>
            <w:vAlign w:val="bottom"/>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August 15, 2013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Fees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purposes of calculating interest, loans under our credit facilities will be designated, at our election, as “Eurodollar Loans” or “Base Rate Loans.” Prior to the opening of Encore, Eurodollar Loans bear interest at LIBOR plus an interest margin equal to 1.625% for revolving loans and 1.875% for term loans under the term loan facility. Interest on Eurodollar Loans is payable at the end of the applicable interest period in the case of interest periods of one, two or three months, and every three months in the case of interest periods of six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 xml:space="preserve">Prior to the opening of Encore, Base Rate Loans bear interest at (a) a rate per annum equal to the greater of (i) the rate most recently announced by Deutsche Bank as its “prime rate,” or (ii) the Federal Funds Effective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plus (b) an interest margin equal to 0.625% for revolving loans and 0.875% for term loans under the term loan facility. Interest on Base Rate Loans will be payable quarterly in arrears.</w:t>
      </w:r>
    </w:p>
    <w:p>
      <w:pPr>
        <w:spacing w:after="0" w:line="16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After the opening of Encore, the applicable interest margins for revolving loans will be based on our and our subsidiaries’ consolidated leverage ratio, ranging from 1.00% to 1.75% per annum for Eurodollar Loans and 0.00% to 0.75% per annum for Base Rate Loans.</w:t>
      </w:r>
    </w:p>
    <w:p>
      <w:pPr>
        <w:spacing w:after="0" w:line="8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will pay, quarterly in arrears, a commitment fee on the daily average of unborrowed availability under the revolving credit facility at a rate equal to, prior to the opening of Encore, 0.375% per annum. After the opening of Encore, the commitment fee will be based on our and our subsidiaries’ consolidated leverage ratio and will range from 0.25% to 0.50% per annum on the daily average unborrowed availability under the revolving credit facility.</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Letters of credit issued pursuant to our credit facilities will accrue fees at the interest margin payable on Eurodollar Loans under the revolving credit facility, as described above, plus a customary fronting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credit facilities are guaranteed by each of our subsidiaries, other than Wynn Completion Guarantor, LLC. Each guarantee of our obligations under our credit facilities is secured by a security interest in substantially all of the guarantors’ existing and future assets (except World Travel, LLC’s corporate aircraft), and ranks pari passu in right of payment with any existing and future senior indebtedness of such guarantors, including indebtedness with respect to the notes. In addition, each guarantee of our obligations under our credit facilities ranks senior in right of payment to all of the existing and future subordinated indebtedness of each guarantor.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Subject to the intercreditor agreement, and certain exceptions, compliance with all applicable laws, including gaming laws and regulations, permitted liens and obtaining any necessary regulatory approvals, our obligations under our credit facilities and the obligations of each of the guarantors under the guarantee are secured by:</w:t>
      </w:r>
    </w:p>
    <w:p>
      <w:pPr>
        <w:spacing w:after="0" w:line="59" w:lineRule="exact"/>
        <w:rPr>
          <w:sz w:val="20"/>
          <w:szCs w:val="20"/>
          <w:color w:val="auto"/>
        </w:rPr>
      </w:pPr>
    </w:p>
    <w:p>
      <w:pPr>
        <w:ind w:left="900" w:right="80" w:hanging="446"/>
        <w:spacing w:after="0" w:line="268"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first priority pledge of Wynn Holdings’ equity interests in Wynn Las Vegas, LLC and all of our and the guarantors’ equity interests in our and their subsidiaries;</w:t>
      </w:r>
    </w:p>
    <w:p>
      <w:pPr>
        <w:spacing w:after="0" w:line="5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first mortgages on all real property on which Wynn Las Vegas and Encore are located, including the golf course parcel, as well as substantially all appurtenant rights we or our subsidiaries own related to the development, construction and operation of Wynn Las Vegas and Encore, subject to release of the golf course parcel and certain other parcels and assets in connection with dispositions thereof upon satisfaction of certain conditions and meeting certain maximum leverage tests and minimum earnings before interest, taxes, depreciation and amortization requirements, in each case, as may be applicable, and releases related to certain dispositions permitted by our credit facilities; and</w:t>
      </w:r>
    </w:p>
    <w:p>
      <w:pPr>
        <w:spacing w:after="0" w:line="34"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our credit facilities. Our credit facilities are not secured by World Travel, LLC’s corporate aircraft.</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obligations under our credit facilities are secured by other assets on a pari passu basis with our obligations under the notes. The agreement among the agent, on behalf of itself and the lenders under our credit facilities, and the trustee, on behalf of the noteholders, is set forth in an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our credit facilities and the holders of the notes to guarantee completion in full of the construction and opening of Wynn Las Vegas and Encore. The completion guarantee was initially capped at $50 million and consists of cash collateralized by a security interest in a collateral account holding cash or short-term highly rated securities and pledged to the lenders under our credit facilities and the holders of the notes as security for the completion guarantee. As of December 31, 2007, there was $31.1 million on deposit in the completion guarantee account. Subject to the intercreditor agreement, upon the occurrence of an event of default under our credit facilities or the Indenture, the lenders under our credit facilities and the holders of the notes will be permitted to exercise remedies against deposits in the completion guarantee account. After the satisfaction of certain conditions relating to the completion of Wynn Las Vegas and Encore, any amounts remaining in this account will be released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Commitment Reductions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our credit facilities from the net proceeds from all debt offerings (other than the notes and other offerings constituting certain permitted debt), the net proceeds from certain dispositions, the net proceeds from asset sales, insurance or condemnation proceeds, and liquidated damages under certain project documents received by us, in each case, with specified exceptions and subject in certain cases to reinvestment periods. Following the opening of Encore, if our leverage ratio is above a certain level we will also be required to make mandatory prepayments of indebtedness under our credit facilities from 50% of our excess cash flow. Mandatory prepayments under our credit facilities will be applied to repay the term loan facility, and in certain events, to reduce the revolving credit commitments and repay amounts borrowed under the revolving credit facility. We have the option to prepay all or any portion of the indebtedness under our credit facilities at any time without premium or penalty.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our credit facilities, the negative covenants restrict our ability to do certain things, including but not limited to:</w:t>
      </w:r>
    </w:p>
    <w:p>
      <w:pPr>
        <w:spacing w:after="0" w:line="51" w:lineRule="exact"/>
        <w:rPr>
          <w:sz w:val="20"/>
          <w:szCs w:val="20"/>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are:</w:t>
      </w:r>
    </w:p>
    <w:p>
      <w:pPr>
        <w:spacing w:after="0" w:line="90" w:lineRule="exact"/>
        <w:rPr>
          <w:sz w:val="20"/>
          <w:szCs w:val="20"/>
          <w:color w:val="auto"/>
        </w:rPr>
      </w:pPr>
    </w:p>
    <w:p>
      <w:pPr>
        <w:ind w:left="900" w:hanging="446"/>
        <w:spacing w:after="0"/>
        <w:tabs>
          <w:tab w:leader="none" w:pos="90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minimum consolidated interest coverage ratio (earnings before interest, taxes, depreciation and amortization to total interest expense); and</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171</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maximum consolidated leverage ratio (total debt to earnings before interest, taxes, depreciation and amortization).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loan documentation for our credit facilities contains certain events of default, including the failure to make payments when due, defaults under, or the invalidity or termination of, other material agreements or instruments of indebtedness of specific amounts, noncompliance with covenants, material breaches of representations and warranties, bankruptcy events, judgments in excess of specified amounts, ERISA matters, impairment of security interests in collateral, loss of gaming licenses, failure of subordinated indebtedness and certain other obligations to remain subordinated to the obligations under our credit facilities, change of control and specified events under the disbursement agreement (including the failure or inability to open or complete Encore by a specified opening or completion date), subject in some cases to applicable notice provisions and grace periods. See “Disbursement Agreement.” The consequences of an event of default may include termination of the commitments under our credit facilities, acceleration of all amounts due under our credit facilities, and various other remedies that could include, among other things, foreclosure on substantially all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Availability of Funds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Borrowings of loans under our credit facilities are subject to prior written notice, the accuracy of representations and warranties, the absence of any default or event of default and certain other customary conditions to borrowing.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60"/>
          </w:cols>
          <w:pgMar w:left="240" w:top="460" w:right="2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an amended and restated disbursement agreement with Deutsche Bank Trust Company Americas, as the agent for the lenders under our credit facilities, and Deutsche Bank Trust Company Americas, as the disbursement agent. This summary is qualified in its entirety by reference to the disbursement agreement.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disbursement agreement, among other things, sets forth terms and conditions with respect to our use of funds in certain of our accounts (including for the purpose of paying project costs), the completion of Encore and our ability to amend the budget, schedule, and contracts related to the construction of Encore. Furthermore, the disbursement agreement requires us to deliver status reports, costs reports, the budget and the schedule related to the construction of Encore and to certify as to the availability of funds necessary to complete construction of Encore, each on a quarterly basis. Failure to deliver such items or make such certifications, or the failure or inability to open or complete Encore by a specified opening or completion date, may result in a default or event of default under the disbursement agreement, in which case we may be prohibited from accessing funds under our credit facilities or making payments of project costs for Encore. Upon the occurrence and during the continuance of an event of default under the disbursement agreement, the agent for the lenders under our credit facilities and the disbursement agent will be entitled to refuse to make extensions of credit under our credit facilities or make or allow any payments or disbursements for the payment of project costs. The disbursement agreement provides that the agent for the lenders under our credit facilities, without the consent of any person, is entitled to waive defaults and events of default under the disbursement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the trustee for the notes nor the holders of the notes have any rights under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agent under our credit facilities and the trustee on behalf of the noteholders have entered into an intercreditor agreement (the “intercreditor agreement”) that will govern the relationship among the holders of the notes, the lenders under our credit facilities and holders of future permitted senior and junior indebtedness. This summary is qualified in its entirety by reference to the intercreditor agreement.</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intercreditor agreement sets forth certain agreements among the parties regarding, among other things, the priority of their claims and interests in the shared collateral securing our obligations under our credit facilities, the indenture, additional permitted senior debt and permitted junior debt and other assets we own, the method of decision-making among the lenders, the noteholders, other permitted senior debt holders and permitted junior debt holders, the arrangements applicable to actions with respect to approval rights and waivers, certain limitations on rights of enforcement upon default and the application of proceeds from enforcement.</w:t>
      </w:r>
    </w:p>
    <w:p>
      <w:pPr>
        <w:spacing w:after="0" w:line="14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Under the intercreditor agreement, the agent under our credit facilities and the trustee on behalf of the noteholders have appointed Deutsche Bank Trust Company Americas to act as collateral agent with respect to the collateral securing our obligations under our credit facilities and the indenture, to exercise remedies in respect thereof upon the occurrence of an event of default and to act as specified in the intercreditor agreement under our security documents.</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intercreditor agreement provides that the liens granted for the benefit of the noteholders with respect to our assets (which shall not include a lien on our bank proceeds account) and the assets pledged by the guarantors are pari passu in priority (which priority is first, subject to permitted liens) with the liens on such assets granted for the benefit of the lenders under our credit facilities and the liens on such assets that may be granted for the benefit of other permitted senior debt holders. Additionally, the intercreditor agreement provides that the liens on such assets granted for the benefit of permitted junior debt holders are junior to the liens on such assets granted for the benefit of the noteholders, the lenders under our credit facilities and other permitted senior debt holders. Subject to the direction of the required secured creditors, the intercreditor agreement provides that the collateral agent has the sole and exclusive right to exercise rights and enforce remedies under the security documents to which it is a party.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60" w:firstLine="456"/>
        <w:spacing w:after="0" w:line="294"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trading activities. We have agreed that, for a period of up to the later of (i) 180 days following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w:t>
      </w:r>
    </w:p>
    <w:p>
      <w:pPr>
        <w:spacing w:after="0" w:line="25" w:lineRule="exact"/>
        <w:rPr>
          <w:sz w:val="20"/>
          <w:szCs w:val="20"/>
          <w:color w:val="auto"/>
        </w:rPr>
      </w:pPr>
    </w:p>
    <w:p>
      <w:pPr>
        <w:ind w:right="200"/>
        <w:spacing w:after="0" w:line="220" w:lineRule="auto"/>
        <w:rPr>
          <w:sz w:val="20"/>
          <w:szCs w:val="20"/>
          <w:color w:val="auto"/>
        </w:rPr>
      </w:pPr>
      <w:r>
        <w:rPr>
          <w:rFonts w:ascii="Arial" w:cs="Arial" w:eastAsia="Arial" w:hAnsi="Arial"/>
          <w:sz w:val="18"/>
          <w:szCs w:val="18"/>
          <w:color w:val="auto"/>
        </w:rPr>
        <w:t>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as amended or supplemented, available to any broker-dealer for use in connection with any such resale. In addition, until , 2008, all dealers effecting transactions in the new notes may be required to deliver a prospectus.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446"/>
        <w:spacing w:after="0" w:line="259"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period of up to the later of (i) 180 days following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and (ii) 180 days following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consolidated financial statements and the financial statement schedule of Wynn Las Vegas, LLC and subsidiaries at December 31, 2007 and 2006 and for each of the two years in the period ended December 31, 2007 appearing in this Prospectus and Registration Statement have been audited by Ernst &amp; Young LLP, independent registered public accounting firm, to the extent indicated in their report thereon also appearing elsewhere herein and in the Registration Statement. Such consolidated financial statements have been included herein in reliance upon such reports given on the authority of such firm as experts in accounting and auditing.</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consolidated financial statements for the year ended December 31, 2005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4"/>
        </w:trPr>
        <w:tc>
          <w:tcPr>
            <w:tcW w:w="4120" w:type="dxa"/>
            <w:vAlign w:val="bottom"/>
            <w:tcBorders>
              <w:top w:val="single" w:sz="8" w:color="0000EE"/>
            </w:tcBorders>
            <w:gridSpan w:val="7"/>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Consolidated Balance Sheets</w:t>
              </w:r>
            </w:hyperlink>
          </w:p>
        </w:tc>
        <w:tc>
          <w:tcPr>
            <w:tcW w:w="68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5">
              <w:r>
                <w:rPr>
                  <w:rFonts w:ascii="Arial" w:cs="Arial" w:eastAsia="Arial" w:hAnsi="Arial"/>
                  <w:sz w:val="18"/>
                  <w:szCs w:val="18"/>
                  <w:color w:val="0000EE"/>
                  <w:w w:val="87"/>
                </w:rPr>
                <w:t>Consolidated Statements of Operations</w:t>
              </w:r>
            </w:hyperlink>
          </w:p>
        </w:tc>
        <w:tc>
          <w:tcPr>
            <w:tcW w:w="8180" w:type="dxa"/>
            <w:vAlign w:val="bottom"/>
            <w:gridSpan w:val="6"/>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86">
              <w:r>
                <w:rPr>
                  <w:rFonts w:ascii="Arial" w:cs="Arial" w:eastAsia="Arial" w:hAnsi="Arial"/>
                  <w:sz w:val="18"/>
                  <w:szCs w:val="18"/>
                  <w:color w:val="0000EE"/>
                  <w:w w:val="88"/>
                </w:rPr>
                <w:t>Consolidated Statements of Member’s Equity</w:t>
              </w:r>
            </w:hyperlink>
          </w:p>
        </w:tc>
        <w:tc>
          <w:tcPr>
            <w:tcW w:w="7720" w:type="dxa"/>
            <w:vAlign w:val="bottom"/>
            <w:gridSpan w:val="3"/>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Consolidated Statements of Cash Flows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Notes to Consolidated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2"/>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7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940" w:type="dxa"/>
            <w:vAlign w:val="bottom"/>
            <w:gridSpan w:val="8"/>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 Schedule II—Valuation and Qualifying Accounts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w:t>
      </w:r>
    </w:p>
    <w:p>
      <w:pPr>
        <w:spacing w:after="0" w:line="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2007 and 2006, and the related consolidated statements of operations, member’s equity, and cash flows for each of the two years in the period ended December 31, 2007. Our audits also included the financial statement schedule included in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2007 and 2006, and the consolidated results of their operations and their cash flows for each of the two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audited the accompanying consolidated statements of operations, member’s equity, and cash flows of Wynn Las Vegas, LLC and subsidiaries for the year ended December 31, 2005. Our audit also included the financial statement schedule of Valuation and Qualifying Accounts for the year ended December 31, 2005. The financial statements and financial statement schedule are the responsibility of the Company’s management. Our responsibility is to express an opinion on the financial statements and financial statement schedule based on our audit.</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and cash flows of Wynn Las Vegas, LLC for the year ended December 31, 2005, in conformity with accounting principles generally accepted in the United States of America. Also, in our opinion, such financial statement schedule, when considered in relation to the basic 2005 consolidated financial statements taken as a whole, presents fairly, in all material respects, the information set forth therein.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310,100</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2,419,161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56,257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18,093</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67,317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1,647,092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31,505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1,877,118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1,453,918</w:t>
            </w: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(211,148)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1,242,770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(152,718)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(154,255)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1,295,851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1,139,348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(86,090)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(117,787)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(106,648)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124,219</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6"/>
          <w:szCs w:val="16"/>
          <w:b w:val="1"/>
          <w:bCs w:val="1"/>
          <w:color w:val="auto"/>
        </w:rPr>
        <w:t>(A WHOLLY OWNED INDIRECT SUBSIDIARY OF WYNN RESORTS, LIMITED)</w:t>
      </w:r>
    </w:p>
    <w:p>
      <w:pPr>
        <w:spacing w:after="0" w:line="10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(amounts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Vested stock grant issued to consultant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Pre-opening settlement of amounts due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Parent company stock-based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$ 1,276,868</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1,224,829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9,808</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1,242,770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124,219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403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760" w:space="720"/>
            <w:col w:w="92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147,608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11,316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(678,480)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(249,526)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166,465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197,240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(562,021)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(90,341)</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(282,911)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(440,169)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328,892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299,008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(109,244)</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146,521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93,820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110,298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due from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For the periods presented prior to April 28, 2005, the Company was solely a development stage company.</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currently constructing “Encore at Wynn Las Vegas” or “Encore”. Encore is being constructed adjacent to Wynn Las Vegas and will be fully integrated with Wynn Las Vegas. Encore is expected to open in December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Restricted cash and investments consist primarily of certain proceeds of the Company’s financing activities invested in approved money market funds. The majority of these funds are restricted by the agreements governing the Company’s debt instruments for the payment of certain construction and development costs relating to Wynn Las Vegas and Encore. Amounts classified as current are equal to current construction payables.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2007 and 2006, approximately 53% and 55%,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Land improvements</w:t>
            </w:r>
          </w:p>
        </w:tc>
        <w:tc>
          <w:tcPr>
            <w:tcW w:w="410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10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$33.6 million, $7.7 million and $36.8 million was capitalized for the years ended December 31, 2007, 2006 and 2005,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land on which Wynn Las Vegas is located, and trademarks. Indefinite-lived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not amortized, but are reviewed annually for impairment. The Company’s finite-lived intangible assets consist of show production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are amortized over the shorter of their contractual terms or estimated useful lives.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$7.2 million, $8.8 million, and $9.7 million was amortized to interest expense during the years ended December 31, 2007, 2006 and 2005, respectively. Debt discounts incurred in connection with the issuance of debt has been capitalized and is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fair value of swaps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Reseller of the Vendor’s Products).” EITF 01-9 requires that sales incentives be recorded as a reduction of revenues; consequently, the Company’s casino revenues are reduced by discounts and points earned in customer loyalty programs, such as the player’s club loyalty program.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$24,816</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55,930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88,259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91,687</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$19.7 million, $16.7 million and $18 million, respectively, for the years ended December 31, 2007, 2006 and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consisting primarily of salaries and wages, legal and consulting fees, insurance, utilities and travel, are expensed as incurred. The Company incurred pre-opening costs in connection with Wynn Las Vegas prior to its opening on April 28, 2005. The Company will continue to incur such costs related to Encore prior to its opening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Financial Accounting Standards Board (“FASB”) issued SFAS No. 123(R), “Share Based Payment.” This statement is a revision of SFAS No. 123, “Accounting for Stock-Based Compensation” and supercedes Accounting Principles Board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Black-Scholes valuation model to determine the estimated fair value for each option grant issued. The Black- Scholes determined fair value net of estimated forfeitures is amortized as compensation cost on a straight-line basis over the service period. In applying the modified prospective method, financial statements of prior periods presented do not reflect any adjusted amounts (i.e. prior periods do not include compensation cost calculated under the fair value method). Further information on the Company’s share-based compensation arrangements is included in Note 11 “Benefit Plans.”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2006, the Company applied the provisions of EITF Issue 00-23 “Options Granted to Employees of Entities under Common Control” and recorded the cost of equity instruments granted by Wynn Resorts to employees of the Company in the Company’s consolidated financial statements as a capital contribution.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will not have a material impact on the Company’s consolidated financial statements.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2006 have been reclassified to be consistent with the current year presentation. These reclassifications had no effect on the previously reported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185,736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603,838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1,209,562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1,164,947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655,754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214,574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3,378,538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2,641,741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$ 3,031,403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2,419,161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2007 and 2006, construction in progress includes interest and other costs capitalized in conjunction with the Encore project and to certain enhancements to Wynn Las Vegas.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2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Water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Trademarks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11,250</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2006</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20,789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(2,963)</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Rêve” name. The water rights and trademarks are indefinite-lived assets and, accordingly, not amortized. Show production rights represent the amounts paid to purchase the rights to present “Monty Python’s Spamalot” and “Le Rêve” production shows. On May 31, 2006, the Company entered into an agreement to acquire substantially all intellectual property rights related to “Le Rêve” which were previously only licensed to the Company. The Company paid $14.5 million to acquire substantially all of the rights in and to “Le Rêve”. The rights acquired enable the Company to produce, present, enhance, or alter the performance of “Le Rêve” after May 31, 2006. The Company expects that amortization of show production rights will be approximately $3.1 million for each of the years 2008 through 2012, approximately $1.9 million for 2013, and approximately $0.2 million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6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30,057</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Base stock</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10,645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13,843</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Golf memberships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 w:type="dxa"/>
            <w:vAlign w:val="bottom"/>
          </w:tcPr>
          <w:p>
            <w:pPr>
              <w:spacing w:after="0"/>
              <w:rPr>
                <w:sz w:val="18"/>
                <w:szCs w:val="18"/>
                <w:color w:val="auto"/>
              </w:rPr>
            </w:pPr>
          </w:p>
        </w:tc>
      </w:tr>
      <w:tr>
        <w:trPr>
          <w:trHeight w:val="222"/>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$ 63,895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56,257</w:t>
            </w:r>
          </w:p>
        </w:tc>
      </w:tr>
      <w:tr>
        <w:trPr>
          <w:trHeight w:val="20"/>
        </w:trPr>
        <w:tc>
          <w:tcPr>
            <w:tcW w:w="36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5800" w:type="dxa"/>
            <w:vAlign w:val="bottom"/>
            <w:gridSpan w:val="2"/>
          </w:tcPr>
          <w:p>
            <w:pPr>
              <w:jc w:val="right"/>
              <w:ind w:right="3942"/>
              <w:spacing w:after="0"/>
              <w:rPr>
                <w:sz w:val="20"/>
                <w:szCs w:val="20"/>
                <w:color w:val="auto"/>
              </w:rPr>
            </w:pPr>
            <w:r>
              <w:rPr>
                <w:rFonts w:ascii="Arial" w:cs="Arial" w:eastAsia="Arial" w:hAnsi="Arial"/>
                <w:sz w:val="18"/>
                <w:szCs w:val="18"/>
                <w:color w:val="auto"/>
              </w:rPr>
              <w:t>F-14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 original issue discount of $10,816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$ 1,689,184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4"/>
              </w:rPr>
              <w:t>$900 million Revolving Credit Facility; due August 15, 2011; interest at LIBOR plus 1.625% (approximately 6.2% and 7.0%,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5"/>
              </w:rPr>
              <w:t>$225 million Term Loan Facility; $112.5 million due September 30, 2012 with the remaining $112.5 million due August 15,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 (approximately 6.9% and 7.2%, 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7.7%)</w:t>
            </w:r>
          </w:p>
        </w:tc>
        <w:tc>
          <w:tcPr>
            <w:tcW w:w="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 (approximately 6.5%)</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1,955,134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$ 1,954,084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$ 1,647,092</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12" w:lineRule="exact"/>
        <w:rPr>
          <w:sz w:val="20"/>
          <w:szCs w:val="20"/>
          <w:color w:val="auto"/>
        </w:rPr>
      </w:pPr>
    </w:p>
    <w:p>
      <w:pPr>
        <w:ind w:right="140" w:firstLine="456"/>
        <w:spacing w:after="0" w:line="274" w:lineRule="auto"/>
        <w:rPr>
          <w:sz w:val="20"/>
          <w:szCs w:val="20"/>
          <w:color w:val="auto"/>
        </w:rPr>
      </w:pPr>
      <w:r>
        <w:rPr>
          <w:rFonts w:ascii="Arial" w:cs="Arial" w:eastAsia="Arial" w:hAnsi="Arial"/>
          <w:sz w:val="15"/>
          <w:szCs w:val="15"/>
          <w:color w:val="auto"/>
        </w:rPr>
        <w:t xml:space="preserve">On December 14, 2004, the Issuers issued $1.3 billion aggregate principal amount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(the “First Mortgage Notes”). The First Mortgage Notes mature on December 1, 2014 and bear interest at the rate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per year. The Company pays interest on the First Mortgage Notes on June 1</w:t>
      </w:r>
      <w:r>
        <w:rPr>
          <w:rFonts w:ascii="Arial" w:cs="Arial" w:eastAsia="Arial" w:hAnsi="Arial"/>
          <w:sz w:val="19"/>
          <w:szCs w:val="19"/>
          <w:color w:val="auto"/>
          <w:vertAlign w:val="superscript"/>
        </w:rPr>
        <w:t>st</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and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all amounts on deposit from time to time (currently $31.1 million) in a completion guarantee deposit account maintained by Wynn Completion Guarantor, LLC; (2) a first priority pledge of all of the member’s interests owned by Wynn Las Vegas, LLC in its subsidiaries (other than Wynn Completion Guarantor, LLC) and of Wynn Resorts Holdings, LLC’s 100% member’s interest in Wynn Las Vegas, LLC; (3) first mortgages on all real property constituting Wynn Las Vegas, its golf course and Encore; and (4) a first priority security interest in substantially all other existing and future assets of Wynn Las Vegas, LLC and the guarantors, excluding, among other things, an aircraft beneficially owned by World Travel, LLC.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67"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On November 6, 2007, the Issuers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“Additional Notes”). The Additional Notes were issued under the same indenture as the First Mortgage Notes issued on December 14, 2004.</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the Issuers may not offer or sell the Additional Notes within the United States to, or for the account or benefit of, any United States person unless the offer or sale would qualify for a registration exemption from the Securities Act and applicable state securities laws. The Issuers have agreed to make an offer to exchange the Additional Notes for registered, publicly traded notes that have substantially identical terms as the Additional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w:t>
      </w:r>
    </w:p>
    <w:p>
      <w:pPr>
        <w:spacing w:after="0" w:line="1"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 xml:space="preserve">recently announced by Deutsche Bank as its “prime rate,” or (ii) the Federal Funds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plus (b) a borrowing margin 0.625% or 0.875% under the Revolver and Term Loans, respectively. Interest on Base Rate Loans will be payable quarterly in arrears.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the opening of Encore, the applicable borrowing margins for the Revolver will be based on Wynn Las Vegas, LLC’s leverage ratio, ranging from 1% to 1.75% per annum for Eurodollar Loans and 0% to 0.75% per annum for Base Rate Loans. Until then, Wynn Las Vegas, LLC will pay, quarterly in arrears, 0.375% per annum on the daily average of unborrowed availability under the Revolver. After opening Encore, the annual fee Wynn Las Vegas, LLC will be required to pay for unborrowed availability under the Revolver will be based on Wynn Las Vegas, LLC’s leverage ratio, ranging from 0.25% to 0.50% per annum.</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all amounts on deposit from time to time (currently $31.1 million) in a completion guarantee deposit account maintained by Wynn Completion Guarantor, LLC; (2) all amounts on deposit from time to time in a secured account holding the proceeds of the Credit Facilities;</w:t>
      </w:r>
    </w:p>
    <w:p>
      <w:pPr>
        <w:spacing w:after="0" w:line="3" w:lineRule="exact"/>
        <w:rPr>
          <w:sz w:val="20"/>
          <w:szCs w:val="20"/>
          <w:color w:val="auto"/>
        </w:rPr>
      </w:pPr>
    </w:p>
    <w:p>
      <w:pPr>
        <w:jc w:val="both"/>
        <w:ind w:right="100" w:firstLine="8"/>
        <w:spacing w:after="0" w:line="254" w:lineRule="auto"/>
        <w:tabs>
          <w:tab w:leader="none" w:pos="2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first priority pledge of all member’s interests owned by Wynn Las Vegas, LLC in its subsidiaries (other than Wynn Completion Guarantor, LLC) and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an aircraft beneficially owned by World Travel, LLC.</w:t>
      </w:r>
    </w:p>
    <w:p>
      <w:pPr>
        <w:spacing w:after="0" w:line="14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existing and future senior indebtedness, including indebtedness with respect to the First Mortgage Notes and rank senior in right of payment to all existing and future subordinated indebtedness.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the Company amended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2007, the Company further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and $42 Million Note Payable for Aircraft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were to terminate on March 31, 2010. The term loans were guaranteed by Wynn Las Vegas, LLC and secured by a first priority security interest in the Company’s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March 2007, World Travel, LLC, a subsidiary of Wynn Las Vegas, refinanced the $44.75 million note payable. The new loan has a principal balance of $42 million and is due April 1, 2017. The loan is guaranteed by Wynn Las Vegas, LLC and secured by a first priority security interest in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book value of the First Mortgage Notes, including the Additional Notes, at December 31, 2007 and 2006 was $1.7 billion and $1.3 billion, respectively. The estimated fair value of the First Mortgage Notes, including the Additional Notes, based upon most recent trades at December 31, 2007 and 2006 was approximately $1.67 billion and $1.3 billion, respectively. The net book value of the Company’s other debt instruments approximates fair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0" w:type="dxa"/>
            <w:vAlign w:val="bottom"/>
          </w:tcPr>
          <w:p>
            <w:pPr>
              <w:jc w:val="center"/>
              <w:ind w:right="17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8800" w:type="dxa"/>
            <w:vAlign w:val="bottom"/>
            <w:gridSpan w:val="3"/>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3"/>
        </w:trPr>
        <w:tc>
          <w:tcPr>
            <w:tcW w:w="6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r>
      <w:tr>
        <w:trPr>
          <w:trHeight w:val="223"/>
        </w:trPr>
        <w:tc>
          <w:tcPr>
            <w:tcW w:w="68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1,846,800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1,965,950</w:t>
            </w: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has entered into floating-for-fixed interest rate swap arrangements relating to its Term Loans. The Company accounts for its interest rate swaps in accordance with SFAS No. 133, “Accounting for Derivative Instruments and Hedging Activities”, and its related interpretations.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14, 2004, the Company entered into two $200 million notional amount interest rate swap arrangements to fix the interest rate on the $400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 (decrease) in swap fair value in the accompanying Consolidated Statements of Operations since the interest rate swaps did not qualify for hedge accounting under SFAS No. 133.</w:t>
      </w:r>
    </w:p>
    <w:p>
      <w:pPr>
        <w:spacing w:after="0" w:line="14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August 15, 2006, the Company reduced its Term Loan facility as part of the refinancing of the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 rate of 3.793% on the $200 million notional amount and receives payments based on LIBOR, the interest rate on $200 million of the new $225 million Term Loan is fixed at approximately 5.7%. The interest rate on the remaining $25 million of Term Loan is subject to changes in LIBOR rates.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2007 and 2006, the Company has recorded an asset of approximately $0.4 million and $4.8 million, respectively to reflect the fair value of the remaining $200 million notional amount interest rate swap. The fair value approximates the amount the Company would receive if the contract was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noted above, although the current interest rate swap is highly effective economically in fixing the interest rate on $200 million of the Term Loan, this interest rate swap does not qualify for hedge accounting under SFAS No. 133. Accordingly, changes in the fair value of the interest rate swap are recorded in the accompanying Consolidated Statement of Operations as an increase/(decrease) in swap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August 15, 2005, the Company loaned $80 million to Wynn Resorts that further loaned those funds through its subsidiaries to Wynn Macau, S.A. as part of the financing of Wynn Macau, Wynn Resorts’ casino resort facility in the Macau Special Administrative Region of the People’s Republic of China (“Macau”), which opened on September 6, 2006. Wynn Macau S. A. repaid to Wynn Resorts all amounts outstanding in November 2006. Interest accrues at 7.5% per annum. Unpaid principal and interest is due at maturity on August 15, 2012. Included in the balances as of December 31, 2007 and 2006, was approximately $8.4 million and $2.4 million, respectively, of accrued interest receivable related to this note.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as specified in the documents governing the Company’s Credit Facilities), and other net amounts receivable from affiliates totaling $35.2 million (including corporate allocations discussed below). 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years ended December 31, 2007 and 2006, approximately $18.7 million and $18.4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These services include household services, construction work and other personal services. The cost of these services is transferred to Wynn Resorts, Limited on a periodic basis. Mr. Wynn and these other officers have amounts on deposit with Wynn Resorts to prepay any such items, which are replenished on an ongoing basis as needed. At December 31, 2007 and December 31, 2006, Wynn Resorts owed Mr. Wynn and the other officers approximately $357,145 and $315,000,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2007, 2006 and 2005, were $6 million, $14.4 million and $14.2 million, respectively.</w:t>
      </w:r>
    </w:p>
    <w:p>
      <w:pPr>
        <w:spacing w:after="0" w:line="19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In response to the Company’s evaluation of the completed Wynn Las Vegas project and the reactions of its guests, the Company continues to make enhancements and refinements to the property.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w:t>
      </w:r>
      <w:r>
        <w:rPr>
          <w:rFonts w:ascii="Arial" w:cs="Arial" w:eastAsia="Arial" w:hAnsi="Arial"/>
          <w:sz w:val="15"/>
          <w:szCs w:val="15"/>
          <w:i w:val="1"/>
          <w:iCs w:val="1"/>
          <w:color w:val="auto"/>
        </w:rPr>
        <w:t>Lure</w:t>
      </w:r>
      <w:r>
        <w:rPr>
          <w:rFonts w:ascii="Arial" w:cs="Arial" w:eastAsia="Arial" w:hAnsi="Arial"/>
          <w:sz w:val="15"/>
          <w:szCs w:val="15"/>
          <w:color w:val="auto"/>
        </w:rPr>
        <w:t xml:space="preserve"> to the nighclub </w:t>
      </w:r>
      <w:r>
        <w:rPr>
          <w:rFonts w:ascii="Arial" w:cs="Arial" w:eastAsia="Arial" w:hAnsi="Arial"/>
          <w:sz w:val="15"/>
          <w:szCs w:val="15"/>
          <w:i w:val="1"/>
          <w:iCs w:val="1"/>
          <w:color w:val="auto"/>
        </w:rPr>
        <w:t>Blush</w:t>
      </w:r>
      <w:r>
        <w:rPr>
          <w:rFonts w:ascii="Arial" w:cs="Arial" w:eastAsia="Arial" w:hAnsi="Arial"/>
          <w:sz w:val="15"/>
          <w:szCs w:val="15"/>
          <w:color w:val="auto"/>
        </w:rPr>
        <w:t>. During the year ended December 31, 2006, the Company remodeled six North Fairway Villas, several areas of the retail promenade, a portion of the baccarat area to feature a casino bar and improved public baccarat space along with private baccarat salons and converted the Keno lounge to a retail outlet for womens’ accessories. Included in property charges and other for 2005 are approximately $9.4 million of costs relating to assets retired and approximately $3.1 million of expenses relating to the abandonment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215" w:lineRule="exact"/>
        <w:rPr>
          <w:sz w:val="20"/>
          <w:szCs w:val="20"/>
          <w:color w:val="auto"/>
        </w:rPr>
      </w:pPr>
    </w:p>
    <w:p>
      <w:pPr>
        <w:ind w:right="9740" w:firstLine="8"/>
        <w:spacing w:after="0" w:line="417" w:lineRule="auto"/>
        <w:tabs>
          <w:tab w:leader="none" w:pos="254"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$4.5 million, $3 million and $591,000 for the years ended December 31, 2007, 2006 and 2005, respectively.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$4.5 million, $4.3 million and $1.2 million under such plans for the years ended December 31, 2007, 2006 and 2005, respectively. Information from the plans’ sponsors is not available to permit the Company to determine its share of unfunded vested benefits, if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0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2007, 4,430,712 shares remain available for the grant of stock options or nonvested shares of Wynn Resorts’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2007, and the changes during the year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1,341,000</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$ 48.34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(113,825)</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$ 43.79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3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(21,250)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$ 52.37</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3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1,205,925</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$73,342,220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2007</w:t>
            </w: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3"/>
              </w:rPr>
              <w:t>$ 29.99</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5.94</w:t>
            </w:r>
          </w:p>
        </w:tc>
        <w:tc>
          <w:tcPr>
            <w:tcW w:w="1140" w:type="dxa"/>
            <w:vAlign w:val="bottom"/>
            <w:gridSpan w:val="3"/>
            <w:vMerge w:val="restart"/>
          </w:tcPr>
          <w:p>
            <w:pPr>
              <w:jc w:val="center"/>
              <w:ind w:left="112"/>
              <w:spacing w:after="0"/>
              <w:rPr>
                <w:sz w:val="20"/>
                <w:szCs w:val="20"/>
                <w:color w:val="auto"/>
              </w:rPr>
            </w:pPr>
            <w:r>
              <w:rPr>
                <w:rFonts w:ascii="Arial" w:cs="Arial" w:eastAsia="Arial" w:hAnsi="Arial"/>
                <w:sz w:val="18"/>
                <w:szCs w:val="18"/>
                <w:color w:val="auto"/>
                <w:w w:val="89"/>
              </w:rPr>
              <w:t>$28,271,490</w:t>
            </w: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344,175</w:t>
            </w: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2006 and 2005 was $31.01 and $24.31, respectively. There were no stock options granted during the year ended December 31, 2007. The total intrinsic value of the options exercised for the years ended December 31, 2007, 2006 and 2005 was $7.9 million, $25 million and $2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2007 and changes during the year then ended is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774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169,000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171,000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cost related to stock options for the years ended December 31, 2007 and 2006, were $6.1 million and $7.3 million, respectively.</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years ended December 31, 2007 and 2006, the Company recognized compensation cost related to nonvested shares of Wynn Resorts’ common stock of approximately $1.9 million and $809,000, respectively. Approximately $8.7 million of unamortized compensation cost relating to nonvested shares of Common Stock at December 31, 2007, will be recognized as compensation over the vesting period of the related grants through May 2016.</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2007 and 2006 is allocated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7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SFAS No. 123”, the Company continued to apply the provisions of APB Opinion No. 25, “Accounting for Stock Issued to Employees,” and related interpretations in accounting for its employee stock-based compensation for the year ended December 31, 2005. Accordingly, compensation expense was recognized only to the extent that the market value at the date of grant exceeded the exercise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illustrates the effect on the net loss that would have resulted had the Company applied the fair value recognition provisions of SFAS No. 123, “Accounting for Stock-Based Compensation” to stock-based employee compensation during the year ended December 31, 2005 (amounts in thousands):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8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r>
      <w:tr>
        <w:trPr>
          <w:trHeight w:val="208"/>
        </w:trPr>
        <w:tc>
          <w:tcPr>
            <w:tcW w:w="8220" w:type="dxa"/>
            <w:vAlign w:val="bottom"/>
          </w:tcPr>
          <w:p>
            <w:pPr>
              <w:ind w:left="440"/>
              <w:spacing w:after="0"/>
              <w:rPr>
                <w:sz w:val="20"/>
                <w:szCs w:val="20"/>
                <w:color w:val="auto"/>
              </w:rPr>
            </w:pPr>
            <w:r>
              <w:rPr>
                <w:rFonts w:ascii="Arial" w:cs="Arial" w:eastAsia="Arial" w:hAnsi="Arial"/>
                <w:sz w:val="18"/>
                <w:szCs w:val="18"/>
                <w:color w:val="auto"/>
                <w:w w:val="92"/>
              </w:rPr>
              <w:t>Less: total stock-based employee compensation expenses determined under the fair-value based method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8"/>
                <w:szCs w:val="18"/>
                <w:color w:val="auto"/>
              </w:rPr>
              <w:t>for all awards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(5,138)</w:t>
            </w:r>
          </w:p>
        </w:tc>
      </w:tr>
      <w:tr>
        <w:trPr>
          <w:trHeight w:val="28"/>
        </w:trPr>
        <w:tc>
          <w:tcPr>
            <w:tcW w:w="8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(50,412)</w:t>
            </w:r>
          </w:p>
        </w:tc>
      </w:tr>
      <w:tr>
        <w:trPr>
          <w:trHeight w:val="20"/>
        </w:trPr>
        <w:tc>
          <w:tcPr>
            <w:tcW w:w="8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40" w:hanging="232"/>
        <w:spacing w:after="0" w:line="391" w:lineRule="auto"/>
        <w:tabs>
          <w:tab w:leader="none" w:pos="275"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Wynn Las Vegas Enhancements. </w:t>
      </w:r>
      <w:r>
        <w:rPr>
          <w:rFonts w:ascii="Arial" w:cs="Arial" w:eastAsia="Arial" w:hAnsi="Arial"/>
          <w:sz w:val="16"/>
          <w:szCs w:val="16"/>
          <w:color w:val="auto"/>
        </w:rPr>
        <w:t>The Company has made and continues to make certain enhancements and refinements to Wynn Las Vegas.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 Under the terms of the Wynn Las Vegas, LLC credit facilities, the Company was permitted up to $172.2 million of capital expenditures in 2007, of which $60.1 million was spent. For 2008, the limit under the Wynn Las Vegas Credit Facilities is $272.1 million, including $112.1 million carried forward from 2007. These spending limits do not apply to any funds that may be contributed to Wynn Las Vegas, LLC by Wynn Resorts.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Encore Construction Development</w:t>
      </w:r>
      <w:r>
        <w:rPr>
          <w:rFonts w:ascii="Arial" w:cs="Arial" w:eastAsia="Arial" w:hAnsi="Arial"/>
          <w:sz w:val="16"/>
          <w:szCs w:val="16"/>
          <w:color w:val="auto"/>
        </w:rPr>
        <w:t>. Encore’s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restaurants, a nightclub, swimming pools, a spa and salon and retail outlets. The Company commenced construction of Encore on April 28, 2006 and expects to open Encore in December 2008.</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our Koval property, an associated pedestrian bridge and costs incurred in connection with the theater remodeling and production of “Monty Python’s Spamalot” at Wynn Las Vegas. The project budget is being funded from our existing Credit Facilities, operating cash flow from Wynn Las Vegas and remaining proceeds from a $400 million addition to the Wynn Las Vegas First Mortgage Notes that was completed in November 2007 (see Note 7). To the extent additional funds are required, they will be provided from additional debt and equity contributions by Wynn Resorts or additional indebtedness to be incurred by Wynn Las Vegas.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(“GMP”)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the Company has incurred approximately $998.7 million of project costs related to the development and construction of Encore and related capital improvements.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Completion Guarantee </w:t>
      </w:r>
      <w:r>
        <w:rPr>
          <w:rFonts w:ascii="Arial" w:cs="Arial" w:eastAsia="Arial" w:hAnsi="Arial"/>
          <w:sz w:val="16"/>
          <w:szCs w:val="16"/>
          <w:color w:val="auto"/>
        </w:rPr>
        <w:t>As part of the Wynn Las Vegas financing, the Company contributed $50 million of the net proceeds of the initial public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Wynn Resorts’ common stock to Wynn Completion Guarantor, LLC, a special purpose subsidiary of Wynn Las Vegas, LLC and deposited those funds into a completion guarantee deposit account to secure completion of Wynn Las Vegas. As referenced in Note 7, in April 2007 all amounts in excess of $30 million were released as a result of the April 2007 amendment to the Credit Facilities. The remaining $30 million is retained as Encore’s completion guarantee.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17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12,584</w:t>
            </w:r>
          </w:p>
        </w:tc>
      </w:tr>
      <w:tr>
        <w:trPr>
          <w:trHeight w:val="20"/>
        </w:trPr>
        <w:tc>
          <w:tcPr>
            <w:tcW w:w="1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Total minimum payments of approximately $9.7 million are to be made under non-cancelable leases for approximately $1.7 million in 2008 and 2009, $1.2 million in 2010, $1.1 million in 2011 and 2012 and approximately $2.9 million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 of Guarantors and Issuers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2007 and 2006, and for each of the three years in the period ended December 31, 2007.</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135,094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58,612</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360,218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88,379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2,825,608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205,795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59,174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28,811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44,516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88,299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1,914,184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55,618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2,017,103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231,350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Member’s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1,461,949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(21,972)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93,825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120,489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49,451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21,321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309,707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118,965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82,379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2,219,360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56,243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36,235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Customer deposits and other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67,317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affiliates,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1,613,892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1,613,202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1,453,918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 (deficit)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member’s equity</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1,242,770</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member’s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Issuers</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642,327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311,032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1,449,365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(152,718)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1,296,647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276,523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192,497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202,135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147,413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1,092,910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1,096,026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199,519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(75,300)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124,219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Issuers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3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(154,255)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1,140,757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(114,584)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(12,533)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(105,943)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9,808</w:t>
            </w:r>
          </w:p>
        </w:tc>
        <w:tc>
          <w:tcPr>
            <w:tcW w:w="3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F-31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(100,923)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(45,274)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(4,283)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w w:val="97"/>
              </w:rPr>
              <w:t>F-32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$ 124,219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4,218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147,413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4,218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(4,218)</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swap fair value</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35,963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320,801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Capital expenditures, net of construction payables and retentions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(667,060)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(11,420)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143,586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22,879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(20,585)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(24,770)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(564,637)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(243,352)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(39,559)</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543,460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296,567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52,731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93,825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$ 146,556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9,808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(5,588)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r>
      <w:tr>
        <w:trPr>
          <w:trHeight w:val="20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142,713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11,316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r>
      <w:tr>
        <w:trPr>
          <w:trHeight w:val="208"/>
        </w:trPr>
        <w:tc>
          <w:tcPr>
            <w:tcW w:w="4980" w:type="dxa"/>
            <w:vAlign w:val="bottom"/>
          </w:tcPr>
          <w:p>
            <w:pPr>
              <w:ind w:left="2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(7,546)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32,985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204,419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Capital expenditures, net of construction payables and retention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(212,455)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(37,071)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(249,526)</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199,738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(21,437)</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(60,024)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43,406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(16,618)</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(435,142)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(440,169)</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328,892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termination of interest rate swap</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(104,217)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93,825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(45,274)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(4,283)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1,385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90,355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14,203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(107,092)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(54,901)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130,679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13,273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retentions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(648,527)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385,223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(29,723)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(373,999)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(42,355)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503,436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(7,638)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375,798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25,692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87,787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2007 and 2006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2007</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$ 330,934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$ 335,181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$ 305,798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$ 323,938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$ 1,295,851</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63,420</w:t>
            </w:r>
          </w:p>
        </w:tc>
        <w:tc>
          <w:tcPr>
            <w:tcW w:w="700" w:type="dxa"/>
            <w:vAlign w:val="bottom"/>
          </w:tcPr>
          <w:p>
            <w:pPr>
              <w:jc w:val="right"/>
              <w:spacing w:after="0"/>
              <w:rPr>
                <w:sz w:val="20"/>
                <w:szCs w:val="20"/>
                <w:color w:val="auto"/>
              </w:rPr>
            </w:pPr>
            <w:r>
              <w:rPr>
                <w:rFonts w:ascii="Arial" w:cs="Arial" w:eastAsia="Arial" w:hAnsi="Arial"/>
                <w:sz w:val="18"/>
                <w:szCs w:val="18"/>
                <w:color w:val="auto"/>
              </w:rPr>
              <w:t>35,803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200,621</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20" w:type="dxa"/>
            <w:vAlign w:val="bottom"/>
          </w:tcPr>
          <w:p>
            <w:pPr>
              <w:spacing w:after="0"/>
              <w:rPr>
                <w:sz w:val="18"/>
                <w:szCs w:val="18"/>
                <w:color w:val="auto"/>
              </w:rPr>
            </w:pPr>
          </w:p>
        </w:tc>
      </w:tr>
      <w:tr>
        <w:trPr>
          <w:trHeight w:val="365"/>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$ 277,361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$ 273,562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$ 273,228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$ 315,197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$ 1,139,348</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22,248</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22,140</w:t>
            </w:r>
          </w:p>
        </w:tc>
        <w:tc>
          <w:tcPr>
            <w:tcW w:w="70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49,628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116,456</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0" w:type="dxa"/>
            <w:vAlign w:val="bottom"/>
          </w:tcPr>
          <w:p>
            <w:pPr>
              <w:spacing w:after="0"/>
              <w:rPr>
                <w:sz w:val="18"/>
                <w:szCs w:val="18"/>
                <w:color w:val="auto"/>
              </w:rPr>
            </w:pPr>
          </w:p>
        </w:tc>
      </w:tr>
      <w:tr>
        <w:trPr>
          <w:trHeight w:val="363"/>
        </w:trPr>
        <w:tc>
          <w:tcPr>
            <w:tcW w:w="3400" w:type="dxa"/>
            <w:vAlign w:val="bottom"/>
          </w:tcPr>
          <w:p>
            <w:pPr>
              <w:spacing w:after="0"/>
              <w:rPr>
                <w:sz w:val="24"/>
                <w:szCs w:val="24"/>
                <w:color w:val="auto"/>
              </w:rPr>
            </w:pPr>
          </w:p>
        </w:tc>
        <w:tc>
          <w:tcPr>
            <w:tcW w:w="3960" w:type="dxa"/>
            <w:vAlign w:val="bottom"/>
            <w:gridSpan w:val="3"/>
          </w:tcPr>
          <w:p>
            <w:pPr>
              <w:jc w:val="right"/>
              <w:ind w:right="1480"/>
              <w:spacing w:after="0"/>
              <w:rPr>
                <w:sz w:val="20"/>
                <w:szCs w:val="20"/>
                <w:color w:val="auto"/>
              </w:rPr>
            </w:pPr>
            <w:r>
              <w:rPr>
                <w:rFonts w:ascii="Arial" w:cs="Arial" w:eastAsia="Arial" w:hAnsi="Arial"/>
                <w:sz w:val="18"/>
                <w:szCs w:val="18"/>
                <w:color w:val="auto"/>
              </w:rPr>
              <w:t>F-36</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$ 35,002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tcPr>
          <w:p>
            <w:pPr>
              <w:spacing w:after="0"/>
              <w:rPr>
                <w:sz w:val="18"/>
                <w:szCs w:val="18"/>
                <w:color w:val="auto"/>
              </w:rPr>
            </w:pPr>
          </w:p>
        </w:tc>
      </w:tr>
      <w:tr>
        <w:trPr>
          <w:trHeight w:val="363"/>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gridSpan w:val="2"/>
          </w:tcPr>
          <w:p>
            <w:pPr>
              <w:ind w:left="2020"/>
              <w:spacing w:after="0"/>
              <w:rPr>
                <w:sz w:val="20"/>
                <w:szCs w:val="20"/>
                <w:color w:val="auto"/>
              </w:rPr>
            </w:pPr>
            <w:r>
              <w:rPr>
                <w:rFonts w:ascii="Arial" w:cs="Arial" w:eastAsia="Arial" w:hAnsi="Arial"/>
                <w:sz w:val="18"/>
                <w:szCs w:val="18"/>
                <w:color w:val="auto"/>
              </w:rPr>
              <w:t>F-37</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$400,000,000</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1203325</wp:posOffset>
            </wp:positionV>
            <wp:extent cx="15176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Until July 1, 2008,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320"/>
      </w:cols>
      <w:pgMar w:left="240" w:top="4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
      <w:numFmt w:val="bullet"/>
      <w:start w:val="1"/>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
      <w:numFmt w:val="bullet"/>
      <w:start w:val="1"/>
    </w:lvl>
    <w:lvl w:ilvl="1">
      <w:lvlJc w:val="left"/>
      <w:lvlText w:val="•"/>
      <w:numFmt w:val="bullet"/>
      <w:start w:val="1"/>
    </w:lvl>
  </w:abstractNum>
  <w:abstractNum w:abstractNumId="5">
    <w:nsid w:val="53299938"/>
    <w:multiLevelType w:val="hybridMultilevel"/>
    <w:lvl w:ilvl="0">
      <w:lvlJc w:val="left"/>
      <w:lvlText w:val="•"/>
      <w:numFmt w:val="bullet"/>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
      <w:numFmt w:val="bullet"/>
      <w:start w:val="1"/>
    </w:lvl>
  </w:abstractNum>
  <w:abstractNum w:abstractNumId="10">
    <w:nsid w:val="288F1A34"/>
    <w:multiLevelType w:val="hybridMultilevel"/>
    <w:lvl w:ilvl="0">
      <w:lvlJc w:val="left"/>
      <w:lvlText w:val="•"/>
      <w:numFmt w:val="bullet"/>
      <w:start w:val="1"/>
    </w:lvl>
    <w:lvl w:ilvl="1">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
      <w:numFmt w:val="bullet"/>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
      <w:numFmt w:val="bullet"/>
      <w:start w:val="1"/>
    </w:lvl>
    <w:lvl w:ilvl="1">
      <w:lvlJc w:val="left"/>
      <w:lvlText w:val="•"/>
      <w:numFmt w:val="bullet"/>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1)"/>
      <w:numFmt w:val="decimal"/>
      <w:start w:val="1"/>
    </w:lvl>
  </w:abstractNum>
  <w:abstractNum w:abstractNumId="19">
    <w:nsid w:val="23D86AAC"/>
    <w:multiLevelType w:val="hybridMultilevel"/>
    <w:lvl w:ilvl="0">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
      <w:numFmt w:val="bullet"/>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1)"/>
      <w:numFmt w:val="lowerRoman"/>
      <w:start w:val="2"/>
    </w:lvl>
  </w:abstractNum>
  <w:abstractNum w:abstractNumId="25">
    <w:nsid w:val="78DF6A55"/>
    <w:multiLevelType w:val="hybridMultilevel"/>
    <w:lvl w:ilvl="0">
      <w:lvlJc w:val="left"/>
      <w:lvlText w:val="(%1)"/>
      <w:numFmt w:val="decimal"/>
      <w:start w:val="1"/>
    </w:lvl>
  </w:abstractNum>
  <w:abstractNum w:abstractNumId="26">
    <w:nsid w:val="39B7AAA2"/>
    <w:multiLevelType w:val="hybridMultilevel"/>
    <w:lvl w:ilvl="0">
      <w:lvlJc w:val="left"/>
      <w:lvlText w:val="•"/>
      <w:numFmt w:val="bullet"/>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
      <w:numFmt w:val="bullet"/>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
      <w:numFmt w:val="bullet"/>
      <w:start w:val="1"/>
    </w:lvl>
  </w:abstractNum>
  <w:abstractNum w:abstractNumId="35">
    <w:nsid w:val="5675FF36"/>
    <w:multiLevelType w:val="hybridMultilevel"/>
    <w:lvl w:ilvl="0">
      <w:lvlJc w:val="left"/>
      <w:lvlText w:val="(%1)"/>
      <w:numFmt w:val="decimal"/>
      <w:start w:val="1"/>
    </w:lvl>
  </w:abstractNum>
  <w:abstractNum w:abstractNumId="36">
    <w:nsid w:val="3DD15094"/>
    <w:multiLevelType w:val="hybridMultilevel"/>
    <w:lvl w:ilvl="0">
      <w:lvlJc w:val="left"/>
      <w:lvlText w:val="(%1)"/>
      <w:numFmt w:val="lowerLetter"/>
      <w:start w:val="4"/>
    </w:lvl>
  </w:abstractNum>
  <w:abstractNum w:abstractNumId="37">
    <w:nsid w:val="3DB012B3"/>
    <w:multiLevelType w:val="hybridMultilevel"/>
    <w:lvl w:ilvl="0">
      <w:lvlJc w:val="left"/>
      <w:lvlText w:val="(%1)"/>
      <w:numFmt w:val="decimal"/>
      <w:start w:val="1"/>
    </w:lvl>
    <w:lvl w:ilvl="1">
      <w:lvlJc w:val="left"/>
      <w:lvlText w:val="(%2)"/>
      <w:numFmt w:val="lowerRoman"/>
      <w:start w:val="1"/>
    </w:lvl>
  </w:abstractNum>
  <w:abstractNum w:abstractNumId="38">
    <w:nsid w:val="2708C9AF"/>
    <w:multiLevelType w:val="hybridMultilevel"/>
    <w:lvl w:ilvl="0">
      <w:lvlJc w:val="left"/>
      <w:lvlText w:val="(%1)"/>
      <w:numFmt w:val="lowerRoman"/>
      <w:start w:val="1"/>
    </w:lvl>
  </w:abstractNum>
  <w:abstractNum w:abstractNumId="39">
    <w:nsid w:val="5B25ACE2"/>
    <w:multiLevelType w:val="hybridMultilevel"/>
    <w:lvl w:ilvl="0">
      <w:lvlJc w:val="left"/>
      <w:lvlText w:val="(%1)"/>
      <w:numFmt w:val="lowerRoman"/>
      <w:start w:val="1"/>
    </w:lvl>
  </w:abstractNum>
  <w:abstractNum w:abstractNumId="40">
    <w:nsid w:val="175DFCF0"/>
    <w:multiLevelType w:val="hybridMultilevel"/>
    <w:lvl w:ilvl="0">
      <w:lvlJc w:val="left"/>
      <w:lvlText w:val="(%1)"/>
      <w:numFmt w:val="lowerRoman"/>
      <w:start w:val="1"/>
    </w:lvl>
  </w:abstractNum>
  <w:abstractNum w:abstractNumId="41">
    <w:nsid w:val="4F97E3E4"/>
    <w:multiLevelType w:val="hybridMultilevel"/>
    <w:lvl w:ilvl="0">
      <w:lvlJc w:val="left"/>
      <w:lvlText w:val="(%1)"/>
      <w:numFmt w:val="lowerRoman"/>
      <w:start w:val="1"/>
    </w:lvl>
  </w:abstractNum>
  <w:abstractNum w:abstractNumId="42">
    <w:nsid w:val="53B0A9E"/>
    <w:multiLevelType w:val="hybridMultilevel"/>
    <w:lvl w:ilvl="0">
      <w:lvlJc w:val="left"/>
      <w:lvlText w:val="(%1)"/>
      <w:numFmt w:val="decimal"/>
      <w:start w:val="1"/>
    </w:lvl>
    <w:lvl w:ilvl="1">
      <w:lvlJc w:val="left"/>
      <w:lvlText w:val="%2."/>
      <w:numFmt w:val="lowerLetter"/>
      <w:start w:val="1"/>
    </w:lvl>
  </w:abstractNum>
  <w:abstractNum w:abstractNumId="43">
    <w:nsid w:val="34FD6B4F"/>
    <w:multiLevelType w:val="hybridMultilevel"/>
    <w:lvl w:ilvl="0">
      <w:lvlJc w:val="left"/>
      <w:lvlText w:val="(%1)"/>
      <w:numFmt w:val="decimal"/>
      <w:start w:val="1"/>
    </w:lvl>
  </w:abstractNum>
  <w:abstractNum w:abstractNumId="44">
    <w:nsid w:val="5915FF32"/>
    <w:multiLevelType w:val="hybridMultilevel"/>
    <w:lvl w:ilvl="0">
      <w:lvlJc w:val="left"/>
      <w:lvlText w:val="(%1)"/>
      <w:numFmt w:val="decimal"/>
      <w:start w:val="1"/>
    </w:lvl>
  </w:abstractNum>
  <w:abstractNum w:abstractNumId="45">
    <w:nsid w:val="56438D15"/>
    <w:multiLevelType w:val="hybridMultilevel"/>
    <w:lvl w:ilvl="0">
      <w:lvlJc w:val="left"/>
      <w:lvlText w:val="(%1)"/>
      <w:numFmt w:val="decimal"/>
      <w:start w:val="1"/>
    </w:lvl>
  </w:abstractNum>
  <w:abstractNum w:abstractNumId="46">
    <w:nsid w:val="519E3149"/>
    <w:multiLevelType w:val="hybridMultilevel"/>
    <w:lvl w:ilvl="0">
      <w:lvlJc w:val="left"/>
      <w:lvlText w:val="(%1)"/>
      <w:numFmt w:val="decimal"/>
      <w:start w:val="1"/>
    </w:lvl>
  </w:abstractNum>
  <w:abstractNum w:abstractNumId="47">
    <w:nsid w:val="2C6E4AFD"/>
    <w:multiLevelType w:val="hybridMultilevel"/>
    <w:lvl w:ilvl="0">
      <w:lvlJc w:val="left"/>
      <w:lvlText w:val="(%1)"/>
      <w:numFmt w:val="decimal"/>
      <w:start w:val="1"/>
    </w:lvl>
  </w:abstractNum>
  <w:abstractNum w:abstractNumId="48">
    <w:nsid w:val="17A1B582"/>
    <w:multiLevelType w:val="hybridMultilevel"/>
    <w:lvl w:ilvl="0">
      <w:lvlJc w:val="left"/>
      <w:lvlText w:val="(%1)"/>
      <w:numFmt w:val="decimal"/>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1)"/>
      <w:numFmt w:val="decimal"/>
      <w:start w:val="1"/>
    </w:lvl>
  </w:abstractNum>
  <w:abstractNum w:abstractNumId="51">
    <w:nsid w:val="5D888A08"/>
    <w:multiLevelType w:val="hybridMultilevel"/>
    <w:lvl w:ilvl="0">
      <w:lvlJc w:val="left"/>
      <w:lvlText w:val="(%1)"/>
      <w:numFmt w:val="decimal"/>
      <w:start w:val="4"/>
    </w:lvl>
  </w:abstractNum>
  <w:abstractNum w:abstractNumId="52">
    <w:nsid w:val="2A082C70"/>
    <w:multiLevelType w:val="hybridMultilevel"/>
    <w:lvl w:ilvl="0">
      <w:lvlJc w:val="left"/>
      <w:lvlText w:val="•"/>
      <w:numFmt w:val="bullet"/>
      <w:start w:val="1"/>
    </w:lvl>
  </w:abstractNum>
  <w:abstractNum w:abstractNumId="53">
    <w:nsid w:val="5EC6AFD4"/>
    <w:multiLevelType w:val="hybridMultilevel"/>
    <w:lvl w:ilvl="0">
      <w:lvlJc w:val="left"/>
      <w:lvlText w:val="•"/>
      <w:numFmt w:val="bullet"/>
      <w:start w:val="1"/>
    </w:lvl>
  </w:abstractNum>
  <w:abstractNum w:abstractNumId="54">
    <w:nsid w:val="19E21BB2"/>
    <w:multiLevelType w:val="hybridMultilevel"/>
    <w:lvl w:ilvl="0">
      <w:lvlJc w:val="left"/>
      <w:lvlText w:val="•"/>
      <w:numFmt w:val="bullet"/>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
      <w:numFmt w:val="bullet"/>
      <w:start w:val="1"/>
    </w:lvl>
  </w:abstractNum>
  <w:abstractNum w:abstractNumId="60">
    <w:nsid w:val="B37E80A"/>
    <w:multiLevelType w:val="hybridMultilevel"/>
    <w:lvl w:ilvl="0">
      <w:lvlJc w:val="left"/>
      <w:lvlText w:val="•"/>
      <w:numFmt w:val="bullet"/>
      <w:start w:val="1"/>
    </w:lvl>
  </w:abstractNum>
  <w:abstractNum w:abstractNumId="61">
    <w:nsid w:val="2157F6BC"/>
    <w:multiLevelType w:val="hybridMultilevel"/>
    <w:lvl w:ilvl="0">
      <w:lvlJc w:val="left"/>
      <w:lvlText w:val="•"/>
      <w:numFmt w:val="bullet"/>
      <w:start w:val="1"/>
    </w:lvl>
  </w:abstractNum>
  <w:abstractNum w:abstractNumId="62">
    <w:nsid w:val="704E1DD5"/>
    <w:multiLevelType w:val="hybridMultilevel"/>
    <w:lvl w:ilvl="0">
      <w:lvlJc w:val="left"/>
      <w:lvlText w:val="•"/>
      <w:numFmt w:val="bullet"/>
      <w:start w:val="1"/>
    </w:lvl>
  </w:abstractNum>
  <w:abstractNum w:abstractNumId="63">
    <w:nsid w:val="57D2F10E"/>
    <w:multiLevelType w:val="hybridMultilevel"/>
    <w:lvl w:ilvl="0">
      <w:lvlJc w:val="left"/>
      <w:lvlText w:val="•"/>
      <w:numFmt w:val="bullet"/>
      <w:start w:val="1"/>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1)"/>
      <w:numFmt w:val="decimal"/>
      <w:start w:val="1"/>
    </w:lvl>
    <w:lvl w:ilvl="1">
      <w:lvlJc w:val="left"/>
      <w:lvlText w:val="(%2)"/>
      <w:numFmt w:val="lowerLetter"/>
      <w:start w:val="1"/>
    </w:lvl>
  </w:abstractNum>
  <w:abstractNum w:abstractNumId="66">
    <w:nsid w:val="2E48F044"/>
    <w:multiLevelType w:val="hybridMultilevel"/>
    <w:lvl w:ilvl="0">
      <w:lvlJc w:val="left"/>
      <w:lvlText w:val="(%1)"/>
      <w:numFmt w:val="decimal"/>
      <w:start w:val="1"/>
    </w:lvl>
  </w:abstractNum>
  <w:abstractNum w:abstractNumId="67">
    <w:nsid w:val="49D0FEAC"/>
    <w:multiLevelType w:val="hybridMultilevel"/>
    <w:lvl w:ilvl="0">
      <w:lvlJc w:val="left"/>
      <w:lvlText w:val="(%1)"/>
      <w:numFmt w:val="decimal"/>
      <w:start w:val="1"/>
    </w:lvl>
  </w:abstractNum>
  <w:abstractNum w:abstractNumId="68">
    <w:nsid w:val="4BEE5A5B"/>
    <w:multiLevelType w:val="hybridMultilevel"/>
    <w:lvl w:ilvl="0">
      <w:lvlJc w:val="left"/>
      <w:lvlText w:val="(%1)"/>
      <w:numFmt w:val="decimal"/>
      <w:start w:val="3"/>
    </w:lvl>
  </w:abstractNum>
  <w:abstractNum w:abstractNumId="69">
    <w:nsid w:val="5551B9F3"/>
    <w:multiLevelType w:val="hybridMultilevel"/>
    <w:lvl w:ilvl="0">
      <w:lvlJc w:val="left"/>
      <w:lvlText w:val="(%1)"/>
      <w:numFmt w:val="decimal"/>
      <w:start w:val="1"/>
    </w:lvl>
  </w:abstractNum>
  <w:abstractNum w:abstractNumId="70">
    <w:nsid w:val="24F6AB8E"/>
    <w:multiLevelType w:val="hybridMultilevel"/>
    <w:lvl w:ilvl="0">
      <w:lvlJc w:val="left"/>
      <w:lvlText w:val="(%1)"/>
      <w:numFmt w:val="decimal"/>
      <w:start w:val="1"/>
    </w:lvl>
  </w:abstractNum>
  <w:abstractNum w:abstractNumId="71">
    <w:nsid w:val="634C574C"/>
    <w:multiLevelType w:val="hybridMultilevel"/>
    <w:lvl w:ilvl="0">
      <w:lvlJc w:val="left"/>
      <w:lvlText w:val="(%1)"/>
      <w:numFmt w:val="decimal"/>
      <w:start w:val="1"/>
    </w:lvl>
  </w:abstractNum>
  <w:abstractNum w:abstractNumId="72">
    <w:nsid w:val="24E99DD7"/>
    <w:multiLevelType w:val="hybridMultilevel"/>
    <w:lvl w:ilvl="0">
      <w:lvlJc w:val="left"/>
      <w:lvlText w:val="%1"/>
      <w:numFmt w:val="upperLetter"/>
      <w:start w:val="1"/>
    </w:lvl>
    <w:lvl w:ilvl="1">
      <w:lvlJc w:val="left"/>
      <w:lvlText w:val="(%2)"/>
      <w:numFmt w:val="decimal"/>
      <w:start w:val="1"/>
    </w:lvl>
  </w:abstractNum>
  <w:abstractNum w:abstractNumId="73">
    <w:nsid w:val="2A31B62D"/>
    <w:multiLevelType w:val="hybridMultilevel"/>
    <w:lvl w:ilvl="0">
      <w:lvlJc w:val="left"/>
      <w:lvlText w:val="(%1)"/>
      <w:numFmt w:val="upperLetter"/>
      <w:start w:val="1"/>
    </w:lvl>
    <w:lvl w:ilvl="1">
      <w:lvlJc w:val="left"/>
      <w:lvlText w:val="%2"/>
      <w:numFmt w:val="decimal"/>
      <w:start w:val="1"/>
    </w:lvl>
  </w:abstractNum>
  <w:abstractNum w:abstractNumId="74">
    <w:nsid w:val="1849C29B"/>
    <w:multiLevelType w:val="hybridMultilevel"/>
    <w:lvl w:ilvl="0">
      <w:lvlJc w:val="left"/>
      <w:lvlText w:val="%1"/>
      <w:numFmt w:val="decimal"/>
      <w:start w:val="1"/>
    </w:lvl>
    <w:lvl w:ilvl="1">
      <w:lvlJc w:val="left"/>
      <w:lvlText w:val="(%2)"/>
      <w:numFmt w:val="decimal"/>
      <w:start w:val="7"/>
    </w:lvl>
  </w:abstractNum>
  <w:abstractNum w:abstractNumId="75">
    <w:nsid w:val="7DFF9D09"/>
    <w:multiLevelType w:val="hybridMultilevel"/>
    <w:lvl w:ilvl="0">
      <w:lvlJc w:val="left"/>
      <w:lvlText w:val="(%1)"/>
      <w:numFmt w:val="decimal"/>
      <w:start w:val="6"/>
    </w:lvl>
    <w:lvl w:ilvl="1">
      <w:lvlJc w:val="left"/>
      <w:lvlText w:val="(%2)"/>
      <w:numFmt w:val="decimal"/>
      <w:start w:val="8"/>
    </w:lvl>
  </w:abstractNum>
  <w:abstractNum w:abstractNumId="76">
    <w:nsid w:val="754342"/>
    <w:multiLevelType w:val="hybridMultilevel"/>
    <w:lvl w:ilvl="0">
      <w:lvlJc w:val="left"/>
      <w:lvlText w:val="(%1)"/>
      <w:numFmt w:val="decimal"/>
      <w:start w:val="6"/>
    </w:lvl>
    <w:lvl w:ilvl="1">
      <w:lvlJc w:val="left"/>
      <w:lvlText w:val="%2"/>
      <w:numFmt w:val="decimal"/>
      <w:start w:val="1"/>
    </w:lvl>
  </w:abstractNum>
  <w:abstractNum w:abstractNumId="77">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8">
    <w:nsid w:val="2A6DE806"/>
    <w:multiLevelType w:val="hybridMultilevel"/>
    <w:lvl w:ilvl="0">
      <w:lvlJc w:val="left"/>
      <w:lvlText w:val="(%1)"/>
      <w:numFmt w:val="decimal"/>
      <w:start w:val="1"/>
    </w:lvl>
  </w:abstractNum>
  <w:abstractNum w:abstractNumId="79">
    <w:nsid w:val="1816F8C4"/>
    <w:multiLevelType w:val="hybridMultilevel"/>
    <w:lvl w:ilvl="0">
      <w:lvlJc w:val="left"/>
      <w:lvlText w:val="(%1)"/>
      <w:numFmt w:val="decimal"/>
      <w:start w:val="1"/>
    </w:lvl>
  </w:abstractNum>
  <w:abstractNum w:abstractNumId="80">
    <w:nsid w:val="37DF2233"/>
    <w:multiLevelType w:val="hybridMultilevel"/>
    <w:lvl w:ilvl="0">
      <w:lvlJc w:val="left"/>
      <w:lvlText w:val="(%1)"/>
      <w:numFmt w:val="decimal"/>
      <w:start w:val="3"/>
    </w:lvl>
  </w:abstractNum>
  <w:abstractNum w:abstractNumId="81">
    <w:nsid w:val="7AB49DAF"/>
    <w:multiLevelType w:val="hybridMultilevel"/>
    <w:lvl w:ilvl="0">
      <w:lvlJc w:val="left"/>
      <w:lvlText w:val="(%1)"/>
      <w:numFmt w:val="decimal"/>
      <w:start w:val="1"/>
    </w:lvl>
    <w:lvl w:ilvl="1">
      <w:lvlJc w:val="left"/>
      <w:lvlText w:val="(%2)"/>
      <w:numFmt w:val="lowerLetter"/>
      <w:start w:val="1"/>
    </w:lvl>
  </w:abstractNum>
  <w:abstractNum w:abstractNumId="82">
    <w:nsid w:val="759F82CD"/>
    <w:multiLevelType w:val="hybridMultilevel"/>
    <w:lvl w:ilvl="0">
      <w:lvlJc w:val="left"/>
      <w:lvlText w:val="(%1)"/>
      <w:numFmt w:val="decimal"/>
      <w:start w:val="1"/>
    </w:lvl>
  </w:abstractNum>
  <w:abstractNum w:abstractNumId="83">
    <w:nsid w:val="61E74EA3"/>
    <w:multiLevelType w:val="hybridMultilevel"/>
    <w:lvl w:ilvl="0">
      <w:lvlJc w:val="left"/>
      <w:lvlText w:val="(%1)"/>
      <w:numFmt w:val="decimal"/>
      <w:start w:val="2"/>
    </w:lvl>
  </w:abstractNum>
  <w:abstractNum w:abstractNumId="84">
    <w:nsid w:val="597B4D84"/>
    <w:multiLevelType w:val="hybridMultilevel"/>
    <w:lvl w:ilvl="0">
      <w:lvlJc w:val="left"/>
      <w:lvlText w:val="(%1)"/>
      <w:numFmt w:val="decimal"/>
      <w:start w:val="1"/>
    </w:lvl>
  </w:abstractNum>
  <w:abstractNum w:abstractNumId="85">
    <w:nsid w:val="F819E7F"/>
    <w:multiLevelType w:val="hybridMultilevel"/>
    <w:lvl w:ilvl="0">
      <w:lvlJc w:val="left"/>
      <w:lvlText w:val="%1"/>
      <w:numFmt w:val="lowerLetter"/>
      <w:start w:val="1"/>
    </w:lvl>
    <w:lvl w:ilvl="1">
      <w:lvlJc w:val="left"/>
      <w:lvlText w:val="(%2)"/>
      <w:numFmt w:val="decimal"/>
      <w:start w:val="1"/>
    </w:lvl>
  </w:abstractNum>
  <w:abstractNum w:abstractNumId="86">
    <w:nsid w:val="57C7D42D"/>
    <w:multiLevelType w:val="hybridMultilevel"/>
    <w:lvl w:ilvl="0">
      <w:lvlJc w:val="left"/>
      <w:lvlText w:val="(%1)"/>
      <w:numFmt w:val="lowerLetter"/>
      <w:start w:val="2"/>
    </w:lvl>
    <w:lvl w:ilvl="1">
      <w:lvlJc w:val="left"/>
      <w:lvlText w:val="(%2)"/>
      <w:numFmt w:val="decimal"/>
      <w:start w:val="2"/>
    </w:lvl>
  </w:abstractNum>
  <w:abstractNum w:abstractNumId="87">
    <w:nsid w:val="312167AD"/>
    <w:multiLevelType w:val="hybridMultilevel"/>
    <w:lvl w:ilvl="0">
      <w:lvlJc w:val="left"/>
      <w:lvlText w:val="(%1)"/>
      <w:numFmt w:val="decimal"/>
      <w:start w:val="1"/>
    </w:lvl>
  </w:abstractNum>
  <w:abstractNum w:abstractNumId="88">
    <w:nsid w:val="631B64D4"/>
    <w:multiLevelType w:val="hybridMultilevel"/>
    <w:lvl w:ilvl="0">
      <w:lvlJc w:val="left"/>
      <w:lvlText w:val="(%1)"/>
      <w:numFmt w:val="decimal"/>
      <w:start w:val="3"/>
    </w:lvl>
    <w:lvl w:ilvl="1">
      <w:lvlJc w:val="left"/>
      <w:lvlText w:val="(%2)"/>
      <w:numFmt w:val="lowerLetter"/>
      <w:start w:val="1"/>
    </w:lvl>
  </w:abstractNum>
  <w:abstractNum w:abstractNumId="89">
    <w:nsid w:val="78B5E776"/>
    <w:multiLevelType w:val="hybridMultilevel"/>
    <w:lvl w:ilvl="0">
      <w:lvlJc w:val="left"/>
      <w:lvlText w:val="(%1)"/>
      <w:numFmt w:val="decimal"/>
      <w:start w:val="1"/>
    </w:lvl>
  </w:abstractNum>
  <w:abstractNum w:abstractNumId="90">
    <w:nsid w:val="75486E47"/>
    <w:multiLevelType w:val="hybridMultilevel"/>
    <w:lvl w:ilvl="0">
      <w:lvlJc w:val="left"/>
      <w:lvlText w:val="(%1)"/>
      <w:numFmt w:val="decimal"/>
      <w:start w:val="2"/>
    </w:lvl>
  </w:abstractNum>
  <w:abstractNum w:abstractNumId="91">
    <w:nsid w:val="6E534CDE"/>
    <w:multiLevelType w:val="hybridMultilevel"/>
    <w:lvl w:ilvl="0">
      <w:lvlJc w:val="left"/>
      <w:lvlText w:val="(%1)"/>
      <w:numFmt w:val="decimal"/>
      <w:start w:val="2"/>
    </w:lvl>
  </w:abstractNum>
  <w:abstractNum w:abstractNumId="92">
    <w:nsid w:val="1A0DD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3">
    <w:nsid w:val="65968C1C"/>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94">
    <w:nsid w:val="46263DE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95">
    <w:nsid w:val="260D8C4A"/>
    <w:multiLevelType w:val="hybridMultilevel"/>
    <w:lvl w:ilvl="0">
      <w:lvlJc w:val="left"/>
      <w:lvlText w:val="(%1)"/>
      <w:numFmt w:val="decimal"/>
      <w:start w:val="13"/>
    </w:lvl>
  </w:abstractNum>
  <w:abstractNum w:abstractNumId="96">
    <w:nsid w:val="73D4D3C4"/>
    <w:multiLevelType w:val="hybridMultilevel"/>
    <w:lvl w:ilvl="0">
      <w:lvlJc w:val="left"/>
      <w:lvlText w:val="(%1)"/>
      <w:numFmt w:val="decimal"/>
      <w:start w:val="1"/>
    </w:lvl>
    <w:lvl w:ilvl="1">
      <w:lvlJc w:val="left"/>
      <w:lvlText w:val="(%2)"/>
      <w:numFmt w:val="lowerLetter"/>
      <w:start w:val="1"/>
    </w:lvl>
  </w:abstractNum>
  <w:abstractNum w:abstractNumId="97">
    <w:nsid w:val="746F2E30"/>
    <w:multiLevelType w:val="hybridMultilevel"/>
    <w:lvl w:ilvl="0">
      <w:lvlJc w:val="left"/>
      <w:lvlText w:val="(%1)"/>
      <w:numFmt w:val="decimal"/>
      <w:start w:val="1"/>
    </w:lvl>
  </w:abstractNum>
  <w:abstractNum w:abstractNumId="98">
    <w:nsid w:val="6FDE8AF6"/>
    <w:multiLevelType w:val="hybridMultilevel"/>
    <w:lvl w:ilvl="0">
      <w:lvlJc w:val="left"/>
      <w:lvlText w:val="(%1)"/>
      <w:numFmt w:val="decimal"/>
      <w:start w:val="1"/>
    </w:lvl>
  </w:abstractNum>
  <w:abstractNum w:abstractNumId="99">
    <w:nsid w:val="3FC32E20"/>
    <w:multiLevelType w:val="hybridMultilevel"/>
    <w:lvl w:ilvl="0">
      <w:lvlJc w:val="left"/>
      <w:lvlText w:val="(%1)"/>
      <w:numFmt w:val="decimal"/>
      <w:start w:val="1"/>
    </w:lvl>
    <w:lvl w:ilvl="1">
      <w:lvlJc w:val="left"/>
      <w:lvlText w:val="(%2)"/>
      <w:numFmt w:val="lowerLetter"/>
      <w:start w:val="1"/>
    </w:lvl>
  </w:abstractNum>
  <w:abstractNum w:abstractNumId="100">
    <w:nsid w:val="49C0E823"/>
    <w:multiLevelType w:val="hybridMultilevel"/>
    <w:lvl w:ilvl="0">
      <w:lvlJc w:val="left"/>
      <w:lvlText w:val="(%1)"/>
      <w:numFmt w:val="decimal"/>
      <w:start w:val="1"/>
    </w:lvl>
    <w:lvl w:ilvl="1">
      <w:lvlJc w:val="left"/>
      <w:lvlText w:val="(%2)"/>
      <w:numFmt w:val="lowerLetter"/>
      <w:start w:val="1"/>
    </w:lvl>
  </w:abstractNum>
  <w:abstractNum w:abstractNumId="101">
    <w:nsid w:val="14D53685"/>
    <w:multiLevelType w:val="hybridMultilevel"/>
    <w:lvl w:ilvl="0">
      <w:lvlJc w:val="left"/>
      <w:lvlText w:val="(%1)"/>
      <w:numFmt w:val="decimal"/>
      <w:start w:val="1"/>
    </w:lvl>
  </w:abstractNum>
  <w:abstractNum w:abstractNumId="102">
    <w:nsid w:val="230F856C"/>
    <w:multiLevelType w:val="hybridMultilevel"/>
    <w:lvl w:ilvl="0">
      <w:lvlJc w:val="left"/>
      <w:lvlText w:val="(%1)"/>
      <w:numFmt w:val="decimal"/>
      <w:start w:val="1"/>
    </w:lvl>
  </w:abstractNum>
  <w:abstractNum w:abstractNumId="103">
    <w:nsid w:val="6EAA85FB"/>
    <w:multiLevelType w:val="hybridMultilevel"/>
    <w:lvl w:ilvl="0">
      <w:lvlJc w:val="left"/>
      <w:lvlText w:val="(%1)"/>
      <w:numFmt w:val="decimal"/>
      <w:start w:val="1"/>
    </w:lvl>
  </w:abstractNum>
  <w:abstractNum w:abstractNumId="104">
    <w:nsid w:val="3F06ECB2"/>
    <w:multiLevelType w:val="hybridMultilevel"/>
    <w:lvl w:ilvl="0">
      <w:lvlJc w:val="left"/>
      <w:lvlText w:val="(%1)"/>
      <w:numFmt w:val="decimal"/>
      <w:start w:val="1"/>
    </w:lvl>
  </w:abstractNum>
  <w:abstractNum w:abstractNumId="105">
    <w:nsid w:val="3B594807"/>
    <w:multiLevelType w:val="hybridMultilevel"/>
    <w:lvl w:ilvl="0">
      <w:lvlJc w:val="left"/>
      <w:lvlText w:val="(%1)"/>
      <w:numFmt w:val="decimal"/>
      <w:start w:val="1"/>
    </w:lvl>
    <w:lvl w:ilvl="1">
      <w:lvlJc w:val="left"/>
      <w:lvlText w:val="(%2)"/>
      <w:numFmt w:val="lowerLetter"/>
      <w:start w:val="1"/>
    </w:lvl>
  </w:abstractNum>
  <w:abstractNum w:abstractNumId="106">
    <w:nsid w:val="6CAA2304"/>
    <w:multiLevelType w:val="hybridMultilevel"/>
    <w:lvl w:ilvl="0">
      <w:lvlJc w:val="left"/>
      <w:lvlText w:val="(%1)"/>
      <w:numFmt w:val="decimal"/>
      <w:start w:val="1"/>
    </w:lvl>
  </w:abstractNum>
  <w:abstractNum w:abstractNumId="107">
    <w:nsid w:val="3F7C2FF4"/>
    <w:multiLevelType w:val="hybridMultilevel"/>
    <w:lvl w:ilvl="0">
      <w:lvlJc w:val="left"/>
      <w:lvlText w:val="(%1)"/>
      <w:numFmt w:val="decimal"/>
      <w:start w:val="1"/>
    </w:lvl>
  </w:abstractNum>
  <w:abstractNum w:abstractNumId="108">
    <w:nsid w:val="25413BEC"/>
    <w:multiLevelType w:val="hybridMultilevel"/>
    <w:lvl w:ilvl="0">
      <w:lvlJc w:val="left"/>
      <w:lvlText w:val="(%1)"/>
      <w:numFmt w:val="decimal"/>
      <w:start w:val="1"/>
    </w:lvl>
  </w:abstractNum>
  <w:abstractNum w:abstractNumId="109">
    <w:nsid w:val="17180B0B"/>
    <w:multiLevelType w:val="hybridMultilevel"/>
    <w:lvl w:ilvl="0">
      <w:lvlJc w:val="left"/>
      <w:lvlText w:val="(%1)"/>
      <w:numFmt w:val="decimal"/>
      <w:start w:val="1"/>
    </w:lvl>
    <w:lvl w:ilvl="1">
      <w:lvlJc w:val="left"/>
      <w:lvlText w:val="(%2)"/>
      <w:numFmt w:val="lowerLetter"/>
      <w:start w:val="2"/>
    </w:lvl>
  </w:abstractNum>
  <w:abstractNum w:abstractNumId="110">
    <w:nsid w:val="579328B9"/>
    <w:multiLevelType w:val="hybridMultilevel"/>
    <w:lvl w:ilvl="0">
      <w:lvlJc w:val="left"/>
      <w:lvlText w:val="%1"/>
      <w:numFmt w:val="decimal"/>
      <w:start w:val="1"/>
    </w:lvl>
    <w:lvl w:ilvl="1">
      <w:lvlJc w:val="left"/>
      <w:lvlText w:val="(%2)"/>
      <w:numFmt w:val="lowerLetter"/>
      <w:start w:val="1"/>
    </w:lvl>
  </w:abstractNum>
  <w:abstractNum w:abstractNumId="111">
    <w:nsid w:val="5D205E20"/>
    <w:multiLevelType w:val="hybridMultilevel"/>
    <w:lvl w:ilvl="0">
      <w:lvlJc w:val="left"/>
      <w:lvlText w:val="%1"/>
      <w:numFmt w:val="decimal"/>
      <w:start w:val="1"/>
    </w:lvl>
    <w:lvl w:ilvl="1">
      <w:lvlJc w:val="left"/>
      <w:lvlText w:val="(%2)"/>
      <w:numFmt w:val="lowerLetter"/>
      <w:start w:val="2"/>
    </w:lvl>
  </w:abstractNum>
  <w:abstractNum w:abstractNumId="112">
    <w:nsid w:val="11CCA8BA"/>
    <w:multiLevelType w:val="hybridMultilevel"/>
    <w:lvl w:ilvl="0">
      <w:lvlJc w:val="left"/>
      <w:lvlText w:val="(%1)"/>
      <w:numFmt w:val="decimal"/>
      <w:start w:val="3"/>
    </w:lvl>
    <w:lvl w:ilvl="1">
      <w:lvlJc w:val="left"/>
      <w:lvlText w:val="(%2)"/>
      <w:numFmt w:val="lowerLetter"/>
      <w:start w:val="1"/>
    </w:lvl>
  </w:abstractNum>
  <w:abstractNum w:abstractNumId="113">
    <w:nsid w:val="4D32AB86"/>
    <w:multiLevelType w:val="hybridMultilevel"/>
    <w:lvl w:ilvl="0">
      <w:lvlJc w:val="left"/>
      <w:lvlText w:val="(%1)"/>
      <w:numFmt w:val="decimal"/>
      <w:start w:val="1"/>
    </w:lvl>
    <w:lvl w:ilvl="1">
      <w:lvlJc w:val="left"/>
      <w:lvlText w:val="(%2)"/>
      <w:numFmt w:val="lowerLetter"/>
      <w:start w:val="1"/>
    </w:lvl>
  </w:abstractNum>
  <w:abstractNum w:abstractNumId="114">
    <w:nsid w:val="3F07ACC3"/>
    <w:multiLevelType w:val="hybridMultilevel"/>
    <w:lvl w:ilvl="0">
      <w:lvlJc w:val="left"/>
      <w:lvlText w:val="(%1)"/>
      <w:numFmt w:val="decimal"/>
      <w:start w:val="3"/>
    </w:lvl>
  </w:abstractNum>
  <w:abstractNum w:abstractNumId="115">
    <w:nsid w:val="6B47F63E"/>
    <w:multiLevelType w:val="hybridMultilevel"/>
    <w:lvl w:ilvl="0">
      <w:lvlJc w:val="left"/>
      <w:lvlText w:val="(%1)"/>
      <w:numFmt w:val="decimal"/>
      <w:start w:val="1"/>
    </w:lvl>
  </w:abstractNum>
  <w:abstractNum w:abstractNumId="116">
    <w:nsid w:val="5CB44A05"/>
    <w:multiLevelType w:val="hybridMultilevel"/>
    <w:lvl w:ilvl="0">
      <w:lvlJc w:val="left"/>
      <w:lvlText w:val="(%1)"/>
      <w:numFmt w:val="decimal"/>
      <w:start w:val="1"/>
    </w:lvl>
  </w:abstractNum>
  <w:abstractNum w:abstractNumId="117">
    <w:nsid w:val="16CF80F1"/>
    <w:multiLevelType w:val="hybridMultilevel"/>
    <w:lvl w:ilvl="0">
      <w:lvlJc w:val="left"/>
      <w:lvlText w:val="(%1)"/>
      <w:numFmt w:val="decimal"/>
      <w:start w:val="1"/>
    </w:lvl>
    <w:lvl w:ilvl="1">
      <w:lvlJc w:val="left"/>
      <w:lvlText w:val="(%2)"/>
      <w:numFmt w:val="lowerLetter"/>
      <w:start w:val="1"/>
    </w:lvl>
  </w:abstractNum>
  <w:abstractNum w:abstractNumId="118">
    <w:nsid w:val="1C695DEC"/>
    <w:multiLevelType w:val="hybridMultilevel"/>
    <w:lvl w:ilvl="0">
      <w:lvlJc w:val="left"/>
      <w:lvlText w:val="(%1)"/>
      <w:numFmt w:val="decimal"/>
      <w:start w:val="4"/>
    </w:lvl>
    <w:lvl w:ilvl="1">
      <w:lvlJc w:val="left"/>
      <w:lvlText w:val="(%2)"/>
      <w:numFmt w:val="lowerLetter"/>
      <w:start w:val="1"/>
    </w:lvl>
  </w:abstractNum>
  <w:abstractNum w:abstractNumId="119">
    <w:nsid w:val="3FCFAED9"/>
    <w:multiLevelType w:val="hybridMultilevel"/>
    <w:lvl w:ilvl="0">
      <w:lvlJc w:val="left"/>
      <w:lvlText w:val="(%1)"/>
      <w:numFmt w:val="decimal"/>
      <w:start w:val="12"/>
    </w:lvl>
  </w:abstractNum>
  <w:abstractNum w:abstractNumId="120">
    <w:nsid w:val="F856867"/>
    <w:multiLevelType w:val="hybridMultilevel"/>
    <w:lvl w:ilvl="0">
      <w:lvlJc w:val="left"/>
      <w:lvlText w:val="(%1)"/>
      <w:numFmt w:val="decimal"/>
      <w:start w:val="1"/>
    </w:lvl>
  </w:abstractNum>
  <w:abstractNum w:abstractNumId="121">
    <w:nsid w:val="11B1CC33"/>
    <w:multiLevelType w:val="hybridMultilevel"/>
    <w:lvl w:ilvl="0">
      <w:lvlJc w:val="left"/>
      <w:lvlText w:val="(%1)"/>
      <w:numFmt w:val="decimal"/>
      <w:start w:val="1"/>
    </w:lvl>
  </w:abstractNum>
  <w:abstractNum w:abstractNumId="122">
    <w:nsid w:val="2E22FBB7"/>
    <w:multiLevelType w:val="hybridMultilevel"/>
    <w:lvl w:ilvl="0">
      <w:lvlJc w:val="left"/>
      <w:lvlText w:val="(%1)"/>
      <w:numFmt w:val="decimal"/>
      <w:start w:val="1"/>
    </w:lvl>
  </w:abstractNum>
  <w:abstractNum w:abstractNumId="123">
    <w:nsid w:val="29934699"/>
    <w:multiLevelType w:val="hybridMultilevel"/>
    <w:lvl w:ilvl="0">
      <w:lvlJc w:val="left"/>
      <w:lvlText w:val="(%1)"/>
      <w:numFmt w:val="decimal"/>
      <w:start w:val="2"/>
    </w:lvl>
  </w:abstractNum>
  <w:abstractNum w:abstractNumId="124">
    <w:nsid w:val="77485850"/>
    <w:multiLevelType w:val="hybridMultilevel"/>
    <w:lvl w:ilvl="0">
      <w:lvlJc w:val="left"/>
      <w:lvlText w:val="%1"/>
      <w:numFmt w:val="lowerLetter"/>
      <w:start w:val="1"/>
    </w:lvl>
    <w:lvl w:ilvl="1">
      <w:lvlJc w:val="left"/>
      <w:lvlText w:val="(%2)"/>
      <w:numFmt w:val="decimal"/>
      <w:start w:val="1"/>
    </w:lvl>
  </w:abstractNum>
  <w:abstractNum w:abstractNumId="125">
    <w:nsid w:val="744939A3"/>
    <w:multiLevelType w:val="hybridMultilevel"/>
    <w:lvl w:ilvl="0">
      <w:lvlJc w:val="left"/>
      <w:lvlText w:val="(%1)"/>
      <w:numFmt w:val="lowerLetter"/>
      <w:start w:val="1"/>
    </w:lvl>
    <w:lvl w:ilvl="1">
      <w:lvlJc w:val="left"/>
      <w:lvlText w:val="(%2)"/>
      <w:numFmt w:val="decimal"/>
      <w:start w:val="3"/>
    </w:lvl>
  </w:abstractNum>
  <w:abstractNum w:abstractNumId="126">
    <w:nsid w:val="4FA0D2E3"/>
    <w:multiLevelType w:val="hybridMultilevel"/>
    <w:lvl w:ilvl="0">
      <w:lvlJc w:val="left"/>
      <w:lvlText w:val="(%1)"/>
      <w:numFmt w:val="decimal"/>
      <w:start w:val="7"/>
    </w:lvl>
  </w:abstractNum>
  <w:abstractNum w:abstractNumId="127">
    <w:nsid w:val="6B1D2C14"/>
    <w:multiLevelType w:val="hybridMultilevel"/>
    <w:lvl w:ilvl="0">
      <w:lvlJc w:val="left"/>
      <w:lvlText w:val="(%1)"/>
      <w:numFmt w:val="decimal"/>
      <w:start w:val="1"/>
    </w:lvl>
  </w:abstractNum>
  <w:abstractNum w:abstractNumId="128">
    <w:nsid w:val="68B867D3"/>
    <w:multiLevelType w:val="hybridMultilevel"/>
    <w:lvl w:ilvl="0">
      <w:lvlJc w:val="left"/>
      <w:lvlText w:val="(%1)"/>
      <w:numFmt w:val="decimal"/>
      <w:start w:val="9"/>
    </w:lvl>
  </w:abstractNum>
  <w:abstractNum w:abstractNumId="129">
    <w:nsid w:val="3F7F5DD9"/>
    <w:multiLevelType w:val="hybridMultilevel"/>
    <w:lvl w:ilvl="0">
      <w:lvlJc w:val="left"/>
      <w:lvlText w:val="(%1)"/>
      <w:numFmt w:val="decimal"/>
      <w:start w:val="1"/>
    </w:lvl>
  </w:abstractNum>
  <w:abstractNum w:abstractNumId="130">
    <w:nsid w:val="2AE05A34"/>
    <w:multiLevelType w:val="hybridMultilevel"/>
    <w:lvl w:ilvl="0">
      <w:lvlJc w:val="left"/>
      <w:lvlText w:val="%1"/>
      <w:numFmt w:val="lowerLetter"/>
      <w:start w:val="1"/>
    </w:lvl>
    <w:lvl w:ilvl="1">
      <w:lvlJc w:val="left"/>
      <w:lvlText w:val="(%2)"/>
      <w:numFmt w:val="decimal"/>
      <w:start w:val="6"/>
    </w:lvl>
  </w:abstractNum>
  <w:abstractNum w:abstractNumId="131">
    <w:nsid w:val="32794FF7"/>
    <w:multiLevelType w:val="hybridMultilevel"/>
    <w:lvl w:ilvl="0">
      <w:lvlJc w:val="left"/>
      <w:lvlText w:val="(%1)"/>
      <w:numFmt w:val="lowerLetter"/>
      <w:start w:val="1"/>
    </w:lvl>
    <w:lvl w:ilvl="1">
      <w:lvlJc w:val="left"/>
      <w:lvlText w:val="(%2)"/>
      <w:numFmt w:val="decimal"/>
      <w:start w:val="10"/>
    </w:lvl>
  </w:abstractNum>
  <w:abstractNum w:abstractNumId="132">
    <w:nsid w:val="5454945E"/>
    <w:multiLevelType w:val="hybridMultilevel"/>
    <w:lvl w:ilvl="0">
      <w:lvlJc w:val="left"/>
      <w:lvlText w:val="(%1)"/>
      <w:numFmt w:val="decimal"/>
      <w:start w:val="1"/>
    </w:lvl>
  </w:abstractNum>
  <w:abstractNum w:abstractNumId="133">
    <w:nsid w:val="4DEFDFA0"/>
    <w:multiLevelType w:val="hybridMultilevel"/>
    <w:lvl w:ilvl="0">
      <w:lvlJc w:val="left"/>
      <w:lvlText w:val="(%1)"/>
      <w:numFmt w:val="decimal"/>
      <w:start w:val="1"/>
    </w:lvl>
    <w:lvl w:ilvl="1">
      <w:lvlJc w:val="left"/>
      <w:lvlText w:val="(%2)"/>
      <w:numFmt w:val="lowerLetter"/>
      <w:start w:val="1"/>
    </w:lvl>
  </w:abstractNum>
  <w:abstractNum w:abstractNumId="134">
    <w:nsid w:val="2123D5F2"/>
    <w:multiLevelType w:val="hybridMultilevel"/>
    <w:lvl w:ilvl="0">
      <w:lvlJc w:val="left"/>
      <w:lvlText w:val="(%1)"/>
      <w:numFmt w:val="decimal"/>
      <w:start w:val="2"/>
    </w:lvl>
  </w:abstractNum>
  <w:abstractNum w:abstractNumId="135">
    <w:nsid w:val="135B8110"/>
    <w:multiLevelType w:val="hybridMultilevel"/>
    <w:lvl w:ilvl="0">
      <w:lvlJc w:val="left"/>
      <w:lvlText w:val="(%1)"/>
      <w:numFmt w:val="decimal"/>
      <w:start w:val="1"/>
    </w:lvl>
  </w:abstractNum>
  <w:abstractNum w:abstractNumId="136">
    <w:nsid w:val="94927A8"/>
    <w:multiLevelType w:val="hybridMultilevel"/>
    <w:lvl w:ilvl="0">
      <w:lvlJc w:val="left"/>
      <w:lvlText w:val="(%1)"/>
      <w:numFmt w:val="decimal"/>
      <w:start w:val="1"/>
    </w:lvl>
  </w:abstractNum>
  <w:abstractNum w:abstractNumId="137">
    <w:nsid w:val="DCDF8F6"/>
    <w:multiLevelType w:val="hybridMultilevel"/>
    <w:lvl w:ilvl="0">
      <w:lvlJc w:val="left"/>
      <w:lvlText w:val="(%1)"/>
      <w:numFmt w:val="decimal"/>
      <w:start w:val="1"/>
    </w:lvl>
  </w:abstractNum>
  <w:abstractNum w:abstractNumId="138">
    <w:nsid w:val="52D7B105"/>
    <w:multiLevelType w:val="hybridMultilevel"/>
    <w:lvl w:ilvl="0">
      <w:lvlJc w:val="left"/>
      <w:lvlText w:val="(%1)"/>
      <w:numFmt w:val="decimal"/>
      <w:start w:val="1"/>
    </w:lvl>
  </w:abstractNum>
  <w:abstractNum w:abstractNumId="139">
    <w:nsid w:val="2E8A6394"/>
    <w:multiLevelType w:val="hybridMultilevel"/>
    <w:lvl w:ilvl="0">
      <w:lvlJc w:val="left"/>
      <w:lvlText w:val="(%1)"/>
      <w:numFmt w:val="decimal"/>
      <w:start w:val="1"/>
    </w:lvl>
  </w:abstractNum>
  <w:abstractNum w:abstractNumId="140">
    <w:nsid w:val="24E60401"/>
    <w:multiLevelType w:val="hybridMultilevel"/>
    <w:lvl w:ilvl="0">
      <w:lvlJc w:val="left"/>
      <w:lvlText w:val="(%1)"/>
      <w:numFmt w:val="decimal"/>
      <w:start w:val="1"/>
    </w:lvl>
  </w:abstractNum>
  <w:abstractNum w:abstractNumId="141">
    <w:nsid w:val="2A6AD9BE"/>
    <w:multiLevelType w:val="hybridMultilevel"/>
    <w:lvl w:ilvl="0">
      <w:lvlJc w:val="left"/>
      <w:lvlText w:val="(%1)"/>
      <w:numFmt w:val="decimal"/>
      <w:start w:val="1"/>
    </w:lvl>
    <w:lvl w:ilvl="1">
      <w:lvlJc w:val="left"/>
      <w:lvlText w:val="(%2)"/>
      <w:numFmt w:val="lowerLetter"/>
      <w:start w:val="1"/>
    </w:lvl>
  </w:abstractNum>
  <w:abstractNum w:abstractNumId="142">
    <w:nsid w:val="BAAC1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3">
    <w:nsid w:val="36B2ACB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44">
    <w:nsid w:val="779D8544"/>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45">
    <w:nsid w:val="4AB26E78"/>
    <w:multiLevelType w:val="hybridMultilevel"/>
    <w:lvl w:ilvl="0">
      <w:lvlJc w:val="left"/>
      <w:lvlText w:val="(%1)"/>
      <w:numFmt w:val="decimal"/>
      <w:start w:val="1"/>
    </w:lvl>
  </w:abstractNum>
  <w:abstractNum w:abstractNumId="146">
    <w:nsid w:val="21FAA2FA"/>
    <w:multiLevelType w:val="hybridMultilevel"/>
    <w:lvl w:ilvl="0">
      <w:lvlJc w:val="left"/>
      <w:lvlText w:val="(%1)"/>
      <w:numFmt w:val="decimal"/>
      <w:start w:val="1"/>
    </w:lvl>
  </w:abstractNum>
  <w:abstractNum w:abstractNumId="147">
    <w:nsid w:val="5451CF49"/>
    <w:multiLevelType w:val="hybridMultilevel"/>
    <w:lvl w:ilvl="0">
      <w:lvlJc w:val="left"/>
      <w:lvlText w:val="(%1)"/>
      <w:numFmt w:val="decimal"/>
      <w:start w:val="1"/>
    </w:lvl>
  </w:abstractNum>
  <w:abstractNum w:abstractNumId="148">
    <w:nsid w:val="6181EF69"/>
    <w:multiLevelType w:val="hybridMultilevel"/>
    <w:lvl w:ilvl="0">
      <w:lvlJc w:val="left"/>
      <w:lvlText w:val="(%1)"/>
      <w:numFmt w:val="decimal"/>
      <w:start w:val="3"/>
    </w:lvl>
  </w:abstractNum>
  <w:abstractNum w:abstractNumId="149">
    <w:nsid w:val="3E6400E6"/>
    <w:multiLevelType w:val="hybridMultilevel"/>
    <w:lvl w:ilvl="0">
      <w:lvlJc w:val="left"/>
      <w:lvlText w:val="(%1)"/>
      <w:numFmt w:val="decimal"/>
      <w:start w:val="1"/>
    </w:lvl>
    <w:lvl w:ilvl="1">
      <w:lvlJc w:val="left"/>
      <w:lvlText w:val="(%2)"/>
      <w:numFmt w:val="lowerLetter"/>
      <w:start w:val="1"/>
    </w:lvl>
  </w:abstractNum>
  <w:abstractNum w:abstractNumId="150">
    <w:nsid w:val="14217E23"/>
    <w:multiLevelType w:val="hybridMultilevel"/>
    <w:lvl w:ilvl="0">
      <w:lvlJc w:val="left"/>
      <w:lvlText w:val="(%1)"/>
      <w:numFmt w:val="decimal"/>
      <w:start w:val="4"/>
    </w:lvl>
  </w:abstractNum>
  <w:abstractNum w:abstractNumId="151">
    <w:nsid w:val="710757D0"/>
    <w:multiLevelType w:val="hybridMultilevel"/>
    <w:lvl w:ilvl="0">
      <w:lvlJc w:val="left"/>
      <w:lvlText w:val="(%1)"/>
      <w:numFmt w:val="decimal"/>
      <w:start w:val="1"/>
    </w:lvl>
  </w:abstractNum>
  <w:abstractNum w:abstractNumId="152">
    <w:nsid w:val="5015CD1A"/>
    <w:multiLevelType w:val="hybridMultilevel"/>
    <w:lvl w:ilvl="0">
      <w:lvlJc w:val="left"/>
      <w:lvlText w:val="(%1)"/>
      <w:numFmt w:val="decimal"/>
      <w:start w:val="1"/>
    </w:lvl>
  </w:abstractNum>
  <w:abstractNum w:abstractNumId="153">
    <w:nsid w:val="424479DA"/>
    <w:multiLevelType w:val="hybridMultilevel"/>
    <w:lvl w:ilvl="0">
      <w:lvlJc w:val="left"/>
      <w:lvlText w:val="(%1)"/>
      <w:numFmt w:val="lowerLetter"/>
      <w:start w:val="1"/>
    </w:lvl>
  </w:abstractNum>
  <w:abstractNum w:abstractNumId="154">
    <w:nsid w:val="1A9A9E69"/>
    <w:multiLevelType w:val="hybridMultilevel"/>
    <w:lvl w:ilvl="0">
      <w:lvlJc w:val="left"/>
      <w:lvlText w:val="(%1)"/>
      <w:numFmt w:val="decimal"/>
      <w:start w:val="1"/>
    </w:lvl>
  </w:abstractNum>
  <w:abstractNum w:abstractNumId="155">
    <w:nsid w:val="475E256A"/>
    <w:multiLevelType w:val="hybridMultilevel"/>
    <w:lvl w:ilvl="0">
      <w:lvlJc w:val="left"/>
      <w:lvlText w:val="(%1)"/>
      <w:numFmt w:val="decimal"/>
      <w:start w:val="1"/>
    </w:lvl>
  </w:abstractNum>
  <w:abstractNum w:abstractNumId="156">
    <w:nsid w:val="368DB37E"/>
    <w:multiLevelType w:val="hybridMultilevel"/>
    <w:lvl w:ilvl="0">
      <w:lvlJc w:val="left"/>
      <w:lvlText w:val="(%1)"/>
      <w:numFmt w:val="decimal"/>
      <w:start w:val="1"/>
    </w:lvl>
  </w:abstractNum>
  <w:abstractNum w:abstractNumId="157">
    <w:nsid w:val="6A3B714C"/>
    <w:multiLevelType w:val="hybridMultilevel"/>
    <w:lvl w:ilvl="0">
      <w:lvlJc w:val="left"/>
      <w:lvlText w:val="(%1)"/>
      <w:numFmt w:val="decimal"/>
      <w:start w:val="2"/>
    </w:lvl>
  </w:abstractNum>
  <w:abstractNum w:abstractNumId="158">
    <w:nsid w:val="327B517E"/>
    <w:multiLevelType w:val="hybridMultilevel"/>
    <w:lvl w:ilvl="0">
      <w:lvlJc w:val="left"/>
      <w:lvlText w:val="(%1)"/>
      <w:numFmt w:val="decimal"/>
      <w:start w:val="2"/>
    </w:lvl>
  </w:abstractNum>
  <w:abstractNum w:abstractNumId="159">
    <w:nsid w:val="1F461B51"/>
    <w:multiLevelType w:val="hybridMultilevel"/>
    <w:lvl w:ilvl="0">
      <w:lvlJc w:val="left"/>
      <w:lvlText w:val="(%1)"/>
      <w:numFmt w:val="decimal"/>
      <w:start w:val="1"/>
    </w:lvl>
  </w:abstractNum>
  <w:abstractNum w:abstractNumId="160">
    <w:nsid w:val="29BACF25"/>
    <w:multiLevelType w:val="hybridMultilevel"/>
    <w:lvl w:ilvl="0">
      <w:lvlJc w:val="left"/>
      <w:lvlText w:val="(%1)"/>
      <w:numFmt w:val="decimal"/>
      <w:start w:val="6"/>
    </w:lvl>
  </w:abstractNum>
  <w:abstractNum w:abstractNumId="161">
    <w:nsid w:val="5D5BABB3"/>
    <w:multiLevelType w:val="hybridMultilevel"/>
    <w:lvl w:ilvl="0">
      <w:lvlJc w:val="left"/>
      <w:lvlText w:val="(%1)"/>
      <w:numFmt w:val="decimal"/>
      <w:start w:val="1"/>
    </w:lvl>
  </w:abstractNum>
  <w:abstractNum w:abstractNumId="162">
    <w:nsid w:val="51BF6B48"/>
    <w:multiLevelType w:val="hybridMultilevel"/>
    <w:lvl w:ilvl="0">
      <w:lvlJc w:val="left"/>
      <w:lvlText w:val="(%1)"/>
      <w:numFmt w:val="decimal"/>
      <w:start w:val="1"/>
    </w:lvl>
  </w:abstractNum>
  <w:abstractNum w:abstractNumId="163">
    <w:nsid w:val="7E0F6384"/>
    <w:multiLevelType w:val="hybridMultilevel"/>
    <w:lvl w:ilvl="0">
      <w:lvlJc w:val="left"/>
      <w:lvlText w:val="(%1)"/>
      <w:numFmt w:val="decimal"/>
      <w:start w:val="1"/>
    </w:lvl>
  </w:abstractNum>
  <w:abstractNum w:abstractNumId="164">
    <w:nsid w:val="2B4B8B53"/>
    <w:multiLevelType w:val="hybridMultilevel"/>
    <w:lvl w:ilvl="0">
      <w:lvlJc w:val="left"/>
      <w:lvlText w:val="(%1)"/>
      <w:numFmt w:val="decimal"/>
      <w:start w:val="1"/>
    </w:lvl>
  </w:abstractNum>
  <w:abstractNum w:abstractNumId="165">
    <w:nsid w:val="72E3413A"/>
    <w:multiLevelType w:val="hybridMultilevel"/>
    <w:lvl w:ilvl="0">
      <w:lvlJc w:val="left"/>
      <w:lvlText w:val="(%1)"/>
      <w:numFmt w:val="decimal"/>
      <w:start w:val="1"/>
    </w:lvl>
  </w:abstractNum>
  <w:abstractNum w:abstractNumId="166">
    <w:nsid w:val="116AE494"/>
    <w:multiLevelType w:val="hybridMultilevel"/>
    <w:lvl w:ilvl="0">
      <w:lvlJc w:val="left"/>
      <w:lvlText w:val="(%1)"/>
      <w:numFmt w:val="decimal"/>
      <w:start w:val="1"/>
    </w:lvl>
  </w:abstractNum>
  <w:abstractNum w:abstractNumId="167">
    <w:nsid w:val="3494B2FB"/>
    <w:multiLevelType w:val="hybridMultilevel"/>
    <w:lvl w:ilvl="0">
      <w:lvlJc w:val="left"/>
      <w:lvlText w:val="(%1)"/>
      <w:numFmt w:val="decimal"/>
      <w:start w:val="1"/>
    </w:lvl>
    <w:lvl w:ilvl="1">
      <w:lvlJc w:val="left"/>
      <w:lvlText w:val="(%2)"/>
      <w:numFmt w:val="lowerLetter"/>
      <w:start w:val="1"/>
    </w:lvl>
  </w:abstractNum>
  <w:abstractNum w:abstractNumId="168">
    <w:nsid w:val="B13A31"/>
    <w:multiLevelType w:val="hybridMultilevel"/>
    <w:lvl w:ilvl="0">
      <w:lvlJc w:val="left"/>
      <w:lvlText w:val="(%1)"/>
      <w:numFmt w:val="decimal"/>
      <w:start w:val="1"/>
    </w:lvl>
  </w:abstractNum>
  <w:abstractNum w:abstractNumId="169">
    <w:nsid w:val="64429599"/>
    <w:multiLevelType w:val="hybridMultilevel"/>
    <w:lvl w:ilvl="0">
      <w:lvlJc w:val="left"/>
      <w:lvlText w:val="(%1)"/>
      <w:numFmt w:val="decimal"/>
      <w:start w:val="1"/>
    </w:lvl>
  </w:abstractNum>
  <w:abstractNum w:abstractNumId="170">
    <w:nsid w:val="631F1690"/>
    <w:multiLevelType w:val="hybridMultilevel"/>
    <w:lvl w:ilvl="0">
      <w:lvlJc w:val="left"/>
      <w:lvlText w:val="(%1)"/>
      <w:numFmt w:val="decimal"/>
      <w:start w:val="1"/>
    </w:lvl>
  </w:abstractNum>
  <w:abstractNum w:abstractNumId="171">
    <w:nsid w:val="25973E32"/>
    <w:multiLevelType w:val="hybridMultilevel"/>
    <w:lvl w:ilvl="0">
      <w:lvlJc w:val="left"/>
      <w:lvlText w:val="(%1)"/>
      <w:numFmt w:val="decimal"/>
      <w:start w:val="1"/>
    </w:lvl>
  </w:abstractNum>
  <w:abstractNum w:abstractNumId="172">
    <w:nsid w:val="EAD6F57"/>
    <w:multiLevelType w:val="hybridMultilevel"/>
    <w:lvl w:ilvl="0">
      <w:lvlJc w:val="left"/>
      <w:lvlText w:val="(%1)"/>
      <w:numFmt w:val="decimal"/>
      <w:start w:val="3"/>
    </w:lvl>
  </w:abstractNum>
  <w:abstractNum w:abstractNumId="173">
    <w:nsid w:val="6EC9D844"/>
    <w:multiLevelType w:val="hybridMultilevel"/>
    <w:lvl w:ilvl="0">
      <w:lvlJc w:val="left"/>
      <w:lvlText w:val="%1"/>
      <w:numFmt w:val="lowerRoman"/>
      <w:start w:val="1"/>
    </w:lvl>
    <w:lvl w:ilvl="1">
      <w:lvlJc w:val="left"/>
      <w:lvlText w:val="(%2)"/>
      <w:numFmt w:val="decimal"/>
      <w:start w:val="1"/>
    </w:lvl>
  </w:abstractNum>
  <w:abstractNum w:abstractNumId="174">
    <w:nsid w:val="5C49EAEE"/>
    <w:multiLevelType w:val="hybridMultilevel"/>
    <w:lvl w:ilvl="0">
      <w:lvlJc w:val="left"/>
      <w:lvlText w:val="(%1)"/>
      <w:numFmt w:val="lowerRoman"/>
      <w:start w:val="2"/>
    </w:lvl>
    <w:lvl w:ilvl="1">
      <w:lvlJc w:val="left"/>
      <w:lvlText w:val="(%2)"/>
      <w:numFmt w:val="decimal"/>
      <w:start w:val="4"/>
    </w:lvl>
  </w:abstractNum>
  <w:abstractNum w:abstractNumId="175">
    <w:nsid w:val="64AF49B"/>
    <w:multiLevelType w:val="hybridMultilevel"/>
    <w:lvl w:ilvl="0">
      <w:lvlJc w:val="left"/>
      <w:lvlText w:val="(%1)"/>
      <w:numFmt w:val="decimal"/>
      <w:start w:val="1"/>
    </w:lvl>
  </w:abstractNum>
  <w:abstractNum w:abstractNumId="176">
    <w:nsid w:val="397C46BC"/>
    <w:multiLevelType w:val="hybridMultilevel"/>
    <w:lvl w:ilvl="0">
      <w:lvlJc w:val="left"/>
      <w:lvlText w:val="%1"/>
      <w:numFmt w:val="lowerLetter"/>
      <w:start w:val="1"/>
    </w:lvl>
    <w:lvl w:ilvl="1">
      <w:lvlJc w:val="left"/>
      <w:lvlText w:val="(%2)"/>
      <w:numFmt w:val="decimal"/>
      <w:start w:val="2"/>
    </w:lvl>
  </w:abstractNum>
  <w:abstractNum w:abstractNumId="177">
    <w:nsid w:val="7E448DE9"/>
    <w:multiLevelType w:val="hybridMultilevel"/>
    <w:lvl w:ilvl="0">
      <w:lvlJc w:val="left"/>
      <w:lvlText w:val="(%1)"/>
      <w:numFmt w:val="lowerLetter"/>
      <w:start w:val="1"/>
    </w:lvl>
    <w:lvl w:ilvl="1">
      <w:lvlJc w:val="left"/>
      <w:lvlText w:val="(%2)"/>
      <w:numFmt w:val="decimal"/>
      <w:start w:val="3"/>
    </w:lvl>
  </w:abstractNum>
  <w:abstractNum w:abstractNumId="178">
    <w:nsid w:val="5A9CC3E5"/>
    <w:multiLevelType w:val="hybridMultilevel"/>
    <w:lvl w:ilvl="0">
      <w:lvlJc w:val="left"/>
      <w:lvlText w:val="(%1)"/>
      <w:numFmt w:val="decimal"/>
      <w:start w:val="1"/>
    </w:lvl>
    <w:lvl w:ilvl="1">
      <w:lvlJc w:val="left"/>
      <w:lvlText w:val="(%2)"/>
      <w:numFmt w:val="lowerLetter"/>
      <w:start w:val="1"/>
    </w:lvl>
  </w:abstractNum>
  <w:abstractNum w:abstractNumId="179">
    <w:nsid w:val="1AFE3625"/>
    <w:multiLevelType w:val="hybridMultilevel"/>
    <w:lvl w:ilvl="0">
      <w:lvlJc w:val="left"/>
      <w:lvlText w:val="(%1)"/>
      <w:numFmt w:val="decimal"/>
      <w:start w:val="6"/>
    </w:lvl>
  </w:abstractNum>
  <w:abstractNum w:abstractNumId="180">
    <w:nsid w:val="3CA88ECF"/>
    <w:multiLevelType w:val="hybridMultilevel"/>
    <w:lvl w:ilvl="0">
      <w:lvlJc w:val="left"/>
      <w:lvlText w:val="(%1)"/>
      <w:numFmt w:val="decimal"/>
      <w:start w:val="1"/>
    </w:lvl>
    <w:lvl w:ilvl="1">
      <w:lvlJc w:val="left"/>
      <w:lvlText w:val="(%2)"/>
      <w:numFmt w:val="lowerLetter"/>
      <w:start w:val="1"/>
    </w:lvl>
  </w:abstractNum>
  <w:abstractNum w:abstractNumId="181">
    <w:nsid w:val="6EBE4208"/>
    <w:multiLevelType w:val="hybridMultilevel"/>
    <w:lvl w:ilvl="0">
      <w:lvlJc w:val="left"/>
      <w:lvlText w:val="%1"/>
      <w:numFmt w:val="decimal"/>
      <w:start w:val="1"/>
    </w:lvl>
    <w:lvl w:ilvl="1">
      <w:lvlJc w:val="left"/>
      <w:lvlText w:val="(%2)"/>
      <w:numFmt w:val="lowerLetter"/>
      <w:start w:val="2"/>
    </w:lvl>
  </w:abstractNum>
  <w:abstractNum w:abstractNumId="182">
    <w:nsid w:val="C058DF5"/>
    <w:multiLevelType w:val="hybridMultilevel"/>
    <w:lvl w:ilvl="0">
      <w:lvlJc w:val="left"/>
      <w:lvlText w:val="(%1)"/>
      <w:numFmt w:val="decimal"/>
      <w:start w:val="3"/>
    </w:lvl>
    <w:lvl w:ilvl="1">
      <w:lvlJc w:val="left"/>
      <w:lvlText w:val="%2"/>
      <w:numFmt w:val="lowerLetter"/>
      <w:start w:val="1"/>
    </w:lvl>
  </w:abstractNum>
  <w:abstractNum w:abstractNumId="183">
    <w:nsid w:val="CBE5BE9"/>
    <w:multiLevelType w:val="hybridMultilevel"/>
    <w:lvl w:ilvl="0">
      <w:lvlJc w:val="left"/>
      <w:lvlText w:val="(%1)"/>
      <w:numFmt w:val="decimal"/>
      <w:start w:val="13"/>
    </w:lvl>
    <w:lvl w:ilvl="1">
      <w:lvlJc w:val="left"/>
      <w:lvlText w:val="(%2)"/>
      <w:numFmt w:val="lowerLetter"/>
      <w:start w:val="1"/>
    </w:lvl>
  </w:abstractNum>
  <w:abstractNum w:abstractNumId="184">
    <w:nsid w:val="3102BBE2"/>
    <w:multiLevelType w:val="hybridMultilevel"/>
    <w:lvl w:ilvl="0">
      <w:lvlJc w:val="left"/>
      <w:lvlText w:val="(%1)"/>
      <w:numFmt w:val="decimal"/>
      <w:start w:val="22"/>
    </w:lvl>
    <w:lvl w:ilvl="1">
      <w:lvlJc w:val="left"/>
      <w:lvlText w:val="(%2)"/>
      <w:numFmt w:val="lowerLetter"/>
      <w:start w:val="1"/>
    </w:lvl>
  </w:abstractNum>
  <w:abstractNum w:abstractNumId="185">
    <w:nsid w:val="26A02C5E"/>
    <w:multiLevelType w:val="hybridMultilevel"/>
    <w:lvl w:ilvl="0">
      <w:lvlJc w:val="left"/>
      <w:lvlText w:val="(%1)"/>
      <w:numFmt w:val="decimal"/>
      <w:start w:val="1"/>
    </w:lvl>
  </w:abstractNum>
  <w:abstractNum w:abstractNumId="186">
    <w:nsid w:val="541C8153"/>
    <w:multiLevelType w:val="hybridMultilevel"/>
    <w:lvl w:ilvl="0">
      <w:lvlJc w:val="left"/>
      <w:lvlText w:val="(%1)"/>
      <w:numFmt w:val="decimal"/>
      <w:start w:val="1"/>
    </w:lvl>
  </w:abstractNum>
  <w:abstractNum w:abstractNumId="187">
    <w:nsid w:val="67906F60"/>
    <w:multiLevelType w:val="hybridMultilevel"/>
    <w:lvl w:ilvl="0">
      <w:lvlJc w:val="left"/>
      <w:lvlText w:val="(%1)"/>
      <w:numFmt w:val="decimal"/>
      <w:start w:val="1"/>
    </w:lvl>
  </w:abstractNum>
  <w:abstractNum w:abstractNumId="188">
    <w:nsid w:val="10DB9DAA"/>
    <w:multiLevelType w:val="hybridMultilevel"/>
    <w:lvl w:ilvl="0">
      <w:lvlJc w:val="left"/>
      <w:lvlText w:val="(%1)"/>
      <w:numFmt w:val="decimal"/>
      <w:start w:val="1"/>
    </w:lvl>
  </w:abstractNum>
  <w:abstractNum w:abstractNumId="189">
    <w:nsid w:val="697D2D2"/>
    <w:multiLevelType w:val="hybridMultilevel"/>
    <w:lvl w:ilvl="0">
      <w:lvlJc w:val="left"/>
      <w:lvlText w:val="(%1)"/>
      <w:numFmt w:val="decimal"/>
      <w:start w:val="1"/>
    </w:lvl>
  </w:abstractNum>
  <w:abstractNum w:abstractNumId="190">
    <w:nsid w:val="6D68AB2"/>
    <w:multiLevelType w:val="hybridMultilevel"/>
    <w:lvl w:ilvl="0">
      <w:lvlJc w:val="left"/>
      <w:lvlText w:val="(%1)"/>
      <w:numFmt w:val="decimal"/>
      <w:start w:val="1"/>
    </w:lvl>
  </w:abstractNum>
  <w:abstractNum w:abstractNumId="191">
    <w:nsid w:val="3A966CD0"/>
    <w:multiLevelType w:val="hybridMultilevel"/>
    <w:lvl w:ilvl="0">
      <w:lvlJc w:val="left"/>
      <w:lvlText w:val="(%1)"/>
      <w:numFmt w:val="decimal"/>
      <w:start w:val="2"/>
    </w:lvl>
  </w:abstractNum>
  <w:abstractNum w:abstractNumId="192">
    <w:nsid w:val="63F37E85"/>
    <w:multiLevelType w:val="hybridMultilevel"/>
    <w:lvl w:ilvl="0">
      <w:lvlJc w:val="left"/>
      <w:lvlText w:val="(%1)"/>
      <w:numFmt w:val="decimal"/>
      <w:start w:val="1"/>
    </w:lvl>
  </w:abstractNum>
  <w:abstractNum w:abstractNumId="193">
    <w:nsid w:val="5895F5FA"/>
    <w:multiLevelType w:val="hybridMultilevel"/>
    <w:lvl w:ilvl="0">
      <w:lvlJc w:val="left"/>
      <w:lvlText w:val="(%1)"/>
      <w:numFmt w:val="decimal"/>
      <w:start w:val="1"/>
    </w:lvl>
  </w:abstractNum>
  <w:abstractNum w:abstractNumId="194">
    <w:nsid w:val="38A5D054"/>
    <w:multiLevelType w:val="hybridMultilevel"/>
    <w:lvl w:ilvl="0">
      <w:lvlJc w:val="left"/>
      <w:lvlText w:val="•"/>
      <w:numFmt w:val="bullet"/>
      <w:start w:val="1"/>
    </w:lvl>
  </w:abstractNum>
  <w:abstractNum w:abstractNumId="195">
    <w:nsid w:val="F3F09D8"/>
    <w:multiLevelType w:val="hybridMultilevel"/>
    <w:lvl w:ilvl="0">
      <w:lvlJc w:val="left"/>
      <w:lvlText w:val="•"/>
      <w:numFmt w:val="bullet"/>
      <w:start w:val="1"/>
    </w:lvl>
  </w:abstractNum>
  <w:abstractNum w:abstractNumId="196">
    <w:nsid w:val="4B793735"/>
    <w:multiLevelType w:val="hybridMultilevel"/>
    <w:lvl w:ilvl="0">
      <w:lvlJc w:val="left"/>
      <w:lvlText w:val="•"/>
      <w:numFmt w:val="bullet"/>
      <w:start w:val="1"/>
    </w:lvl>
  </w:abstractNum>
  <w:abstractNum w:abstractNumId="197">
    <w:nsid w:val="4A10B4E8"/>
    <w:multiLevelType w:val="hybridMultilevel"/>
    <w:lvl w:ilvl="0">
      <w:lvlJc w:val="left"/>
      <w:lvlText w:val="•"/>
      <w:numFmt w:val="bullet"/>
      <w:start w:val="1"/>
    </w:lvl>
  </w:abstractNum>
  <w:abstractNum w:abstractNumId="198">
    <w:nsid w:val="43D3BCD4"/>
    <w:multiLevelType w:val="hybridMultilevel"/>
    <w:lvl w:ilvl="0">
      <w:lvlJc w:val="left"/>
      <w:lvlText w:val="•"/>
      <w:numFmt w:val="bullet"/>
      <w:start w:val="1"/>
    </w:lvl>
  </w:abstractNum>
  <w:abstractNum w:abstractNumId="199">
    <w:nsid w:val="4C2A7166"/>
    <w:multiLevelType w:val="hybridMultilevel"/>
    <w:lvl w:ilvl="0">
      <w:lvlJc w:val="left"/>
      <w:lvlText w:val="•"/>
      <w:numFmt w:val="bullet"/>
      <w:start w:val="1"/>
    </w:lvl>
  </w:abstractNum>
  <w:abstractNum w:abstractNumId="200">
    <w:nsid w:val="2E534A82"/>
    <w:multiLevelType w:val="hybridMultilevel"/>
    <w:lvl w:ilvl="0">
      <w:lvlJc w:val="left"/>
      <w:lvlText w:val="•"/>
      <w:numFmt w:val="bullet"/>
      <w:start w:val="1"/>
    </w:lvl>
  </w:abstractNum>
  <w:abstractNum w:abstractNumId="201">
    <w:nsid w:val="26F2D364"/>
    <w:multiLevelType w:val="hybridMultilevel"/>
    <w:lvl w:ilvl="0">
      <w:lvlJc w:val="left"/>
      <w:lvlText w:val="*"/>
      <w:numFmt w:val="bullet"/>
      <w:start w:val="1"/>
    </w:lvl>
  </w:abstractNum>
  <w:abstractNum w:abstractNumId="202">
    <w:nsid w:val="71C1AF98"/>
    <w:multiLevelType w:val="hybridMultilevel"/>
    <w:lvl w:ilvl="0">
      <w:lvlJc w:val="left"/>
      <w:lvlText w:val="(%1)"/>
      <w:numFmt w:val="decimal"/>
      <w:start w:val="3"/>
    </w:lvl>
  </w:abstractNum>
  <w:abstractNum w:abstractNumId="203">
    <w:nsid w:val="3D00B9D9"/>
    <w:multiLevelType w:val="hybridMultilevel"/>
    <w:lvl w:ilvl="0">
      <w:lvlJc w:val="left"/>
      <w:lvlText w:val="%1."/>
      <w:numFmt w:val="decimal"/>
      <w:start w:val="11"/>
    </w:lvl>
  </w:abstractNum>
  <w:abstractNum w:abstractNumId="204">
    <w:nsid w:val="15BCABA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2019-12-15T07:44:56Z</dcterms:created>
  <dcterms:modified xsi:type="dcterms:W3CDTF">2019-12-15T07:44:56Z</dcterms:modified>
</cp:coreProperties>
</file>