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Date of Report (Date of earliest event reported): July 27, 2006</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320"/>
            <w:col w:w="2520" w:space="420"/>
            <w:col w:w="3999"/>
          </w:cols>
          <w:pgMar w:left="240" w:top="447" w:right="1440" w:bottom="0" w:gutter="0" w:footer="0" w:header="0"/>
          <w:type w:val="continuous"/>
        </w:sectPr>
      </w:pPr>
    </w:p>
    <w:p>
      <w:pPr>
        <w:spacing w:after="0" w:line="204"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3131 Las Vegas Boulevard South</w:t>
      </w:r>
    </w:p>
    <w:p>
      <w:pPr>
        <w:jc w:val="center"/>
        <w:ind w:left="10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560" w:space="720"/>
            <w:col w:w="2939"/>
          </w:cols>
          <w:pgMar w:left="240" w:top="447" w:right="1440" w:bottom="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447" w:right="1440" w:bottom="0" w:gutter="0" w:footer="0" w:header="0"/>
          <w:type w:val="continuous"/>
        </w:sectPr>
      </w:pP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640" w:right="26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July 27, 2006, Wynn Resorts, Limited (the "Company") announced the appointment of Jack B. Binion to serve as Chairman of Wynn International Marketing, Ltd., with overall responsibility for all operational activities of the Company's Wynn Macau resort. Mr. Binion has entered into an employment agreement with a subsidiary of the Company, Worldwide Wynn, LLC (the "Employer") that has a term of three years, unless sooner terminated as a result of his death or upon written notice from the Employer to Mr. Binion, or from Mr. Binion to the Employer, for any reason.</w:t>
      </w:r>
    </w:p>
    <w:p>
      <w:pPr>
        <w:spacing w:after="0" w:line="212"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agreement provides for a base salary of $1,500,000 per year and eligibility for an annual bonus. In addition, the agreement provides that Mr. Binion be awarded 500,000 restricted shares of common stock of the Company, 50% of which will vest on the second anniversary of the effective date of the agreement, and the remainder will vest on a pro rata basis each month thereafter until the third anniversary of the effective date.</w:t>
      </w: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copy of Mr. Binion's employment agreement is filed as Exhibit 10.1 hereto and is incorporated herein by reference.</w:t>
      </w:r>
    </w:p>
    <w:p>
      <w:pPr>
        <w:spacing w:after="0" w:line="208"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July 27, 2006, the Company issued a press release announcing the appointment of Mr. Binion. The press release is filed herewith as Exhibit 99.1 and incorporated herein by reference.</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1900" w:right="23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5.02.</w:t>
      </w:r>
      <w:r>
        <w:rPr>
          <w:sz w:val="20"/>
          <w:szCs w:val="20"/>
          <w:color w:val="auto"/>
        </w:rPr>
        <w:tab/>
      </w:r>
      <w:r>
        <w:rPr>
          <w:rFonts w:ascii="Courier New" w:cs="Courier New" w:eastAsia="Courier New" w:hAnsi="Courier New"/>
          <w:sz w:val="18"/>
          <w:szCs w:val="18"/>
          <w:color w:val="auto"/>
        </w:rPr>
        <w:t>Departure of Directors or Principal Officers; Election of Directors; Appointment of Principal Officers.</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information set forth in Item 1.01 of this report is incorporated herein by reference.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Prior to joining the Company, Mr. Binion, 69, served as founder of Blizzard Asset Management, a family investment company. From April 1999 until July 2004, Mr. Binion was Chairman of the Board and Chief Executive Officer of Horseshoe Gaming Holding Corp., a gaming company which owned and operated casinos in Bossier City, Louisiana; Tunica County, Mississippi; Hammond, Indiana; and Joliet, Illinois, and was acquired by Harrah's Entertainment, Inc. in July 2004. From December 1992 to April 1999, Mr. Binion served as the Chief Executive Officer of various predecessor entities of Horseshoe Gaming Holding Corp.</w:t>
      </w:r>
    </w:p>
    <w:p>
      <w:pPr>
        <w:spacing w:after="0" w:line="20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(c) Exhibits:</w:t>
            </w:r>
          </w:p>
        </w:tc>
        <w:tc>
          <w:tcPr>
            <w:tcW w:w="5420" w:type="dxa"/>
            <w:vAlign w:val="bottom"/>
          </w:tcPr>
          <w:p>
            <w:pPr>
              <w:spacing w:after="0"/>
              <w:rPr>
                <w:sz w:val="17"/>
                <w:szCs w:val="17"/>
                <w:color w:val="auto"/>
              </w:rPr>
            </w:pPr>
          </w:p>
        </w:tc>
      </w:tr>
      <w:tr>
        <w:trPr>
          <w:trHeight w:val="405"/>
        </w:trPr>
        <w:tc>
          <w:tcPr>
            <w:tcW w:w="1960" w:type="dxa"/>
            <w:vAlign w:val="bottom"/>
          </w:tcPr>
          <w:p>
            <w:pPr>
              <w:ind w:left="840"/>
              <w:spacing w:after="0"/>
              <w:rPr>
                <w:sz w:val="20"/>
                <w:szCs w:val="20"/>
                <w:color w:val="auto"/>
              </w:rPr>
            </w:pPr>
            <w:r>
              <w:rPr>
                <w:rFonts w:ascii="Courier New" w:cs="Courier New" w:eastAsia="Courier New" w:hAnsi="Courier New"/>
                <w:sz w:val="18"/>
                <w:szCs w:val="18"/>
                <w:color w:val="auto"/>
              </w:rPr>
              <w:t>Exhibit</w:t>
            </w:r>
          </w:p>
        </w:tc>
        <w:tc>
          <w:tcPr>
            <w:tcW w:w="5420" w:type="dxa"/>
            <w:vAlign w:val="bottom"/>
          </w:tcPr>
          <w:p>
            <w:pPr>
              <w:spacing w:after="0"/>
              <w:rPr>
                <w:sz w:val="24"/>
                <w:szCs w:val="24"/>
                <w:color w:val="auto"/>
              </w:rPr>
            </w:pPr>
          </w:p>
        </w:tc>
      </w:tr>
      <w:tr>
        <w:trPr>
          <w:trHeight w:val="203"/>
        </w:trPr>
        <w:tc>
          <w:tcPr>
            <w:tcW w:w="196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5"/>
              </w:rPr>
              <w:t>Number</w:t>
            </w:r>
          </w:p>
        </w:tc>
        <w:tc>
          <w:tcPr>
            <w:tcW w:w="5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405"/>
        </w:trPr>
        <w:tc>
          <w:tcPr>
            <w:tcW w:w="19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10.1</w:t>
            </w:r>
          </w:p>
        </w:tc>
        <w:tc>
          <w:tcPr>
            <w:tcW w:w="5420" w:type="dxa"/>
            <w:vAlign w:val="bottom"/>
          </w:tcPr>
          <w:p>
            <w:pPr>
              <w:ind w:left="360"/>
              <w:spacing w:after="0"/>
              <w:rPr>
                <w:sz w:val="20"/>
                <w:szCs w:val="20"/>
                <w:color w:val="auto"/>
              </w:rPr>
            </w:pPr>
            <w:r>
              <w:rPr>
                <w:rFonts w:ascii="Courier New" w:cs="Courier New" w:eastAsia="Courier New" w:hAnsi="Courier New"/>
                <w:sz w:val="18"/>
                <w:szCs w:val="18"/>
                <w:color w:val="auto"/>
                <w:w w:val="97"/>
              </w:rPr>
              <w:t>Employment Agreement, dated as of July 27, 2006,</w:t>
            </w:r>
          </w:p>
        </w:tc>
      </w:tr>
      <w:tr>
        <w:trPr>
          <w:trHeight w:val="203"/>
        </w:trPr>
        <w:tc>
          <w:tcPr>
            <w:tcW w:w="1960" w:type="dxa"/>
            <w:vAlign w:val="bottom"/>
          </w:tcPr>
          <w:p>
            <w:pPr>
              <w:spacing w:after="0"/>
              <w:rPr>
                <w:sz w:val="17"/>
                <w:szCs w:val="17"/>
                <w:color w:val="auto"/>
              </w:rPr>
            </w:pPr>
          </w:p>
        </w:tc>
        <w:tc>
          <w:tcPr>
            <w:tcW w:w="5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by and between Worldwide Wynn, LLC and</w:t>
            </w:r>
          </w:p>
        </w:tc>
      </w:tr>
      <w:tr>
        <w:trPr>
          <w:trHeight w:val="203"/>
        </w:trPr>
        <w:tc>
          <w:tcPr>
            <w:tcW w:w="1960" w:type="dxa"/>
            <w:vAlign w:val="bottom"/>
          </w:tcPr>
          <w:p>
            <w:pPr>
              <w:spacing w:after="0"/>
              <w:rPr>
                <w:sz w:val="17"/>
                <w:szCs w:val="17"/>
                <w:color w:val="auto"/>
              </w:rPr>
            </w:pPr>
          </w:p>
        </w:tc>
        <w:tc>
          <w:tcPr>
            <w:tcW w:w="5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Jack B. Binion.</w:t>
            </w:r>
          </w:p>
        </w:tc>
      </w:tr>
      <w:tr>
        <w:trPr>
          <w:trHeight w:val="203"/>
        </w:trPr>
        <w:tc>
          <w:tcPr>
            <w:tcW w:w="196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99.1</w:t>
            </w:r>
          </w:p>
        </w:tc>
        <w:tc>
          <w:tcPr>
            <w:tcW w:w="5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Press release, dated July 27, 2006, of</w:t>
            </w:r>
          </w:p>
        </w:tc>
      </w:tr>
      <w:tr>
        <w:trPr>
          <w:trHeight w:val="203"/>
        </w:trPr>
        <w:tc>
          <w:tcPr>
            <w:tcW w:w="1960" w:type="dxa"/>
            <w:vAlign w:val="bottom"/>
          </w:tcPr>
          <w:p>
            <w:pPr>
              <w:spacing w:after="0"/>
              <w:rPr>
                <w:sz w:val="17"/>
                <w:szCs w:val="17"/>
                <w:color w:val="auto"/>
              </w:rPr>
            </w:pPr>
          </w:p>
        </w:tc>
        <w:tc>
          <w:tcPr>
            <w:tcW w:w="5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Wynn Resorts, Limited.</w:t>
            </w:r>
          </w:p>
        </w:tc>
      </w:tr>
    </w:tbl>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27, 2006</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Strzemp</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John Strzemp</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919" w:right="1440" w:bottom="1440" w:gutter="0" w:footer="0" w:header="0"/>
        </w:sectPr>
      </w:pPr>
    </w:p>
    <w:bookmarkStart w:id="3" w:name="page4"/>
    <w:bookmarkEnd w:id="3"/>
    <w:p>
      <w:pPr>
        <w:jc w:val="right"/>
        <w:ind w:right="1879"/>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EMPLOYMENT AGREEMENT</w:t>
      </w:r>
    </w:p>
    <w:p>
      <w:pPr>
        <w:ind w:left="3480"/>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 by and between -</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WORLDWIDE WYNN, LLC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("Employer")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and -</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JACK B. BINION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("Employee")</w:t>
      </w:r>
    </w:p>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DATED: as of July 27, 2006</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THIS EMPLOYMENT AGREEMENT ("Agreement") is made and entered into as of the 27th day of July, 2006, by and between WORLDWIDE WYNN, LLC ("Employer") and JACK B. BINION ("Employee").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WHEREAS, Employer is a limited liability corporation duly organized and existing under the laws of the State of Nevada and is engaged in the business of furnishing management personnel to affiliated casino resort enterprises outside the United States; and,</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WHEREAS, in furtherance of its business, Employer has need of qualified, experienced executive management; and,</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WHEREAS, Wynn International Marketing, Ltd. ("WIM"), is an Affiliate of Employer, providing marketing and operational support and services to, among other non-U.S. Affiliates, Wynn Resorts, Macau, SA; and,</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Employee has represented to Employer that Employee is not subject to any agreement affecting his right to provide services, other than that certain Non-Competition and Non-Disclosure Agreement between Employee and Harrah's Entertainment, Inc. and that certain License and Cooperation Agreement between Employee and Horseshoe Gaming Holding Corp., each dated as of July 1, 2004, copies of which have been provided to Employer (collectively, the "Existing Agreements"); and</w:t>
      </w:r>
    </w:p>
    <w:p>
      <w:pPr>
        <w:spacing w:after="0" w:line="211"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WHEREAS, the parties agree that the services to be provided hereunder are intended not to contravene the Existing Agreements; and</w:t>
      </w:r>
    </w:p>
    <w:p>
      <w:pPr>
        <w:spacing w:after="0" w:line="20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WHEREAS, Employee is an adult individual with an address c/o Blizzard Asset Management, 9921 Covington Cross Drive, Las Vegas, NV 89144; and</w:t>
      </w:r>
    </w:p>
    <w:p>
      <w:pPr>
        <w:spacing w:after="0" w:line="17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WHEREAS, Employer is willing to employ Employee, and Employee is desirous of accepting employment from Employer under the terms and pursuant to the conditions set forth herein.</w:t>
      </w:r>
    </w:p>
    <w:p>
      <w:pPr>
        <w:spacing w:after="0" w:line="209"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NOW, THEREFORE, for and in consideration of the foregoing recitals, and in consideration of the mutual covenants, agreements, understandings, undertakings, representations, warranties and promises hereinafter set forth,</w:t>
      </w:r>
    </w:p>
    <w:p>
      <w:pPr>
        <w:sectPr>
          <w:pgSz w:w="11900" w:h="16838" w:orient="portrait"/>
          <w:cols w:equalWidth="0" w:num="1">
            <w:col w:w="10219"/>
          </w:cols>
          <w:pgMar w:left="240" w:top="136" w:right="1440" w:bottom="0" w:gutter="0" w:footer="0" w:header="0"/>
        </w:sectPr>
      </w:pPr>
    </w:p>
    <w:bookmarkStart w:id="4" w:name="page5"/>
    <w:bookmarkEnd w:id="4"/>
    <w:p>
      <w:pPr>
        <w:ind w:right="2739"/>
        <w:spacing w:after="0" w:line="235" w:lineRule="auto"/>
        <w:rPr>
          <w:sz w:val="20"/>
          <w:szCs w:val="20"/>
          <w:color w:val="auto"/>
        </w:rPr>
      </w:pPr>
      <w:r>
        <w:rPr>
          <w:rFonts w:ascii="Courier New" w:cs="Courier New" w:eastAsia="Courier New" w:hAnsi="Courier New"/>
          <w:sz w:val="18"/>
          <w:szCs w:val="18"/>
          <w:color w:val="auto"/>
        </w:rPr>
        <w:t>and intending to be legally bound thereby, Employer and Employee hereby covenant and agree as follows:</w:t>
      </w:r>
    </w:p>
    <w:p>
      <w:pPr>
        <w:sectPr>
          <w:pgSz w:w="11900" w:h="16838" w:orient="portrait"/>
          <w:cols w:equalWidth="0" w:num="1">
            <w:col w:w="10219"/>
          </w:cols>
          <w:pgMar w:left="240" w:top="142" w:right="1440" w:bottom="1440" w:gutter="0" w:footer="0" w:header="0"/>
        </w:sectPr>
      </w:pPr>
    </w:p>
    <w:bookmarkStart w:id="5" w:name="page6"/>
    <w:bookmarkEnd w:id="5"/>
    <w:p>
      <w:pPr>
        <w:ind w:left="-956" w:right="2519" w:firstLine="956"/>
        <w:spacing w:after="0" w:line="236" w:lineRule="auto"/>
        <w:tabs>
          <w:tab w:leader="none" w:pos="30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in this Agreement, the words and terms hereinafter defined have the respective meanings ascribed to them herein, unless a different meaning clearly appears from the context:</w:t>
      </w:r>
    </w:p>
    <w:p>
      <w:pPr>
        <w:spacing w:after="0" w:line="208" w:lineRule="exact"/>
        <w:rPr>
          <w:rFonts w:ascii="Courier New" w:cs="Courier New" w:eastAsia="Courier New" w:hAnsi="Courier New"/>
          <w:sz w:val="18"/>
          <w:szCs w:val="18"/>
          <w:color w:val="auto"/>
        </w:rPr>
      </w:pPr>
    </w:p>
    <w:p>
      <w:pPr>
        <w:ind w:left="4" w:right="1999" w:firstLine="944"/>
        <w:spacing w:after="0" w:line="270" w:lineRule="auto"/>
        <w:tabs>
          <w:tab w:leader="none" w:pos="1373"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87" w:lineRule="exact"/>
        <w:rPr>
          <w:rFonts w:ascii="Courier New" w:cs="Courier New" w:eastAsia="Courier New" w:hAnsi="Courier New"/>
          <w:sz w:val="16"/>
          <w:szCs w:val="16"/>
          <w:color w:val="auto"/>
        </w:rPr>
      </w:pPr>
    </w:p>
    <w:p>
      <w:pPr>
        <w:jc w:val="both"/>
        <w:ind w:left="4" w:right="2619" w:firstLine="944"/>
        <w:spacing w:after="0" w:line="236" w:lineRule="auto"/>
        <w:tabs>
          <w:tab w:leader="none" w:pos="1373"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"Anniversary" - means each anniversary date of the Effective Date during the Term of this Agreement (as defined in Section 5 hereof).</w:t>
      </w:r>
    </w:p>
    <w:p>
      <w:pPr>
        <w:spacing w:after="0" w:line="208" w:lineRule="exact"/>
        <w:rPr>
          <w:rFonts w:ascii="Courier New" w:cs="Courier New" w:eastAsia="Courier New" w:hAnsi="Courier New"/>
          <w:sz w:val="18"/>
          <w:szCs w:val="18"/>
          <w:color w:val="auto"/>
        </w:rPr>
      </w:pPr>
    </w:p>
    <w:p>
      <w:pPr>
        <w:ind w:left="4" w:right="1879" w:firstLine="944"/>
        <w:spacing w:after="0" w:line="269" w:lineRule="auto"/>
        <w:tabs>
          <w:tab w:leader="none" w:pos="1373"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by Employee prior to entering into this Agreement or which thereafter is developed independently by him,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Affiliates,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1364" w:hanging="416"/>
        <w:spacing w:after="0"/>
        <w:tabs>
          <w:tab w:leader="none" w:pos="1364"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 means July 27, 2006.</w:t>
      </w:r>
    </w:p>
    <w:p>
      <w:pPr>
        <w:spacing w:after="0" w:line="201" w:lineRule="exact"/>
        <w:rPr>
          <w:rFonts w:ascii="Courier New" w:cs="Courier New" w:eastAsia="Courier New" w:hAnsi="Courier New"/>
          <w:sz w:val="18"/>
          <w:szCs w:val="18"/>
          <w:color w:val="auto"/>
        </w:rPr>
      </w:pPr>
    </w:p>
    <w:p>
      <w:pPr>
        <w:ind w:left="1364" w:hanging="416"/>
        <w:spacing w:after="0"/>
        <w:tabs>
          <w:tab w:leader="none" w:pos="1364"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"Macau" - means Macau, Special Administrative Region,</w:t>
      </w:r>
    </w:p>
    <w:p>
      <w:pPr>
        <w:ind w:left="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China.</w:t>
      </w:r>
    </w:p>
    <w:p>
      <w:pPr>
        <w:sectPr>
          <w:pgSz w:w="11900" w:h="16838" w:orient="portrait"/>
          <w:cols w:equalWidth="0" w:num="1">
            <w:col w:w="9263"/>
          </w:cols>
          <w:pgMar w:left="1196" w:top="723" w:right="1440" w:bottom="1440" w:gutter="0" w:footer="0" w:header="0"/>
        </w:sectPr>
      </w:pPr>
    </w:p>
    <w:bookmarkStart w:id="6" w:name="page7"/>
    <w:bookmarkEnd w:id="6"/>
    <w:p>
      <w:pPr>
        <w:ind w:left="960" w:right="1879" w:firstLine="944"/>
        <w:spacing w:after="0" w:line="270" w:lineRule="auto"/>
        <w:tabs>
          <w:tab w:leader="none" w:pos="2329"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Secrets"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189" w:lineRule="exact"/>
        <w:rPr>
          <w:rFonts w:ascii="Courier New" w:cs="Courier New" w:eastAsia="Courier New" w:hAnsi="Courier New"/>
          <w:sz w:val="16"/>
          <w:szCs w:val="16"/>
          <w:color w:val="auto"/>
        </w:rPr>
      </w:pPr>
    </w:p>
    <w:p>
      <w:pPr>
        <w:ind w:left="960" w:right="2099" w:firstLine="944"/>
        <w:spacing w:after="0" w:line="268" w:lineRule="auto"/>
        <w:tabs>
          <w:tab w:leader="none" w:pos="2329"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 of Authorship" - means any computer program, code or system as well as any literary, pictorial, sculptural, graphic or audio visual work, whether published or unpublished, and whether copyrightable or not, in whatever form and jointly with others that</w:t>
      </w:r>
    </w:p>
    <w:p>
      <w:pPr>
        <w:ind w:left="960" w:right="1879" w:hanging="4"/>
        <w:spacing w:after="0" w:line="237" w:lineRule="auto"/>
        <w:tabs>
          <w:tab w:leader="none" w:pos="138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211" w:lineRule="exact"/>
        <w:rPr>
          <w:sz w:val="20"/>
          <w:szCs w:val="20"/>
          <w:color w:val="auto"/>
        </w:rPr>
      </w:pPr>
    </w:p>
    <w:p>
      <w:pPr>
        <w:ind w:right="1879" w:firstLine="956"/>
        <w:spacing w:after="0" w:line="237"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Subject to the terms and pursuant to the conditions hereinafter set forth, Employer hereby employs Employee during the Term hereinafter specified to serve in an executive capacity, under a title and with such duties not inconsistent with those set forth in Section 3 of this Agreement. It is understood and agreed that all of Employee's services shall be rendered in connection with gaming business operated outside of the United States.</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OF EMPLOYEE. Employee shall perform the duties of Chairman of WIM, with overall responsibility for all operational activities of Wynn Macau, and such other duties in the Macau region as shall reasonably be assigned by Employer. The foregoing notwithstanding, Employee shall devote such time to Employer's other Affiliates in operations outside of the United States as may be required by Employer, provided such duties are not inconsistent with Employee's primary duties to Employer hereunder.</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Employee's normal working days shall not exceed six (6) days per calendar week. Employee's working hours shall be flexible, meaning that Employee shall be required to work such number of hours as shall be required to fully carry out Employee's duties and responsibilities under this Agreement. Employee acknowledges and expressly agrees that such working hours were considered in the negotiations between Employer and Employee concerning the Base Salary set forth in Section 7(a) of this Employment Agreement. Employee further acknowledges and expressly agrees that, notwithstanding the other items of compensation set forth in this Employment Agreement, the Base Salary set forth in Section 7(a) provides full and adequate</w:t>
      </w:r>
    </w:p>
    <w:p>
      <w:pPr>
        <w:sectPr>
          <w:pgSz w:w="11900" w:h="16838" w:orient="portrait"/>
          <w:cols w:equalWidth="0" w:num="1">
            <w:col w:w="10219"/>
          </w:cols>
          <w:pgMar w:left="240" w:top="723" w:right="1440" w:bottom="1440" w:gutter="0" w:footer="0" w:header="0"/>
        </w:sectPr>
      </w:pPr>
    </w:p>
    <w:bookmarkStart w:id="7" w:name="page8"/>
    <w:bookmarkEnd w:id="7"/>
    <w:p>
      <w:pPr>
        <w:ind w:right="2099"/>
        <w:spacing w:after="0" w:line="236" w:lineRule="auto"/>
        <w:rPr>
          <w:sz w:val="20"/>
          <w:szCs w:val="20"/>
          <w:color w:val="auto"/>
        </w:rPr>
      </w:pPr>
      <w:r>
        <w:rPr>
          <w:rFonts w:ascii="Courier New" w:cs="Courier New" w:eastAsia="Courier New" w:hAnsi="Courier New"/>
          <w:sz w:val="18"/>
          <w:szCs w:val="18"/>
          <w:color w:val="auto"/>
        </w:rPr>
        <w:t>compensation for all of the hours Employee shall be required to work to fully carry out Employee's duties and responsibilities under this Employment Agreement.</w:t>
      </w:r>
    </w:p>
    <w:p>
      <w:pPr>
        <w:spacing w:after="0" w:line="209" w:lineRule="exact"/>
        <w:rPr>
          <w:sz w:val="20"/>
          <w:szCs w:val="20"/>
          <w:color w:val="auto"/>
        </w:rPr>
      </w:pPr>
    </w:p>
    <w:p>
      <w:pPr>
        <w:ind w:right="2099" w:firstLine="956"/>
        <w:spacing w:after="0" w:line="237" w:lineRule="auto"/>
        <w:tabs>
          <w:tab w:leader="none" w:pos="126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EMPLOYMENT. Employee hereby accepts the employment set forth hereunder, under the terms and pursuant to the conditions set forth in this Agreement. Employee hereby covenants and agrees that, during the Term of this Agreement, Employee will devote such of his normal and customary working time to the performance of Employee's duties under this Agreement as Employer believes is reasonably necessary to fulfill Employee's duties described in Section 3.</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26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Unless sooner terminated as provided in this Agreement, the term of this Agreement (the "Term") shall consist of three (3) years commencing as of the Effective Date of this Agreement and terminating on the third Anniversary Date of the Effective Date.</w:t>
      </w:r>
    </w:p>
    <w:p>
      <w:pPr>
        <w:spacing w:after="0" w:line="207" w:lineRule="exact"/>
        <w:rPr>
          <w:rFonts w:ascii="Courier New" w:cs="Courier New" w:eastAsia="Courier New" w:hAnsi="Courier New"/>
          <w:sz w:val="18"/>
          <w:szCs w:val="18"/>
          <w:color w:val="auto"/>
        </w:rPr>
      </w:pPr>
    </w:p>
    <w:p>
      <w:pPr>
        <w:ind w:right="1879" w:firstLine="956"/>
        <w:spacing w:after="0" w:line="236" w:lineRule="auto"/>
        <w:tabs>
          <w:tab w:leader="none" w:pos="126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TERMINATION PROVISIONS. Notwithstanding the provisions of Section 5 of this Agreement, this Agreement shall terminate upon the occurrence of any of the following events:</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Employee;</w:t>
      </w:r>
    </w:p>
    <w:p>
      <w:pPr>
        <w:spacing w:after="0" w:line="206" w:lineRule="exact"/>
        <w:rPr>
          <w:rFonts w:ascii="Courier New" w:cs="Courier New" w:eastAsia="Courier New" w:hAnsi="Courier New"/>
          <w:sz w:val="18"/>
          <w:szCs w:val="18"/>
          <w:color w:val="auto"/>
        </w:rPr>
      </w:pPr>
    </w:p>
    <w:p>
      <w:pPr>
        <w:ind w:left="960" w:right="1879" w:firstLine="944"/>
        <w:spacing w:after="0" w:line="235" w:lineRule="auto"/>
        <w:tabs>
          <w:tab w:leader="none" w:pos="232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giving of written notice from Employer to Employee of the termination of this Agreement for any reason;</w:t>
      </w:r>
    </w:p>
    <w:p>
      <w:pPr>
        <w:spacing w:after="0" w:line="208" w:lineRule="exact"/>
        <w:rPr>
          <w:rFonts w:ascii="Courier New" w:cs="Courier New" w:eastAsia="Courier New" w:hAnsi="Courier New"/>
          <w:sz w:val="18"/>
          <w:szCs w:val="18"/>
          <w:color w:val="auto"/>
        </w:rPr>
      </w:pPr>
    </w:p>
    <w:p>
      <w:pPr>
        <w:ind w:left="960" w:right="1999" w:firstLine="1050"/>
        <w:spacing w:after="0" w:line="237" w:lineRule="auto"/>
        <w:tabs>
          <w:tab w:leader="none" w:pos="2435"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giving of written notice (at least 60 days prior to the date of termination) from Employee to Employer for any reason; provided, however, Employee agrees to provide reasonable transition services for a period of 60 days after he delivers a notice of termination to Employer; and provided, further, that upon termination by Employee hereunder, the provisions of Section 10(b) of this Agreement shall apply for a period of 12 months after the termination date of this Agreement.</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Upon termination of this Agreement, Employer shall not be required to make any payments to Employee other than payment of Base Salary and vacation pay accrued but unpaid through the termination date.</w:t>
      </w:r>
    </w:p>
    <w:p>
      <w:pPr>
        <w:spacing w:after="0" w:line="209" w:lineRule="exact"/>
        <w:rPr>
          <w:sz w:val="20"/>
          <w:szCs w:val="20"/>
          <w:color w:val="auto"/>
        </w:rPr>
      </w:pPr>
    </w:p>
    <w:p>
      <w:pPr>
        <w:jc w:val="both"/>
        <w:ind w:right="2099" w:firstLine="956"/>
        <w:spacing w:after="0" w:line="275"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TO EMPLOYEE. For and in complete consideration of Employee's performance of Employee's duties under this Agreement, Employer hereby covenants and agrees to pay to Employee, and Employee hereby covenants and agrees to accept from Employer, the following items of compensation:</w:t>
      </w:r>
    </w:p>
    <w:p>
      <w:pPr>
        <w:spacing w:after="0" w:line="182" w:lineRule="exact"/>
        <w:rPr>
          <w:rFonts w:ascii="Courier New" w:cs="Courier New" w:eastAsia="Courier New" w:hAnsi="Courier New"/>
          <w:sz w:val="16"/>
          <w:szCs w:val="16"/>
          <w:color w:val="auto"/>
        </w:rPr>
      </w:pPr>
    </w:p>
    <w:p>
      <w:pPr>
        <w:ind w:left="960" w:right="1999" w:firstLine="944"/>
        <w:spacing w:after="0" w:line="237" w:lineRule="auto"/>
        <w:tabs>
          <w:tab w:leader="none" w:pos="232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SALARY. Employer hereby covenants and agrees to pay to Employee, and Employee hereby covenants and agrees to accept from Employer, a base salary at the rate of One Million Five Hundred Thousand Dollars ($1,500,000) per annum, payable in such weekly, bi-weekly or semi-monthly installments as shall be convenient to Employer (the</w:t>
      </w:r>
    </w:p>
    <w:p>
      <w:pPr>
        <w:sectPr>
          <w:pgSz w:w="11900" w:h="16838" w:orient="portrait"/>
          <w:cols w:equalWidth="0" w:num="1">
            <w:col w:w="10219"/>
          </w:cols>
          <w:pgMar w:left="240" w:top="723" w:right="1440" w:bottom="1440" w:gutter="0" w:footer="0" w:header="0"/>
        </w:sectPr>
      </w:pPr>
    </w:p>
    <w:bookmarkStart w:id="8" w:name="page9"/>
    <w:bookmarkEnd w:id="8"/>
    <w:p>
      <w:pPr>
        <w:ind w:left="4" w:right="1879"/>
        <w:spacing w:after="0" w:line="275" w:lineRule="auto"/>
        <w:rPr>
          <w:sz w:val="20"/>
          <w:szCs w:val="20"/>
          <w:color w:val="auto"/>
        </w:rPr>
      </w:pPr>
      <w:r>
        <w:rPr>
          <w:rFonts w:ascii="Courier New" w:cs="Courier New" w:eastAsia="Courier New" w:hAnsi="Courier New"/>
          <w:sz w:val="16"/>
          <w:szCs w:val="16"/>
          <w:color w:val="auto"/>
        </w:rPr>
        <w:t>"Base Salary"). Employee's Base Salary shall be exclusive of and in addition to any other benefits which Employer, in its sole discretion, may make available to Employee, including, but not limited to, those benefits described in Subsections 7(b) through (i) of this Agreement.</w:t>
      </w:r>
    </w:p>
    <w:p>
      <w:pPr>
        <w:spacing w:after="0" w:line="182" w:lineRule="exact"/>
        <w:rPr>
          <w:sz w:val="20"/>
          <w:szCs w:val="20"/>
          <w:color w:val="auto"/>
        </w:rPr>
      </w:pPr>
    </w:p>
    <w:p>
      <w:pPr>
        <w:ind w:left="4" w:right="1879" w:firstLine="944"/>
        <w:spacing w:after="0" w:line="237" w:lineRule="auto"/>
        <w:tabs>
          <w:tab w:leader="none" w:pos="137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COMPENSATION. Employee also will be eligible to receive a bonus at such times and in such amounts as Employer's Board of Directors, in its sole and exclusive discretion, may determine, until such time as the Board may adopt a performance-based bonus plan, and thereafter in accordance with such plan. Commencing in 2007, Employee shall be included in the 162(m) bonus plan for Wynn Resorts, Limited. Nothing in this Agreement shall limit the Board's discretion to adopt, amend or terminate any performance-based bonus plan at any time.</w:t>
      </w:r>
    </w:p>
    <w:p>
      <w:pPr>
        <w:spacing w:after="0" w:line="213" w:lineRule="exact"/>
        <w:rPr>
          <w:rFonts w:ascii="Courier New" w:cs="Courier New" w:eastAsia="Courier New" w:hAnsi="Courier New"/>
          <w:sz w:val="18"/>
          <w:szCs w:val="18"/>
          <w:color w:val="auto"/>
        </w:rPr>
      </w:pPr>
    </w:p>
    <w:p>
      <w:pPr>
        <w:ind w:left="4" w:right="1999" w:firstLine="944"/>
        <w:spacing w:after="0" w:line="268" w:lineRule="auto"/>
        <w:tabs>
          <w:tab w:leader="none" w:pos="1373"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GRANT. Management of the Employer shall recommend to the Compensation Committee of the Board of Directors of Wynn Resorts, Limited the following: (i) that Employee be granted 500,000 shares of restricted stock of Wynn Resorts, Limited common stock pursuant to the Wynn Resorts, Limited 2002 Stock Incentive Plan and</w:t>
      </w:r>
    </w:p>
    <w:p>
      <w:pPr>
        <w:ind w:left="4" w:right="1999" w:hanging="4"/>
        <w:spacing w:after="0" w:line="237" w:lineRule="auto"/>
        <w:tabs>
          <w:tab w:leader="none" w:pos="53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grant of restricted stock vest 50% on the second anniversary of the Effective Date and 4.166% for each month after the second anniversary of the Effective Date in which Employee continues to remain employed (for a total of an additional 50% on the third anniversary of the grant date). Upon approval of the grant by the Compensation Committee, the Employee and Wynn Resorts, Limited will enter into a separate restricted stock agreement incorporating such terms and conditions.</w:t>
      </w:r>
    </w:p>
    <w:p>
      <w:pPr>
        <w:spacing w:after="0" w:line="212" w:lineRule="exact"/>
        <w:rPr>
          <w:rFonts w:ascii="Courier New" w:cs="Courier New" w:eastAsia="Courier New" w:hAnsi="Courier New"/>
          <w:sz w:val="18"/>
          <w:szCs w:val="18"/>
          <w:color w:val="auto"/>
        </w:rPr>
      </w:pPr>
    </w:p>
    <w:p>
      <w:pPr>
        <w:jc w:val="both"/>
        <w:ind w:left="4" w:right="2099" w:firstLine="944"/>
        <w:spacing w:after="0" w:line="236" w:lineRule="auto"/>
        <w:tabs>
          <w:tab w:leader="none" w:pos="137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HOTEL ACCOMODATIONS. During the Term of this Agreement, Employee shall be provided room accommodations and food and beverage privileges at the Wynn Macau.</w:t>
      </w:r>
    </w:p>
    <w:p>
      <w:pPr>
        <w:spacing w:after="0" w:line="208" w:lineRule="exact"/>
        <w:rPr>
          <w:rFonts w:ascii="Courier New" w:cs="Courier New" w:eastAsia="Courier New" w:hAnsi="Courier New"/>
          <w:sz w:val="18"/>
          <w:szCs w:val="18"/>
          <w:color w:val="auto"/>
        </w:rPr>
      </w:pPr>
    </w:p>
    <w:p>
      <w:pPr>
        <w:ind w:left="4" w:right="1879" w:firstLine="944"/>
        <w:spacing w:after="0" w:line="270" w:lineRule="auto"/>
        <w:tabs>
          <w:tab w:leader="none" w:pos="1373"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 Employer hereby covenants and agrees that it shall include Employee, if otherwise eligible, in any profit 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of this Agreement. Nothing in this Agreement shall limit (i) Employer's ability to exercise the discretion provided to it under any such benefit plan, or (ii) Employer's or its Affiliates' discretion to adopt, amend or terminate any such benefit plan.</w:t>
      </w:r>
    </w:p>
    <w:p>
      <w:pPr>
        <w:spacing w:after="0" w:line="389" w:lineRule="exact"/>
        <w:rPr>
          <w:rFonts w:ascii="Courier New" w:cs="Courier New" w:eastAsia="Courier New" w:hAnsi="Courier New"/>
          <w:sz w:val="16"/>
          <w:szCs w:val="16"/>
          <w:color w:val="auto"/>
        </w:rPr>
      </w:pPr>
    </w:p>
    <w:p>
      <w:pPr>
        <w:ind w:left="4" w:right="1879" w:firstLine="944"/>
        <w:spacing w:after="0" w:line="290" w:lineRule="auto"/>
        <w:tabs>
          <w:tab w:leader="none" w:pos="1373"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During the Term and provided the same are authorized by Employer, Employer shall either pay directly or</w:t>
      </w:r>
    </w:p>
    <w:p>
      <w:pPr>
        <w:sectPr>
          <w:pgSz w:w="11900" w:h="16838" w:orient="portrait"/>
          <w:cols w:equalWidth="0" w:num="1">
            <w:col w:w="9263"/>
          </w:cols>
          <w:pgMar w:left="1196" w:top="723" w:right="1440" w:bottom="1440" w:gutter="0" w:footer="0" w:header="0"/>
        </w:sectPr>
      </w:pPr>
    </w:p>
    <w:bookmarkStart w:id="9" w:name="page10"/>
    <w:bookmarkEnd w:id="9"/>
    <w:p>
      <w:pPr>
        <w:ind w:right="1879"/>
        <w:spacing w:after="0" w:line="272" w:lineRule="auto"/>
        <w:rPr>
          <w:sz w:val="20"/>
          <w:szCs w:val="20"/>
          <w:color w:val="auto"/>
        </w:rPr>
      </w:pPr>
      <w:r>
        <w:rPr>
          <w:rFonts w:ascii="Courier New" w:cs="Courier New" w:eastAsia="Courier New" w:hAnsi="Courier New"/>
          <w:sz w:val="16"/>
          <w:szCs w:val="16"/>
          <w:color w:val="auto"/>
        </w:rPr>
        <w:t>reimburse Employee for Employee's reasonable expenses incurred for the benefit of Employer in accordance with Employer's general policy regarding expense reimbursement, as the same may be amended, modified or changed from time to time. Prior to reimbursement, Employee shall provide Employer with sufficient detailed invoices of such expenses as may be required by Employer's expense reimbursement policy.</w:t>
      </w:r>
    </w:p>
    <w:p>
      <w:pPr>
        <w:spacing w:after="0" w:line="186" w:lineRule="exact"/>
        <w:rPr>
          <w:sz w:val="20"/>
          <w:szCs w:val="20"/>
          <w:color w:val="auto"/>
        </w:rPr>
      </w:pPr>
    </w:p>
    <w:p>
      <w:pPr>
        <w:ind w:right="1879" w:firstLine="944"/>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AIRCRAFT. Employee shall have the right to the personal use of Employer's aircraft by Employee and his family. Employer and Employee shall enter into a separate agreement for such personal use. All charges for the personal use of the aircraft by Employee shall be imputed into Employee's income calculated in accordance with the same method used for other executives with similar time-sharing agreements. Employer and Employee acknowledge that the current method for determining the amount of imputed income for the personal use of the Employer's aircraft is in accordance with the Standard Industry Fare Level method established by the United States Internal Revenue Services.</w:t>
      </w:r>
    </w:p>
    <w:p>
      <w:pPr>
        <w:spacing w:after="0" w:line="215" w:lineRule="exact"/>
        <w:rPr>
          <w:rFonts w:ascii="Courier New" w:cs="Courier New" w:eastAsia="Courier New" w:hAnsi="Courier New"/>
          <w:sz w:val="18"/>
          <w:szCs w:val="18"/>
          <w:color w:val="auto"/>
        </w:rPr>
      </w:pPr>
    </w:p>
    <w:p>
      <w:pPr>
        <w:ind w:right="1879" w:firstLine="944"/>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TERMS. Employer shall provide Employee with personal security when Employee is in Macau or as otherwise reasonably requested. In addition, Employer shall provide Employee with a car and driver in Macau and such personal assistants as are necessary for the conduct of his duties.</w:t>
      </w:r>
    </w:p>
    <w:p>
      <w:pPr>
        <w:spacing w:after="0" w:line="208" w:lineRule="exact"/>
        <w:rPr>
          <w:rFonts w:ascii="Courier New" w:cs="Courier New" w:eastAsia="Courier New" w:hAnsi="Courier New"/>
          <w:sz w:val="18"/>
          <w:szCs w:val="18"/>
          <w:color w:val="auto"/>
        </w:rPr>
      </w:pPr>
    </w:p>
    <w:p>
      <w:pPr>
        <w:ind w:right="1999" w:firstLine="944"/>
        <w:spacing w:after="0" w:line="271" w:lineRule="auto"/>
        <w:tabs>
          <w:tab w:leader="none" w:pos="136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VACATIONS AND HOLIDAYS. Commencing as of the Effective Date of this Agreement, Employee shall be entitled to (i) annual paid vacation leave in accordance with Employer's standard policy, but in no event less than four (4) weeks each year of the Term, to be taken at such times as selected by Employee in his discretion and (ii) paid holidays (or, at Employer's option, an equivalent number of paid days off) in accordance with Employer's standard policy.</w:t>
      </w:r>
    </w:p>
    <w:p>
      <w:pPr>
        <w:spacing w:after="0" w:line="187" w:lineRule="exact"/>
        <w:rPr>
          <w:rFonts w:ascii="Courier New" w:cs="Courier New" w:eastAsia="Courier New" w:hAnsi="Courier New"/>
          <w:sz w:val="16"/>
          <w:szCs w:val="16"/>
          <w:color w:val="auto"/>
        </w:rPr>
      </w:pPr>
    </w:p>
    <w:p>
      <w:pPr>
        <w:ind w:right="1999" w:firstLine="944"/>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WITHHOLDINGS. All compensation to Employee identified in this Section 7 shall be subject to applicable withholdings for federal, state or local income or other taxes, Social Security Tax, Medicare Tax, State Unemployment Insurance, State Disability Insurance, voluntary charitable contributions and the like.</w:t>
      </w:r>
    </w:p>
    <w:p>
      <w:pPr>
        <w:sectPr>
          <w:pgSz w:w="11900" w:h="16838" w:orient="portrait"/>
          <w:cols w:equalWidth="0" w:num="1">
            <w:col w:w="9259"/>
          </w:cols>
          <w:pgMar w:left="1200" w:top="723" w:right="1440" w:bottom="1440" w:gutter="0" w:footer="0" w:header="0"/>
        </w:sectPr>
      </w:pPr>
    </w:p>
    <w:bookmarkStart w:id="10" w:name="page11"/>
    <w:bookmarkEnd w:id="10"/>
    <w:p>
      <w:pPr>
        <w:ind w:left="944" w:hanging="944"/>
        <w:spacing w:after="0"/>
        <w:tabs>
          <w:tab w:leader="none" w:pos="94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LICENSING REQUIREMENTS.</w:t>
      </w:r>
    </w:p>
    <w:p>
      <w:pPr>
        <w:ind w:left="94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4" w:right="1879" w:firstLine="944"/>
        <w:spacing w:after="0" w:line="237" w:lineRule="auto"/>
        <w:tabs>
          <w:tab w:leader="none" w:pos="137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and Employee hereby covenant and agree that this Agreement may be subject to the approval of one or more gaming regulatory authorities (the "Gaming Authorities") pursuant to the provisions of the applicable gaming regulatory statutes and the regulations promulgated thereunder (the "Gaming Laws"). Employer and Employee hereby covenant and agree to use their reasonable commercial best efforts, at Employer's sole cost and expense, to obtain any and all approvals required by the Gaming Laws.</w:t>
      </w:r>
    </w:p>
    <w:p>
      <w:pPr>
        <w:spacing w:after="0" w:line="212" w:lineRule="exact"/>
        <w:rPr>
          <w:rFonts w:ascii="Courier New" w:cs="Courier New" w:eastAsia="Courier New" w:hAnsi="Courier New"/>
          <w:sz w:val="18"/>
          <w:szCs w:val="18"/>
          <w:color w:val="auto"/>
        </w:rPr>
      </w:pPr>
    </w:p>
    <w:p>
      <w:pPr>
        <w:ind w:left="4" w:right="1879" w:firstLine="944"/>
        <w:spacing w:after="0" w:line="237" w:lineRule="auto"/>
        <w:tabs>
          <w:tab w:leader="none" w:pos="137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"License"). Employee agrees to apply for any required License.</w:t>
      </w:r>
    </w:p>
    <w:p>
      <w:pPr>
        <w:spacing w:after="0" w:line="211" w:lineRule="exact"/>
        <w:rPr>
          <w:rFonts w:ascii="Courier New" w:cs="Courier New" w:eastAsia="Courier New" w:hAnsi="Courier New"/>
          <w:sz w:val="18"/>
          <w:szCs w:val="18"/>
          <w:color w:val="auto"/>
        </w:rPr>
      </w:pPr>
    </w:p>
    <w:p>
      <w:pPr>
        <w:ind w:left="4" w:right="1999" w:firstLine="944"/>
        <w:spacing w:after="0" w:line="237" w:lineRule="auto"/>
        <w:tabs>
          <w:tab w:leader="none" w:pos="137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and Employee hereby covenant and agree that the provisions of this Section 8 shall apply in the event Employee's duties require that Employee also be licensed by such relevant governmental agencies other than the Gaming Authorities.</w:t>
      </w:r>
    </w:p>
    <w:p>
      <w:pPr>
        <w:spacing w:after="0" w:line="207" w:lineRule="exact"/>
        <w:rPr>
          <w:rFonts w:ascii="Courier New" w:cs="Courier New" w:eastAsia="Courier New" w:hAnsi="Courier New"/>
          <w:sz w:val="18"/>
          <w:szCs w:val="18"/>
          <w:color w:val="auto"/>
        </w:rPr>
      </w:pPr>
    </w:p>
    <w:p>
      <w:pPr>
        <w:ind w:left="-956" w:right="1879" w:firstLine="956"/>
        <w:spacing w:after="0" w:line="269" w:lineRule="auto"/>
        <w:tabs>
          <w:tab w:leader="none" w:pos="30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Employee hereby warrants, covenants and agrees that, without the prior express written approval of Employer or unless required by law or court order, Employee shall 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(i) derives independent economic value, present or potential, from not being generally known to, and not being readily ascertainable by proper means by, other persons who can obtain economic value from its disclosure or use, and (ii) is the subject of efforts that are reasonable under the circumstances to maintain its secrecy. The warranty, covenant and agreement set forth in this Section 9 shall not expire, shall survive this Agreement and shall be binding upon Employee without regard to the passage of time or other events. Employer acknowledges Employee's many years of prior experience in the hotel, hotel/casino, gaming and gambling business and agree that none of Employee's individual knowledge shall be deemed the property of Employer and nothing in this Agreement shall be construed to prevent or limit Employee's full utilization in the future of the knowledge, expertise and experience he has developed or information he has acquired either before or after the date</w:t>
      </w:r>
    </w:p>
    <w:p>
      <w:pPr>
        <w:sectPr>
          <w:pgSz w:w="11900" w:h="16838" w:orient="portrait"/>
          <w:cols w:equalWidth="0" w:num="1">
            <w:col w:w="9263"/>
          </w:cols>
          <w:pgMar w:left="1196" w:top="717" w:right="1440" w:bottom="1440" w:gutter="0" w:footer="0" w:header="0"/>
        </w:sectPr>
      </w:pPr>
    </w:p>
    <w:bookmarkStart w:id="11" w:name="page12"/>
    <w:bookmarkEnd w:id="11"/>
    <w:p>
      <w:pPr>
        <w:ind w:right="2099"/>
        <w:spacing w:after="0" w:line="235" w:lineRule="auto"/>
        <w:rPr>
          <w:sz w:val="20"/>
          <w:szCs w:val="20"/>
          <w:color w:val="auto"/>
        </w:rPr>
      </w:pPr>
      <w:r>
        <w:rPr>
          <w:rFonts w:ascii="Courier New" w:cs="Courier New" w:eastAsia="Courier New" w:hAnsi="Courier New"/>
          <w:sz w:val="18"/>
          <w:szCs w:val="18"/>
          <w:color w:val="auto"/>
        </w:rPr>
        <w:t>of this Agreement except as expressly provided in Section 4 of this Agreement and in this Section 9.</w:t>
      </w:r>
    </w:p>
    <w:p>
      <w:pPr>
        <w:spacing w:after="0" w:line="203" w:lineRule="exact"/>
        <w:rPr>
          <w:sz w:val="20"/>
          <w:szCs w:val="20"/>
          <w:color w:val="auto"/>
        </w:rPr>
      </w:pP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RESTRICTIVE COVENANT/NO SOLICITATION.</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right="1879" w:firstLine="944"/>
        <w:spacing w:after="0" w:line="269" w:lineRule="auto"/>
        <w:tabs>
          <w:tab w:leader="none" w:pos="232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hereby covenants and agrees that, during the Term,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provide executive services of an operational nature to any casino, hotel/casino or other similar gaming or gambling operation conducted in Macau and not owned by Employer or any of Employer's Affiliates that is a "Competitive Business" with Employer; provided that the parties agree that only Las Vegas Sands, or Affiliates, Galaxy Casino, S.A. or Affiliates, MGM Mirage or Affiliates, Stanley Ho, SJM or Affiliates, and Publishing &amp; Broadcasting, Limited/Melco or Affiliates conducting business in Macau shall be deemed a "Competitive Business"; provided further that the parties agree that the term "Competitive Business" shall not include internet gaming conducted from Macau, so long as such business does not result in adverse affect on Employer or any Affiliate from a regulator to which it is answerable in its operations. Employee hereby further covenants and agrees that the restrictive covenant contained in this Section 10 is reasonable as to duration, terms and geographical area and that the same protects the legitimate interests of Employer, imposes no undue hardship on Employee, and is not injurious to the public.</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960" w:right="2099" w:firstLine="944"/>
        <w:spacing w:after="0" w:line="272" w:lineRule="auto"/>
        <w:tabs>
          <w:tab w:leader="none" w:pos="232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hereby further covenants and agrees that, for the period described in Subsection 10(a) or 6(c), as applicable, Employee shall not directly or indirectly solicit or attempt to solicit for employment, any management level employee of Employer or Employer's Affiliates who is engaged in the principal business activity of Employer or Employer's Affiliates, in Macau.</w:t>
      </w:r>
    </w:p>
    <w:p>
      <w:pPr>
        <w:spacing w:after="0" w:line="185" w:lineRule="exact"/>
        <w:rPr>
          <w:rFonts w:ascii="Courier New" w:cs="Courier New" w:eastAsia="Courier New" w:hAnsi="Courier New"/>
          <w:sz w:val="16"/>
          <w:szCs w:val="16"/>
          <w:color w:val="auto"/>
        </w:rPr>
      </w:pPr>
    </w:p>
    <w:p>
      <w:pPr>
        <w:ind w:right="1879" w:firstLine="956"/>
        <w:spacing w:after="0" w:line="238"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Employee acknowledges that Employer has and will continue to deliver, provide and expose 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w:t>
      </w:r>
    </w:p>
    <w:p>
      <w:pPr>
        <w:sectPr>
          <w:pgSz w:w="11900" w:h="16838" w:orient="portrait"/>
          <w:cols w:equalWidth="0" w:num="1">
            <w:col w:w="10219"/>
          </w:cols>
          <w:pgMar w:left="240" w:top="723" w:right="1440" w:bottom="1440" w:gutter="0" w:footer="0" w:header="0"/>
        </w:sectPr>
      </w:pPr>
    </w:p>
    <w:bookmarkStart w:id="12" w:name="page13"/>
    <w:bookmarkEnd w:id="12"/>
    <w:p>
      <w:pPr>
        <w:ind w:right="2099"/>
        <w:spacing w:after="0" w:line="237" w:lineRule="auto"/>
        <w:rPr>
          <w:sz w:val="20"/>
          <w:szCs w:val="20"/>
          <w:color w:val="auto"/>
        </w:rPr>
      </w:pPr>
      <w:r>
        <w:rPr>
          <w:rFonts w:ascii="Courier New" w:cs="Courier New" w:eastAsia="Courier New" w:hAnsi="Courier New"/>
          <w:sz w:val="18"/>
          <w:szCs w:val="18"/>
          <w:color w:val="auto"/>
        </w:rPr>
        <w:t>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w:t>
      </w:r>
    </w:p>
    <w:p>
      <w:pPr>
        <w:spacing w:after="0" w:line="207" w:lineRule="exact"/>
        <w:rPr>
          <w:sz w:val="20"/>
          <w:szCs w:val="20"/>
          <w:color w:val="auto"/>
        </w:rPr>
      </w:pPr>
    </w:p>
    <w:p>
      <w:pPr>
        <w:ind w:left="1800" w:hanging="844"/>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6" w:lineRule="exact"/>
        <w:rPr>
          <w:rFonts w:ascii="Courier New" w:cs="Courier New" w:eastAsia="Courier New" w:hAnsi="Courier New"/>
          <w:sz w:val="18"/>
          <w:szCs w:val="18"/>
          <w:color w:val="auto"/>
        </w:rPr>
      </w:pPr>
    </w:p>
    <w:p>
      <w:pPr>
        <w:ind w:left="960" w:right="1879" w:firstLine="944"/>
        <w:spacing w:after="0" w:line="238" w:lineRule="auto"/>
        <w:tabs>
          <w:tab w:leader="none" w:pos="232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agrees to indemnify and hold harmless Employee to the fullest extent permitted by Nevada law and its governing documents from and against any and all expenses, judgments, losses, liabilities, claims, debts, fines and amounts paid in settlement ("Losses") in connection with any threatened, pending or completed action, suit, claim, demand, investigation or proceeding (a "Proceeding") in which Employee is involved as a party or otherwise, or can be threatened to be made a party, by reason of Employee's employment with Employer, by reason of any action or inaction while acting in the scope of his employment if he is found not to be liable or acted in good faith and in a manner he reasonably believed was not opposed to the best interests of Employer. Expenses indemnified against hereunder shall include all attorneys' fees, costs and expenses incurred in connection with any Proceeding. The costs and expenses incurred in responding to any Proceeding and defending against the allegations made therein shall be advanced by Employer to Employee monthly as they accrue. Employee agrees, however, to repay such advances in respect of which it ultimately shall be determined, in a court of competent jurisdiction not subject to further appeal, that Employer is not obligated to indemnify the Employee from liability pursuant to this Section 12. Notwithstanding anything to the contrary contained herein, Employer shall not be obligated to indemnify Employee for any Losses arising out of or relating to the Existing Agreements.</w:t>
      </w:r>
    </w:p>
    <w:p>
      <w:pPr>
        <w:spacing w:after="0" w:line="211" w:lineRule="exact"/>
        <w:rPr>
          <w:rFonts w:ascii="Courier New" w:cs="Courier New" w:eastAsia="Courier New" w:hAnsi="Courier New"/>
          <w:sz w:val="18"/>
          <w:szCs w:val="18"/>
          <w:color w:val="auto"/>
        </w:rPr>
      </w:pPr>
    </w:p>
    <w:p>
      <w:pPr>
        <w:ind w:left="960" w:right="1879" w:firstLine="944"/>
        <w:spacing w:after="0" w:line="270" w:lineRule="auto"/>
        <w:tabs>
          <w:tab w:leader="none" w:pos="232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Employee of the commencement of or the threat of commencement of any Proceeding, Employee shall, if he believes that indemnification is due hereunder, notify Employer of such commencement or threat, but failure to so notify Employer shall not relieve it from any liability which it may otherwise have on account of this indemnity provision, unless and only to the extent that such failure to so notify would result in the forfeiture by the Employer of any substantive rights or defenses. In case any such Proceeding is brought against Employee, and he notifies Employer of the commencement thereof, Employer will be entitled to participate therein and, to the extent that it may wish, to assume the defense thereof with counsel reasonably acceptable to Employee (including, without limitation, the right to settle subject to Subsection (c) hereof), and after notice from Employer to</w:t>
      </w:r>
    </w:p>
    <w:p>
      <w:pPr>
        <w:sectPr>
          <w:pgSz w:w="11900" w:h="16838" w:orient="portrait"/>
          <w:cols w:equalWidth="0" w:num="1">
            <w:col w:w="10219"/>
          </w:cols>
          <w:pgMar w:left="240" w:top="723" w:right="1440" w:bottom="1440" w:gutter="0" w:footer="0" w:header="0"/>
        </w:sectPr>
      </w:pPr>
    </w:p>
    <w:bookmarkStart w:id="13" w:name="page14"/>
    <w:bookmarkEnd w:id="13"/>
    <w:p>
      <w:pPr>
        <w:ind w:left="4" w:right="1879"/>
        <w:spacing w:after="0" w:line="268" w:lineRule="auto"/>
        <w:rPr>
          <w:sz w:val="20"/>
          <w:szCs w:val="20"/>
          <w:color w:val="auto"/>
        </w:rPr>
      </w:pPr>
      <w:r>
        <w:rPr>
          <w:rFonts w:ascii="Courier New" w:cs="Courier New" w:eastAsia="Courier New" w:hAnsi="Courier New"/>
          <w:sz w:val="16"/>
          <w:szCs w:val="16"/>
          <w:color w:val="auto"/>
        </w:rPr>
        <w:t>Employee of its election so to assume the defense thereof, the Employer, subject to the succeeding proviso, will not be liable to the Employee under this Section 12 for any legal or other expenses subsequently incurred by Employee in connection with the defense thereof; provided, however, that in the event Employer elects to assume the defense of Employee in any such Proceeding and retain such counsel, Employee may retain additional counsel and participate in the defense, but shall bear the fees and expenses of such counsel unless</w:t>
      </w:r>
    </w:p>
    <w:p>
      <w:pPr>
        <w:spacing w:after="0" w:line="1" w:lineRule="exact"/>
        <w:rPr>
          <w:sz w:val="20"/>
          <w:szCs w:val="20"/>
          <w:color w:val="auto"/>
        </w:rPr>
      </w:pPr>
    </w:p>
    <w:p>
      <w:pPr>
        <w:ind w:left="4" w:right="1999" w:hanging="4"/>
        <w:spacing w:after="0" w:line="237" w:lineRule="auto"/>
        <w:tabs>
          <w:tab w:leader="none" w:pos="4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shall have specifically authorized the retaining of such counsel or Employer has failed to assume the defense as provided above, (ii) Employer is included as a party to such Proceeding and Employee has received a written opinion of counsel that one or more legal defenses may be available to him which may not be available to Employer, it being understood, however, that Employer shall not be responsible for the expenses of more than one such additional counsel in connection with any one such Proceeding, (iii) the Proceeding is a criminal action in which Employee is named as a defendant or any action seeking injunctive relief against Employee, or (iv) Employer has settled such Proceeding.</w:t>
      </w:r>
    </w:p>
    <w:p>
      <w:pPr>
        <w:spacing w:after="0" w:line="215" w:lineRule="exact"/>
        <w:rPr>
          <w:rFonts w:ascii="Courier New" w:cs="Courier New" w:eastAsia="Courier New" w:hAnsi="Courier New"/>
          <w:sz w:val="18"/>
          <w:szCs w:val="18"/>
          <w:color w:val="auto"/>
        </w:rPr>
      </w:pPr>
    </w:p>
    <w:p>
      <w:pPr>
        <w:ind w:left="4" w:right="1879" w:firstLine="944"/>
        <w:spacing w:after="0" w:line="238" w:lineRule="auto"/>
        <w:tabs>
          <w:tab w:leader="none" w:pos="1373"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shall not be prohibited from settling any Proceeding, except that Employee shall not be required in connection with any such settlement to admit commission of a crime or to consent to any injunctive relief or forfeiture of or limitations or any gaming related license. If Employee receives an offer to settle any Proceeding which Employee informs Employer that he would like to accept, Employer shall not unreasonably refuse to agree to such settlement and, if Employer reasonably determines not to agree to such settlement, Employer shall cooperate in such good faith in negotiation of a settlement reasonably acceptable to Employer. If Employer determines to settle any Proceeding, Employer shall pay for all Losses associated with such settlement, and shall continue, to the extent applicable, to be responsible to Employee with respect to such Proceeding in accordance with Subsections (a) and (b) hereof.</w:t>
      </w:r>
    </w:p>
    <w:p>
      <w:pPr>
        <w:spacing w:after="0" w:line="207" w:lineRule="exact"/>
        <w:rPr>
          <w:rFonts w:ascii="Courier New" w:cs="Courier New" w:eastAsia="Courier New" w:hAnsi="Courier New"/>
          <w:sz w:val="18"/>
          <w:szCs w:val="18"/>
          <w:color w:val="auto"/>
        </w:rPr>
      </w:pPr>
    </w:p>
    <w:p>
      <w:pPr>
        <w:ind w:left="4" w:right="1999" w:firstLine="944"/>
        <w:spacing w:after="0" w:line="237" w:lineRule="auto"/>
        <w:tabs>
          <w:tab w:leader="none" w:pos="1373"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provisions of this Section 12 are in addition to any rights Employee may have to indemnification as a matter of law, in accordance with the terms of Employer's certificate of incorporation or by-laws, which shall remain in full force and effect and are not affected by this Agreement. Notice shall be accompanied by such documentation or information as is necessary for the determination of entitlement to indemnification.</w:t>
      </w:r>
    </w:p>
    <w:p>
      <w:pPr>
        <w:spacing w:after="0" w:line="200" w:lineRule="exact"/>
        <w:rPr>
          <w:sz w:val="20"/>
          <w:szCs w:val="20"/>
          <w:color w:val="auto"/>
        </w:rPr>
      </w:pPr>
    </w:p>
    <w:p>
      <w:pPr>
        <w:spacing w:after="0" w:line="214" w:lineRule="exact"/>
        <w:rPr>
          <w:sz w:val="20"/>
          <w:szCs w:val="20"/>
          <w:color w:val="auto"/>
        </w:rPr>
      </w:pPr>
    </w:p>
    <w:p>
      <w:pPr>
        <w:ind w:left="-956" w:right="2099" w:firstLine="956"/>
        <w:spacing w:after="0" w:line="237" w:lineRule="auto"/>
        <w:tabs>
          <w:tab w:leader="none" w:pos="41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Upon termination of this Agreement by Employee pursuant to Section 6(c) hereof on or before the second Anniversary of the Effective Date, Employer shall release Employee from the restrictions of Section 10(a) hereof, effective on the termination date. Such release shall include all actions that may have been</w:t>
      </w:r>
    </w:p>
    <w:p>
      <w:pPr>
        <w:sectPr>
          <w:pgSz w:w="11900" w:h="16838" w:orient="portrait"/>
          <w:cols w:equalWidth="0" w:num="1">
            <w:col w:w="9263"/>
          </w:cols>
          <w:pgMar w:left="1196" w:top="723" w:right="1440" w:bottom="144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taken by Employee at any time during the Term in furtherance of pursuing an opportunity to conduct casino, hotel/casino or other similar gaming or gambling operations in Macau and none of such actions benefit shall be deemed to constitute a violation of a statutory or common law duty of loyalty or fiduciary duty to Employer.</w:t>
      </w:r>
    </w:p>
    <w:p>
      <w:pPr>
        <w:spacing w:after="0" w:line="209" w:lineRule="exact"/>
        <w:rPr>
          <w:sz w:val="20"/>
          <w:szCs w:val="20"/>
          <w:color w:val="auto"/>
        </w:rPr>
      </w:pPr>
    </w:p>
    <w:p>
      <w:pPr>
        <w:ind w:right="1999" w:firstLine="956"/>
        <w:spacing w:after="0" w:line="236"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BEST EVIDENCE. This Agreement shall be executed in original and "Xerox" or photostatic copies and each copy bearing original signatures in ink shall be deemed an original.</w:t>
      </w:r>
    </w:p>
    <w:p>
      <w:pPr>
        <w:spacing w:after="0" w:line="208" w:lineRule="exact"/>
        <w:rPr>
          <w:rFonts w:ascii="Courier New" w:cs="Courier New" w:eastAsia="Courier New" w:hAnsi="Courier New"/>
          <w:sz w:val="18"/>
          <w:szCs w:val="18"/>
          <w:color w:val="auto"/>
        </w:rPr>
      </w:pPr>
    </w:p>
    <w:p>
      <w:pPr>
        <w:ind w:right="1999" w:firstLine="956"/>
        <w:spacing w:after="0" w:line="290" w:lineRule="auto"/>
        <w:tabs>
          <w:tab w:leader="none" w:pos="136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SUCCESSION. This Agreement shall be binding upon and inure to the benefit of Employer and Employee and their respective successors and assigns.</w:t>
      </w:r>
    </w:p>
    <w:p>
      <w:pPr>
        <w:spacing w:after="0" w:line="169"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Employee shall not assign this Agreement or delegate his duties hereunder without the express written prior consent of Employer thereto. Any purported assignment by Employee in violation of this Section 16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w:t>
      </w:r>
    </w:p>
    <w:p>
      <w:pPr>
        <w:spacing w:after="0" w:line="211" w:lineRule="exact"/>
        <w:rPr>
          <w:rFonts w:ascii="Courier New" w:cs="Courier New" w:eastAsia="Courier New" w:hAnsi="Courier New"/>
          <w:sz w:val="18"/>
          <w:szCs w:val="18"/>
          <w:color w:val="auto"/>
        </w:rPr>
      </w:pPr>
    </w:p>
    <w:p>
      <w:pPr>
        <w:ind w:right="2199" w:firstLine="956"/>
        <w:spacing w:after="0" w:line="236"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MODIFICATION. This Agreement may not be amended, modified, changed or altered except by a writing signed by both Employer and Employee.</w:t>
      </w:r>
    </w:p>
    <w:p>
      <w:pPr>
        <w:spacing w:after="0" w:line="208" w:lineRule="exact"/>
        <w:rPr>
          <w:rFonts w:ascii="Courier New" w:cs="Courier New" w:eastAsia="Courier New" w:hAnsi="Courier New"/>
          <w:sz w:val="18"/>
          <w:szCs w:val="18"/>
          <w:color w:val="auto"/>
        </w:rPr>
      </w:pPr>
    </w:p>
    <w:p>
      <w:pPr>
        <w:ind w:right="2099" w:firstLine="956"/>
        <w:spacing w:after="0" w:line="236"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Nevada without giving effect to Nevada choice of law principles.</w:t>
      </w:r>
    </w:p>
    <w:p>
      <w:pPr>
        <w:spacing w:after="0" w:line="208" w:lineRule="exact"/>
        <w:rPr>
          <w:rFonts w:ascii="Courier New" w:cs="Courier New" w:eastAsia="Courier New" w:hAnsi="Courier New"/>
          <w:sz w:val="18"/>
          <w:szCs w:val="18"/>
          <w:color w:val="auto"/>
        </w:rPr>
      </w:pPr>
    </w:p>
    <w:p>
      <w:pPr>
        <w:ind w:right="2099" w:firstLine="956"/>
        <w:spacing w:after="0" w:line="236"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and all notices required under this Agreement shall be in writing and shall be either hand-delivered or mailed, certified mail, return receipt requested, addressed to:</w:t>
      </w:r>
    </w:p>
    <w:p>
      <w:pPr>
        <w:spacing w:after="0" w:line="200" w:lineRule="exact"/>
        <w:rPr>
          <w:sz w:val="20"/>
          <w:szCs w:val="20"/>
          <w:color w:val="auto"/>
        </w:rPr>
      </w:pPr>
    </w:p>
    <w:p>
      <w:pPr>
        <w:spacing w:after="0" w:line="20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360" w:type="dxa"/>
            <w:vAlign w:val="bottom"/>
          </w:tcPr>
          <w:p>
            <w:pPr>
              <w:spacing w:after="0"/>
              <w:rPr>
                <w:sz w:val="20"/>
                <w:szCs w:val="20"/>
                <w:color w:val="auto"/>
              </w:rPr>
            </w:pPr>
            <w:r>
              <w:rPr>
                <w:rFonts w:ascii="Courier New" w:cs="Courier New" w:eastAsia="Courier New" w:hAnsi="Courier New"/>
                <w:sz w:val="18"/>
                <w:szCs w:val="18"/>
                <w:color w:val="auto"/>
              </w:rPr>
              <w:t>TO EMPLOYER:</w:t>
            </w:r>
          </w:p>
        </w:tc>
        <w:tc>
          <w:tcPr>
            <w:tcW w:w="1480" w:type="dxa"/>
            <w:vAlign w:val="bottom"/>
          </w:tcPr>
          <w:p>
            <w:pPr>
              <w:ind w:left="580"/>
              <w:spacing w:after="0"/>
              <w:rPr>
                <w:sz w:val="20"/>
                <w:szCs w:val="20"/>
                <w:color w:val="auto"/>
              </w:rPr>
            </w:pPr>
            <w:r>
              <w:rPr>
                <w:rFonts w:ascii="Courier New" w:cs="Courier New" w:eastAsia="Courier New" w:hAnsi="Courier New"/>
                <w:sz w:val="18"/>
                <w:szCs w:val="18"/>
                <w:color w:val="auto"/>
              </w:rPr>
              <w:t>c/o Wynn</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Resorts,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Limited</w:t>
            </w:r>
          </w:p>
        </w:tc>
      </w:tr>
      <w:tr>
        <w:trPr>
          <w:trHeight w:val="203"/>
        </w:trPr>
        <w:tc>
          <w:tcPr>
            <w:tcW w:w="2360" w:type="dxa"/>
            <w:vAlign w:val="bottom"/>
          </w:tcPr>
          <w:p>
            <w:pPr>
              <w:spacing w:after="0"/>
              <w:rPr>
                <w:sz w:val="17"/>
                <w:szCs w:val="17"/>
                <w:color w:val="auto"/>
              </w:rPr>
            </w:pPr>
          </w:p>
        </w:tc>
        <w:tc>
          <w:tcPr>
            <w:tcW w:w="1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3131 Las</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Vegas Boulevard South</w:t>
            </w:r>
          </w:p>
        </w:tc>
      </w:tr>
      <w:tr>
        <w:trPr>
          <w:trHeight w:val="203"/>
        </w:trPr>
        <w:tc>
          <w:tcPr>
            <w:tcW w:w="2360" w:type="dxa"/>
            <w:vAlign w:val="bottom"/>
          </w:tcPr>
          <w:p>
            <w:pPr>
              <w:spacing w:after="0"/>
              <w:rPr>
                <w:sz w:val="17"/>
                <w:szCs w:val="17"/>
                <w:color w:val="auto"/>
              </w:rPr>
            </w:pPr>
          </w:p>
        </w:tc>
        <w:tc>
          <w:tcPr>
            <w:tcW w:w="24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Las Vegas, Nevada</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89109</w:t>
            </w:r>
          </w:p>
        </w:tc>
      </w:tr>
      <w:tr>
        <w:trPr>
          <w:trHeight w:val="203"/>
        </w:trPr>
        <w:tc>
          <w:tcPr>
            <w:tcW w:w="2360" w:type="dxa"/>
            <w:vAlign w:val="bottom"/>
          </w:tcPr>
          <w:p>
            <w:pPr>
              <w:spacing w:after="0"/>
              <w:rPr>
                <w:sz w:val="17"/>
                <w:szCs w:val="17"/>
                <w:color w:val="auto"/>
              </w:rPr>
            </w:pPr>
          </w:p>
        </w:tc>
        <w:tc>
          <w:tcPr>
            <w:tcW w:w="24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Attn: Chairman</w:t>
            </w:r>
          </w:p>
        </w:tc>
        <w:tc>
          <w:tcPr>
            <w:tcW w:w="1320" w:type="dxa"/>
            <w:vAlign w:val="bottom"/>
          </w:tcPr>
          <w:p>
            <w:pPr>
              <w:spacing w:after="0"/>
              <w:rPr>
                <w:sz w:val="17"/>
                <w:szCs w:val="17"/>
                <w:color w:val="auto"/>
              </w:rPr>
            </w:pP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WITH A COPY</w:t>
            </w:r>
          </w:p>
        </w:tc>
        <w:tc>
          <w:tcPr>
            <w:tcW w:w="374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Wynn Resorts, Limited</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THAT SHALL NOT BE</w:t>
            </w:r>
          </w:p>
        </w:tc>
        <w:tc>
          <w:tcPr>
            <w:tcW w:w="1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3131 Las</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Vegas Boulevard South</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 TO:</w:t>
            </w:r>
          </w:p>
        </w:tc>
        <w:tc>
          <w:tcPr>
            <w:tcW w:w="24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Las Vegas, Nevada</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89109</w:t>
            </w:r>
          </w:p>
        </w:tc>
      </w:tr>
      <w:tr>
        <w:trPr>
          <w:trHeight w:val="203"/>
        </w:trPr>
        <w:tc>
          <w:tcPr>
            <w:tcW w:w="2360" w:type="dxa"/>
            <w:vAlign w:val="bottom"/>
          </w:tcPr>
          <w:p>
            <w:pPr>
              <w:spacing w:after="0"/>
              <w:rPr>
                <w:sz w:val="17"/>
                <w:szCs w:val="17"/>
                <w:color w:val="auto"/>
              </w:rPr>
            </w:pPr>
          </w:p>
        </w:tc>
        <w:tc>
          <w:tcPr>
            <w:tcW w:w="37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Attn: General Counsel</w:t>
            </w:r>
          </w:p>
        </w:tc>
      </w:tr>
    </w:tbl>
    <w:p>
      <w:pPr>
        <w:sectPr>
          <w:pgSz w:w="11900" w:h="16838" w:orient="portrait"/>
          <w:cols w:equalWidth="0" w:num="1">
            <w:col w:w="10219"/>
          </w:cols>
          <w:pgMar w:left="240" w:top="723" w:right="1440" w:bottom="1440" w:gutter="0" w:footer="0" w:header="0"/>
        </w:sectPr>
      </w:pPr>
    </w:p>
    <w:bookmarkStart w:id="15" w:name="page16"/>
    <w:bookmarkEnd w:id="15"/>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TO EMPLOYEE:</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w w:val="96"/>
              </w:rPr>
              <w:t>Jack B. Binion</w:t>
            </w:r>
          </w:p>
        </w:tc>
        <w:tc>
          <w:tcPr>
            <w:tcW w:w="168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9921 Covington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Cross Drive</w:t>
            </w:r>
          </w:p>
        </w:tc>
      </w:tr>
      <w:tr>
        <w:trPr>
          <w:trHeight w:val="203"/>
        </w:trPr>
        <w:tc>
          <w:tcPr>
            <w:tcW w:w="2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Las Vegas, NV</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89144</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WITH A COPY THAT</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w w:val="96"/>
              </w:rPr>
              <w:t>Blizzard Asset</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w w:val="96"/>
              </w:rPr>
              <w:t>Management, LLC</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SHALL NOT BE NOTICE TO:</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9921 Covington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Cross Drive</w:t>
            </w:r>
          </w:p>
        </w:tc>
      </w:tr>
      <w:tr>
        <w:trPr>
          <w:trHeight w:val="203"/>
        </w:trPr>
        <w:tc>
          <w:tcPr>
            <w:tcW w:w="2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Las Vegas, NV</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89144</w:t>
            </w:r>
          </w:p>
        </w:tc>
      </w:tr>
      <w:tr>
        <w:trPr>
          <w:trHeight w:val="203"/>
        </w:trPr>
        <w:tc>
          <w:tcPr>
            <w:tcW w:w="2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Attn: Dominic</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Polizzotto</w:t>
            </w:r>
          </w:p>
        </w:tc>
      </w:tr>
    </w:tbl>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19.</w:t>
      </w:r>
    </w:p>
    <w:p>
      <w:pPr>
        <w:spacing w:after="0" w:line="182" w:lineRule="exact"/>
        <w:rPr>
          <w:sz w:val="20"/>
          <w:szCs w:val="20"/>
          <w:color w:val="auto"/>
        </w:rPr>
      </w:pPr>
    </w:p>
    <w:p>
      <w:pPr>
        <w:ind w:right="1879" w:firstLine="956"/>
        <w:spacing w:after="0" w:line="236"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The preamble recitals to this Agreement are incorporated into and made a part of this Agreement; titles of sections are for convenience only and are not to be considered a part of this Agreement.</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In the event any one or more provisions of this Agreement is declared judicially void or otherwise unenforceable, the remainder of this Agreement shall survive and such provision(s) shall be deemed modified or amended so as to fulfill the intent of the parties hereto.</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 RESOLUTION. Except for equitable actions seeking to enforce the covenants in Section 9 or 10 of this Agreement, jurisdiction and venue for which is hereby granted to the court of general trial jurisdiction in the State of Nevada, Clark County, any and all claims, disputes, or controversies arising between the parties regarding any of the terms of this Agreement or the breach thereof, shall, on the written demand of either of the parties, be submitted to and be determined by final and binding arbitration held in the State of Nevada, Clark County accordance with Employer's or Employer's Affiliate's arbitration policy governing employment disputes. This agreement to arbitrate shall be specifically enforceable in any court of competent jurisdiction.</w:t>
      </w:r>
    </w:p>
    <w:p>
      <w:pPr>
        <w:spacing w:after="0" w:line="215" w:lineRule="exact"/>
        <w:rPr>
          <w:rFonts w:ascii="Courier New" w:cs="Courier New" w:eastAsia="Courier New" w:hAnsi="Courier New"/>
          <w:sz w:val="18"/>
          <w:szCs w:val="18"/>
          <w:color w:val="auto"/>
        </w:rPr>
      </w:pPr>
    </w:p>
    <w:p>
      <w:pPr>
        <w:ind w:right="2519" w:firstLine="956"/>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None of the terms of this Agreement, including this Section 23,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PAROL. This Agreement constitutes the entire agreement between Employer and Employee with respect to the subject matter hereto and, except for 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its Affiliates.</w:t>
      </w:r>
    </w:p>
    <w:p>
      <w:pPr>
        <w:sectPr>
          <w:pgSz w:w="11900" w:h="16838" w:orient="portrait"/>
          <w:cols w:equalWidth="0" w:num="1">
            <w:col w:w="10219"/>
          </w:cols>
          <w:pgMar w:left="240" w:top="717" w:right="1440" w:bottom="1440" w:gutter="0" w:footer="0" w:header="0"/>
        </w:sectPr>
      </w:pPr>
    </w:p>
    <w:bookmarkStart w:id="16" w:name="page17"/>
    <w:bookmarkEnd w:id="16"/>
    <w:p>
      <w:pPr>
        <w:ind w:right="2199" w:firstLine="948"/>
        <w:spacing w:after="0" w:line="236" w:lineRule="auto"/>
        <w:rPr>
          <w:sz w:val="20"/>
          <w:szCs w:val="20"/>
          <w:color w:val="auto"/>
        </w:rPr>
      </w:pPr>
      <w:r>
        <w:rPr>
          <w:rFonts w:ascii="Courier New" w:cs="Courier New" w:eastAsia="Courier New" w:hAnsi="Courier New"/>
          <w:sz w:val="18"/>
          <w:szCs w:val="18"/>
          <w:color w:val="auto"/>
        </w:rPr>
        <w:t>IN WITNESS WHEREOF AND INTENDING TO BE LEGALLY BOUND THEREBY, the parties hereto have executed and delivered this Agreement as of the year and date first above written.</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WORLDWIDE WYNN, LLC</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w:t>
      </w:r>
    </w:p>
    <w:p>
      <w:pPr>
        <w:spacing w:after="0" w:line="200" w:lineRule="exact"/>
        <w:rPr>
          <w:sz w:val="20"/>
          <w:szCs w:val="20"/>
          <w:color w:val="auto"/>
        </w:rPr>
      </w:pPr>
    </w:p>
    <w:p>
      <w:pPr>
        <w:sectPr>
          <w:pgSz w:w="11900" w:h="16838" w:orient="portrait"/>
          <w:cols w:equalWidth="0" w:num="2">
            <w:col w:w="4240" w:space="720"/>
            <w:col w:w="5259"/>
          </w:cols>
          <w:pgMar w:left="240" w:top="723"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Stephen A. Wynn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Stephen A. Wynn</w:t>
      </w:r>
    </w:p>
    <w:p>
      <w:pPr>
        <w:ind w:left="96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Jack B. Binion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Jack B. Binion</w:t>
      </w:r>
    </w:p>
    <w:p>
      <w:pPr>
        <w:sectPr>
          <w:pgSz w:w="11900" w:h="16838" w:orient="portrait"/>
          <w:cols w:equalWidth="0" w:num="2">
            <w:col w:w="4240" w:space="720"/>
            <w:col w:w="5259"/>
          </w:cols>
          <w:pgMar w:left="240" w:top="723" w:right="1440" w:bottom="1440" w:gutter="0" w:footer="0" w:header="0"/>
          <w:type w:val="continuous"/>
        </w:sectPr>
      </w:pPr>
    </w:p>
    <w:bookmarkStart w:id="17" w:name="page18"/>
    <w:bookmarkEnd w:id="17"/>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Jack Binion to Join Wynn Resorts</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LAS VEGAS--(BUSINESS WIRE)--July 27, 2006--Wynn Resorts, Limited (Nasdaq: WYNN) announced today that Jack Binion, one of America's most highly respected gaming executives and developers, has been appointed Chairman of Wynn International, acting as the senior executive for the Company's Asian operations and development. In making the announcement, Stephen A. Wynn, Chairman of Wynn Resorts, Limited, commented that, "The decades of experience and unparalleled success that Jack brings to our Company is extraordinary. Jack takes his place in the Company at a moment in our history that is truly auspicious. He will lend his direction and maturity to Wynn Macau, opening in just 40 days. Jack's guidance will greatly enhance our ability to deal with the challenges that we face as a fledgling operator in China. We face our future in China with humility and great anticipation and, in the company of Mr. Binion, great confidence as well."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Wynn Resorts, Limited is traded on the Nasdaq National Market under the ticker symbol WYNN and is part of the NASDAQ-100 Index. The company owns and operates Wynn Las Vegas (www.wynnlasvegas.com), a luxury hotel and destination casino resort located on the Las Vegas Strip which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Wynn Resorts, Limited is currently constructing Wynn Macau, a destination casino resort in the Macau Special Administrative Region of the People's Republic of China. Wynn Macau is scheduled to open in September 2006 (www.wynnmacau.com).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w:t>
      </w:r>
    </w:p>
    <w:p>
      <w:pPr>
        <w:spacing w:after="0" w:line="238" w:lineRule="auto"/>
        <w:rPr>
          <w:sz w:val="20"/>
          <w:szCs w:val="20"/>
          <w:color w:val="auto"/>
        </w:rPr>
      </w:pPr>
      <w:r>
        <w:rPr>
          <w:rFonts w:ascii="Courier New" w:cs="Courier New" w:eastAsia="Courier New" w:hAnsi="Courier New"/>
          <w:sz w:val="18"/>
          <w:szCs w:val="18"/>
          <w:color w:val="auto"/>
        </w:rPr>
        <w:t>Wynn Resorts, Limited</w:t>
      </w:r>
    </w:p>
    <w:p>
      <w:pPr>
        <w:spacing w:after="0"/>
        <w:rPr>
          <w:sz w:val="20"/>
          <w:szCs w:val="20"/>
          <w:color w:val="auto"/>
        </w:rPr>
      </w:pPr>
      <w:r>
        <w:rPr>
          <w:rFonts w:ascii="Courier New" w:cs="Courier New" w:eastAsia="Courier New" w:hAnsi="Courier New"/>
          <w:sz w:val="18"/>
          <w:szCs w:val="18"/>
          <w:color w:val="auto"/>
        </w:rPr>
        <w:t>CONTACT: Samanta Stewart, 702-770-7555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lvl w:ilvl="1">
      <w:lvlJc w:val="left"/>
      <w:lvlText w:val="(%2)"/>
      <w:numFmt w:val="lowerLetter"/>
      <w:start w:val="1"/>
    </w:lvl>
  </w:abstractNum>
  <w:abstractNum w:abstractNumId="1">
    <w:nsid w:val="5BD062C2"/>
    <w:multiLevelType w:val="hybridMultilevel"/>
    <w:lvl w:ilvl="0">
      <w:lvlJc w:val="left"/>
      <w:lvlText w:val="%1"/>
      <w:numFmt w:val="lowerLetter"/>
      <w:start w:val="1"/>
    </w:lvl>
    <w:lvl w:ilvl="1">
      <w:lvlJc w:val="left"/>
      <w:lvlText w:val="(%2)"/>
      <w:numFmt w:val="lowerLetter"/>
      <w:start w:val="6"/>
    </w:lvl>
  </w:abstractNum>
  <w:abstractNum w:abstractNumId="2">
    <w:nsid w:val="12200854"/>
    <w:multiLevelType w:val="hybridMultilevel"/>
    <w:lvl w:ilvl="0">
      <w:lvlJc w:val="left"/>
      <w:lvlText w:val="(%1)"/>
      <w:numFmt w:val="lowerLetter"/>
      <w:start w:val="9"/>
    </w:lvl>
    <w:lvl w:ilvl="1">
      <w:lvlJc w:val="left"/>
      <w:lvlText w:val="%2"/>
      <w:numFmt w:val="lowerLetter"/>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
    </w:lvl>
  </w:abstractNum>
  <w:abstractNum w:abstractNumId="5">
    <w:nsid w:val="1F16E9E8"/>
    <w:multiLevelType w:val="hybridMultilevel"/>
    <w:lvl w:ilvl="0">
      <w:lvlJc w:val="left"/>
      <w:lvlText w:val="%1."/>
      <w:numFmt w:val="decimal"/>
      <w:start w:val="7"/>
    </w:lvl>
    <w:lvl w:ilvl="1">
      <w:lvlJc w:val="left"/>
      <w:lvlText w:val="(%2)"/>
      <w:numFmt w:val="lowerLetter"/>
      <w:start w:val="1"/>
    </w:lvl>
  </w:abstractNum>
  <w:abstractNum w:abstractNumId="6">
    <w:nsid w:val="1190CDE7"/>
    <w:multiLevelType w:val="hybridMultilevel"/>
    <w:lvl w:ilvl="0">
      <w:lvlJc w:val="left"/>
      <w:lvlText w:val="%1"/>
      <w:numFmt w:val="lowerLetter"/>
      <w:start w:val="1"/>
    </w:lvl>
    <w:lvl w:ilvl="1">
      <w:lvlJc w:val="left"/>
      <w:lvlText w:val="(%2)"/>
      <w:numFmt w:val="lowerLetter"/>
      <w:start w:val="2"/>
    </w:lvl>
  </w:abstractNum>
  <w:abstractNum w:abstractNumId="7">
    <w:nsid w:val="66EF438D"/>
    <w:multiLevelType w:val="hybridMultilevel"/>
    <w:lvl w:ilvl="0">
      <w:lvlJc w:val="left"/>
      <w:lvlText w:val="(%1)"/>
      <w:numFmt w:val="lowerLetter"/>
      <w:start w:val="35"/>
    </w:lvl>
    <w:lvl w:ilvl="1">
      <w:lvlJc w:val="left"/>
      <w:lvlText w:val="(%2)"/>
      <w:numFmt w:val="lowerLetter"/>
      <w:start w:val="4"/>
    </w:lvl>
  </w:abstractNum>
  <w:abstractNum w:abstractNumId="8">
    <w:nsid w:val="140E0F76"/>
    <w:multiLevelType w:val="hybridMultilevel"/>
    <w:lvl w:ilvl="0">
      <w:lvlJc w:val="left"/>
      <w:lvlText w:val="(%1)"/>
      <w:numFmt w:val="lowerLetter"/>
      <w:start w:val="7"/>
    </w:lvl>
  </w:abstractNum>
  <w:abstractNum w:abstractNumId="9">
    <w:nsid w:val="3352255A"/>
    <w:multiLevelType w:val="hybridMultilevel"/>
    <w:lvl w:ilvl="0">
      <w:lvlJc w:val="left"/>
      <w:lvlText w:val="%1."/>
      <w:numFmt w:val="decimal"/>
      <w:start w:val="8"/>
    </w:lvl>
    <w:lvl w:ilvl="1">
      <w:lvlJc w:val="left"/>
      <w:lvlText w:val="(%2)"/>
      <w:numFmt w:val="lowerLetter"/>
      <w:start w:val="1"/>
    </w:lvl>
  </w:abstractNum>
  <w:abstractNum w:abstractNumId="10">
    <w:nsid w:val="109CF92E"/>
    <w:multiLevelType w:val="hybridMultilevel"/>
    <w:lvl w:ilvl="0">
      <w:lvlJc w:val="left"/>
      <w:lvlText w:val="%1."/>
      <w:numFmt w:val="decimal"/>
      <w:start w:val="10"/>
    </w:lvl>
    <w:lvl w:ilvl="1">
      <w:lvlJc w:val="left"/>
      <w:lvlText w:val="(%2)"/>
      <w:numFmt w:val="lowerLetter"/>
      <w:start w:val="1"/>
    </w:lvl>
  </w:abstractNum>
  <w:abstractNum w:abstractNumId="11">
    <w:nsid w:val="DED7263"/>
    <w:multiLevelType w:val="hybridMultilevel"/>
    <w:lvl w:ilvl="0">
      <w:lvlJc w:val="left"/>
      <w:lvlText w:val="%1."/>
      <w:numFmt w:val="decimal"/>
      <w:start w:val="12"/>
    </w:lvl>
    <w:lvl w:ilvl="1">
      <w:lvlJc w:val="left"/>
      <w:lvlText w:val="(%2)"/>
      <w:numFmt w:val="lowerLetter"/>
      <w:start w:val="1"/>
    </w:lvl>
  </w:abstractNum>
  <w:abstractNum w:abstractNumId="12">
    <w:nsid w:val="7FDCC233"/>
    <w:multiLevelType w:val="hybridMultilevel"/>
    <w:lvl w:ilvl="0">
      <w:lvlJc w:val="left"/>
      <w:lvlText w:val="(%1)"/>
      <w:numFmt w:val="lowerLetter"/>
      <w:start w:val="9"/>
    </w:lvl>
    <w:lvl w:ilvl="1">
      <w:lvlJc w:val="left"/>
      <w:lvlText w:val="(%2)"/>
      <w:numFmt w:val="lowerLetter"/>
      <w:start w:val="3"/>
    </w:lvl>
  </w:abstractNum>
  <w:abstractNum w:abstractNumId="13">
    <w:nsid w:val="1BEFD79F"/>
    <w:multiLevelType w:val="hybridMultilevel"/>
    <w:lvl w:ilvl="0">
      <w:lvlJc w:val="left"/>
      <w:lvlText w:val="%1."/>
      <w:numFmt w:val="decimal"/>
      <w:start w:val="13"/>
    </w:lvl>
  </w:abstractNum>
  <w:abstractNum w:abstractNumId="14">
    <w:nsid w:val="41A7C4C9"/>
    <w:multiLevelType w:val="hybridMultilevel"/>
    <w:lvl w:ilvl="0">
      <w:lvlJc w:val="left"/>
      <w:lvlText w:val="%1."/>
      <w:numFmt w:val="decimal"/>
      <w:start w:val="14"/>
    </w:lvl>
  </w:abstractNum>
  <w:abstractNum w:abstractNumId="15">
    <w:nsid w:val="6B68079A"/>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2019-12-15T07:18:54Z</dcterms:created>
  <dcterms:modified xsi:type="dcterms:W3CDTF">2019-12-15T07:18:54Z</dcterms:modified>
</cp:coreProperties>
</file>