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Billings Craig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CFO and Treasurer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107.98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aggregate of 1,968 shares withheld to satisfy tax withholding obligation upon the vesting of restricted stock with performance-based vesting conditions which was previously granted on April 17, 2018; and 2,361 shares withheld to satisfy tax withholding obligation upon the vesting of restricted stock with time-based vesting conditions which was previously granted on March 1, 2017.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93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Craig Scott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2020-03-03T19:41:56Z</dcterms:created>
  <dcterms:modified xsi:type="dcterms:W3CDTF">2020-03-03T19:41:56Z</dcterms:modified>
</cp:coreProperties>
</file>