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342265</wp:posOffset>
            </wp:positionV>
            <wp:extent cx="68776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256540</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158750</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4" w:lineRule="exact"/>
        <w:rPr>
          <w:sz w:val="24"/>
          <w:szCs w:val="24"/>
          <w:color w:val="auto"/>
        </w:rPr>
      </w:pPr>
    </w:p>
    <w:p>
      <w:pPr>
        <w:ind w:left="700" w:hanging="665"/>
        <w:spacing w:after="0"/>
        <w:tabs>
          <w:tab w:leader="none" w:pos="7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w:t>
      </w:r>
    </w:p>
    <w:p>
      <w:pPr>
        <w:spacing w:after="0" w:line="18"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2"/>
          <w:szCs w:val="22"/>
          <w:b w:val="1"/>
          <w:bCs w:val="1"/>
          <w:color w:val="auto"/>
        </w:rPr>
        <w:t>ACT OF 1934</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2015</w:t>
      </w:r>
    </w:p>
    <w:p>
      <w:pPr>
        <w:spacing w:after="0" w:line="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700" w:right="1040" w:hanging="665"/>
        <w:spacing w:after="0" w:line="254" w:lineRule="auto"/>
        <w:tabs>
          <w:tab w:leader="none" w:pos="7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-5080</wp:posOffset>
            </wp:positionV>
            <wp:extent cx="1295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182880</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WYNN LAS VEGAS, LLC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47" w:lineRule="exact"/>
        <w:rPr>
          <w:sz w:val="24"/>
          <w:szCs w:val="24"/>
          <w:color w:val="auto"/>
        </w:rPr>
      </w:pPr>
    </w:p>
    <w:tbl>
      <w:tblPr>
        <w:tblLayout w:type="fixed"/>
        <w:tblInd w:w="1720" w:type="dxa"/>
        <w:tblCellMar>
          <w:top w:w="0" w:type="dxa"/>
          <w:left w:w="0" w:type="dxa"/>
          <w:bottom w:w="0" w:type="dxa"/>
          <w:right w:w="0" w:type="dxa"/>
        </w:tblCellMar>
      </w:tblPr>
      <w:tr>
        <w:trPr>
          <w:trHeight w:val="238"/>
        </w:trPr>
        <w:tc>
          <w:tcPr>
            <w:tcW w:w="3940" w:type="dxa"/>
            <w:vAlign w:val="bottom"/>
          </w:tcPr>
          <w:p>
            <w:pPr>
              <w:jc w:val="center"/>
              <w:ind w:right="1962"/>
              <w:spacing w:after="0"/>
              <w:rPr>
                <w:sz w:val="20"/>
                <w:szCs w:val="20"/>
                <w:color w:val="auto"/>
              </w:rPr>
            </w:pPr>
            <w:r>
              <w:rPr>
                <w:rFonts w:ascii="Times New Roman" w:cs="Times New Roman" w:eastAsia="Times New Roman" w:hAnsi="Times New Roman"/>
                <w:sz w:val="18"/>
                <w:szCs w:val="18"/>
                <w:b w:val="1"/>
                <w:bCs w:val="1"/>
                <w:color w:val="auto"/>
                <w:w w:val="98"/>
              </w:rPr>
              <w:t>N</w:t>
            </w:r>
            <w:r>
              <w:rPr>
                <w:rFonts w:ascii="Times New Roman" w:cs="Times New Roman" w:eastAsia="Times New Roman" w:hAnsi="Times New Roman"/>
                <w:sz w:val="14"/>
                <w:szCs w:val="14"/>
                <w:b w:val="1"/>
                <w:bCs w:val="1"/>
                <w:color w:val="auto"/>
                <w:w w:val="98"/>
              </w:rPr>
              <w:t>EVADA</w:t>
            </w:r>
          </w:p>
        </w:tc>
        <w:tc>
          <w:tcPr>
            <w:tcW w:w="3200" w:type="dxa"/>
            <w:vAlign w:val="bottom"/>
          </w:tcPr>
          <w:p>
            <w:pPr>
              <w:jc w:val="center"/>
              <w:ind w:left="1982"/>
              <w:spacing w:after="0"/>
              <w:rPr>
                <w:sz w:val="20"/>
                <w:szCs w:val="20"/>
                <w:color w:val="auto"/>
              </w:rPr>
            </w:pPr>
            <w:r>
              <w:rPr>
                <w:rFonts w:ascii="Times New Roman" w:cs="Times New Roman" w:eastAsia="Times New Roman" w:hAnsi="Times New Roman"/>
                <w:sz w:val="18"/>
                <w:szCs w:val="18"/>
                <w:b w:val="1"/>
                <w:bCs w:val="1"/>
                <w:color w:val="auto"/>
                <w:w w:val="98"/>
              </w:rPr>
              <w:t>88-0494875</w:t>
            </w:r>
          </w:p>
        </w:tc>
      </w:tr>
      <w:tr>
        <w:trPr>
          <w:trHeight w:val="178"/>
        </w:trPr>
        <w:tc>
          <w:tcPr>
            <w:tcW w:w="3940" w:type="dxa"/>
            <w:vAlign w:val="bottom"/>
          </w:tcPr>
          <w:p>
            <w:pPr>
              <w:jc w:val="center"/>
              <w:ind w:right="198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00" w:type="dxa"/>
            <w:vAlign w:val="bottom"/>
          </w:tcPr>
          <w:p>
            <w:pPr>
              <w:jc w:val="center"/>
              <w:ind w:left="19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40" w:type="dxa"/>
            <w:vAlign w:val="bottom"/>
          </w:tcPr>
          <w:p>
            <w:pPr>
              <w:jc w:val="center"/>
              <w:ind w:right="19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00" w:type="dxa"/>
            <w:vAlign w:val="bottom"/>
          </w:tcPr>
          <w:p>
            <w:pPr>
              <w:jc w:val="center"/>
              <w:ind w:left="19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3131 Las Vegas Boulevard South - Las Vegas, Nevada 89109</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(702) 770-7555</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-125095</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94" w:lineRule="exact"/>
        <w:rPr>
          <w:sz w:val="24"/>
          <w:szCs w:val="24"/>
          <w:color w:val="auto"/>
        </w:rPr>
      </w:pPr>
    </w:p>
    <w:p>
      <w:pPr>
        <w:ind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7" w:lineRule="exact"/>
        <w:rPr>
          <w:sz w:val="24"/>
          <w:szCs w:val="24"/>
          <w:color w:val="auto"/>
        </w:rPr>
      </w:pPr>
    </w:p>
    <w:p>
      <w:pPr>
        <w:ind w:right="220"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pacing w:after="0" w:line="124"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4580" w:type="dxa"/>
            <w:vAlign w:val="bottom"/>
            <w:vMerge w:val="restart"/>
          </w:tcPr>
          <w:p>
            <w:pPr>
              <w:ind w:left="1700"/>
              <w:spacing w:after="0"/>
              <w:rPr>
                <w:sz w:val="20"/>
                <w:szCs w:val="20"/>
                <w:color w:val="auto"/>
              </w:rPr>
            </w:pPr>
            <w:r>
              <w:rPr>
                <w:rFonts w:ascii="Times New Roman" w:cs="Times New Roman" w:eastAsia="Times New Roman" w:hAnsi="Times New Roman"/>
                <w:sz w:val="18"/>
                <w:szCs w:val="18"/>
                <w:color w:val="auto"/>
              </w:rPr>
              <w:t>Accelerated filer</w:t>
            </w:r>
          </w:p>
        </w:tc>
        <w:tc>
          <w:tcPr>
            <w:tcW w:w="106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96"/>
        </w:trPr>
        <w:tc>
          <w:tcPr>
            <w:tcW w:w="2380" w:type="dxa"/>
            <w:vAlign w:val="bottom"/>
            <w:vMerge w:val="continue"/>
          </w:tcPr>
          <w:p>
            <w:pPr>
              <w:spacing w:after="0"/>
              <w:rPr>
                <w:sz w:val="17"/>
                <w:szCs w:val="17"/>
                <w:color w:val="auto"/>
              </w:rPr>
            </w:pPr>
          </w:p>
        </w:tc>
        <w:tc>
          <w:tcPr>
            <w:tcW w:w="2640" w:type="dxa"/>
            <w:vAlign w:val="bottom"/>
          </w:tcPr>
          <w:p>
            <w:pPr>
              <w:spacing w:after="0"/>
              <w:rPr>
                <w:sz w:val="17"/>
                <w:szCs w:val="17"/>
                <w:color w:val="auto"/>
              </w:rPr>
            </w:pPr>
          </w:p>
        </w:tc>
        <w:tc>
          <w:tcPr>
            <w:tcW w:w="458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x</w:t>
            </w:r>
          </w:p>
        </w:tc>
        <w:tc>
          <w:tcPr>
            <w:tcW w:w="45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6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4" w:lineRule="exact"/>
        <w:rPr>
          <w:sz w:val="24"/>
          <w:szCs w:val="24"/>
          <w:color w:val="auto"/>
        </w:rPr>
      </w:pPr>
    </w:p>
    <w:p>
      <w:pPr>
        <w:ind w:left="660" w:right="2020" w:hanging="224"/>
        <w:spacing w:after="0" w:line="267"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 xml:space="preserve"> </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x</w:t>
      </w:r>
    </w:p>
    <w:p>
      <w:pPr>
        <w:spacing w:after="0" w:line="302"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63"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Wynn Resorts Holdings, LLC owns all of the membership interests of the Registrant as of August 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180340</wp:posOffset>
            </wp:positionV>
            <wp:extent cx="2169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ind w:right="32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The Registrant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146685</wp:posOffset>
            </wp:positionV>
            <wp:extent cx="68776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60960</wp:posOffset>
            </wp:positionV>
            <wp:extent cx="6877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380"/>
          </w:cols>
          <w:pgMar w:left="240" w:top="385" w:right="279" w:bottom="1440" w:gutter="0" w:footer="0" w:header="0"/>
        </w:sectPr>
      </w:pPr>
    </w:p>
    <w:bookmarkStart w:id="1" w:name="page2"/>
    <w:bookmarkEnd w:id="1"/>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70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1"/>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700" w:type="dxa"/>
            <w:vAlign w:val="bottom"/>
            <w:gridSpan w:val="14"/>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Financial Statements</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60" w:type="dxa"/>
            <w:vAlign w:val="bottom"/>
            <w:gridSpan w:val="13"/>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 June 30, 2015 (unaudited) and December 31, 2014</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Statements of Comprehensive Income (Loss) (unaudited) – Three and Six Months Ended June</w:t>
              </w:r>
            </w:hyperlink>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60" w:type="dxa"/>
            <w:vAlign w:val="bottom"/>
            <w:gridSpan w:val="13"/>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30, 2015 and 2014</w:t>
              </w:r>
            </w:hyperlink>
          </w:p>
        </w:tc>
        <w:tc>
          <w:tcPr>
            <w:tcW w:w="180" w:type="dxa"/>
            <w:vAlign w:val="bottom"/>
            <w:gridSpan w:val="2"/>
          </w:tcPr>
          <w:p>
            <w:pPr>
              <w:jc w:val="right"/>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4</w:t>
              </w:r>
            </w:hyperlink>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Cash Flows (unaudited) – Six Months Ended June 30, 2015 and 2014</w:t>
              </w:r>
            </w:hyperlink>
          </w:p>
        </w:tc>
        <w:tc>
          <w:tcPr>
            <w:tcW w:w="15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5</w:t>
              </w:r>
            </w:hyperlink>
          </w:p>
        </w:tc>
      </w:tr>
      <w:tr>
        <w:trPr>
          <w:trHeight w:val="37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00" w:type="dxa"/>
            <w:vAlign w:val="bottom"/>
            <w:gridSpan w:val="14"/>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Notes to Condensed Consolidated Financial Statements (unaudited)</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6</w:t>
              </w:r>
            </w:hyperlink>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14"/>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18">
              <w:r>
                <w:rPr>
                  <w:rFonts w:ascii="Times New Roman" w:cs="Times New Roman" w:eastAsia="Times New Roman" w:hAnsi="Times New Roman"/>
                  <w:sz w:val="18"/>
                  <w:szCs w:val="18"/>
                  <w:color w:val="0000EE"/>
                  <w:w w:val="88"/>
                </w:rPr>
                <w:t>19</w:t>
              </w:r>
            </w:hyperlink>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26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8">
              <w:r>
                <w:rPr>
                  <w:rFonts w:ascii="Times New Roman" w:cs="Times New Roman" w:eastAsia="Times New Roman" w:hAnsi="Times New Roman"/>
                  <w:sz w:val="18"/>
                  <w:szCs w:val="18"/>
                  <w:color w:val="0000EE"/>
                  <w:w w:val="88"/>
                </w:rPr>
                <w:t>28</w:t>
              </w:r>
            </w:hyperlink>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Controls and Procedures</w:t>
              </w:r>
            </w:hyperlink>
          </w:p>
        </w:tc>
        <w:tc>
          <w:tcPr>
            <w:tcW w:w="7920" w:type="dxa"/>
            <w:vAlign w:val="bottom"/>
            <w:gridSpan w:val="8"/>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8">
              <w:r>
                <w:rPr>
                  <w:rFonts w:ascii="Times New Roman" w:cs="Times New Roman" w:eastAsia="Times New Roman" w:hAnsi="Times New Roman"/>
                  <w:sz w:val="18"/>
                  <w:szCs w:val="18"/>
                  <w:color w:val="0000EE"/>
                  <w:w w:val="88"/>
                </w:rPr>
                <w:t>29</w:t>
              </w:r>
            </w:hyperlink>
          </w:p>
        </w:tc>
      </w:tr>
      <w:tr>
        <w:trPr>
          <w:trHeight w:val="41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70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700" w:type="dxa"/>
            <w:vAlign w:val="bottom"/>
            <w:gridSpan w:val="14"/>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Risk Factors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30">
              <w:r>
                <w:rPr>
                  <w:rFonts w:ascii="Times New Roman" w:cs="Times New Roman" w:eastAsia="Times New Roman" w:hAnsi="Times New Roman"/>
                  <w:sz w:val="18"/>
                  <w:szCs w:val="18"/>
                  <w:color w:val="0000EE"/>
                  <w:w w:val="88"/>
                </w:rPr>
                <w:t>30</w:t>
              </w:r>
            </w:hyperlink>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536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14"/>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Unregistered Sales of Equity Securities and Use of Proceeds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30">
              <w:r>
                <w:rPr>
                  <w:rFonts w:ascii="Times New Roman" w:cs="Times New Roman" w:eastAsia="Times New Roman" w:hAnsi="Times New Roman"/>
                  <w:sz w:val="18"/>
                  <w:szCs w:val="18"/>
                  <w:color w:val="0000EE"/>
                  <w:w w:val="88"/>
                </w:rPr>
                <w:t>30</w:t>
              </w:r>
            </w:hyperlink>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434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Exhibits</w:t>
              </w:r>
            </w:hyperlink>
          </w:p>
        </w:tc>
        <w:tc>
          <w:tcPr>
            <w:tcW w:w="5360" w:type="dxa"/>
            <w:vAlign w:val="bottom"/>
            <w:gridSpan w:val="7"/>
          </w:tcPr>
          <w:p>
            <w:pPr>
              <w:spacing w:after="0"/>
              <w:rPr>
                <w:sz w:val="24"/>
                <w:szCs w:val="24"/>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0">
              <w:r>
                <w:rPr>
                  <w:rFonts w:ascii="Times New Roman" w:cs="Times New Roman" w:eastAsia="Times New Roman" w:hAnsi="Times New Roman"/>
                  <w:sz w:val="18"/>
                  <w:szCs w:val="18"/>
                  <w:color w:val="0000EE"/>
                  <w:w w:val="88"/>
                </w:rPr>
                <w:t>31</w:t>
              </w:r>
            </w:hyperlink>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Signature</w:t>
              </w:r>
            </w:hyperlink>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1">
              <w:r>
                <w:rPr>
                  <w:rFonts w:ascii="Times New Roman" w:cs="Times New Roman" w:eastAsia="Times New Roman" w:hAnsi="Times New Roman"/>
                  <w:sz w:val="18"/>
                  <w:szCs w:val="18"/>
                  <w:color w:val="0000EE"/>
                  <w:w w:val="88"/>
                </w:rPr>
                <w:t>32</w:t>
              </w:r>
            </w:hyperlink>
          </w:p>
        </w:tc>
      </w:tr>
      <w:tr>
        <w:trPr>
          <w:trHeight w:val="669"/>
        </w:trPr>
        <w:tc>
          <w:tcPr>
            <w:tcW w:w="34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4340" w:type="dxa"/>
            <w:vAlign w:val="bottom"/>
            <w:gridSpan w:val="7"/>
          </w:tcPr>
          <w:p>
            <w:pPr>
              <w:ind w:left="42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1970405</wp:posOffset>
            </wp:positionH>
            <wp:positionV relativeFrom="paragraph">
              <wp:posOffset>-2923540</wp:posOffset>
            </wp:positionV>
            <wp:extent cx="285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400"/>
          </w:cols>
          <w:pgMar w:left="240" w:top="277" w:right="259" w:bottom="1440" w:gutter="0" w:footer="0" w:header="0"/>
        </w:sectPr>
      </w:pPr>
    </w:p>
    <w:bookmarkStart w:id="2" w:name="page3"/>
    <w:bookmarkEnd w:id="2"/>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49"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WYNN LAS VEGAS, LLC AND SUBSIDIARIES (A WHOLLY OWNED INDIRECT SUBSIDIARY OF WYNN RESORTS, LIMITED) CONDENSED CONSOLIDATED BALANCE SHEETS (in thousands)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3680" w:type="dxa"/>
            <w:vAlign w:val="bottom"/>
            <w:tcBorders>
              <w:bottom w:val="single" w:sz="8" w:color="CCEEFF"/>
            </w:tcBorders>
          </w:tcPr>
          <w:p>
            <w:pPr>
              <w:spacing w:after="0"/>
              <w:rPr>
                <w:sz w:val="16"/>
                <w:szCs w:val="16"/>
                <w:color w:val="auto"/>
              </w:rPr>
            </w:pPr>
          </w:p>
        </w:tc>
        <w:tc>
          <w:tcPr>
            <w:tcW w:w="46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368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8"/>
              </w:rPr>
              <w:t>(unaudited)</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1"/>
                <w:szCs w:val="21"/>
                <w:color w:val="auto"/>
              </w:rPr>
            </w:pPr>
          </w:p>
        </w:tc>
        <w:tc>
          <w:tcPr>
            <w:tcW w:w="4880" w:type="dxa"/>
            <w:vAlign w:val="bottom"/>
            <w:gridSpan w:val="2"/>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165,651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266,360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86,307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Receivables, net</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125,132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163,006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45,707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48,249</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28,962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32,925</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451,759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510,540</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2,836,977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2,892,929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36,995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30,256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41,991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33,855</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3,952</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48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3,372,595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3,472,931</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bottom w:val="single" w:sz="8" w:color="CCEEFF"/>
            </w:tcBorders>
            <w:vMerge w:val="restart"/>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LIABILITIES AND MEMBER'S DEFICIT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80" w:type="dxa"/>
            <w:vAlign w:val="bottom"/>
          </w:tcPr>
          <w:p>
            <w:pPr>
              <w:spacing w:after="0"/>
              <w:rPr>
                <w:sz w:val="17"/>
                <w:szCs w:val="17"/>
                <w:color w:val="auto"/>
              </w:rPr>
            </w:pPr>
          </w:p>
        </w:tc>
        <w:tc>
          <w:tcPr>
            <w:tcW w:w="4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4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42,334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42,783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80,099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Customer deposits</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89,915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108,432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Gaming taxes payable</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13,697</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51,675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50,751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interest</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54,842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56,536</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23,683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24,850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Due to affiliates, net</w:t>
            </w:r>
          </w:p>
        </w:tc>
        <w:tc>
          <w:tcPr>
            <w:tcW w:w="4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11,072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14,310</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365,554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311,359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3,001,963</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to affiliates, net</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194,646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4,964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4,913</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46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3,570,518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3,512,881</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Member's deficit:</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Contributed capital</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1,075,819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1,124,346</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(1,273,742)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(1,164,296)</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member's deficit</w:t>
            </w:r>
          </w:p>
        </w:tc>
        <w:tc>
          <w:tcPr>
            <w:tcW w:w="46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(39,950)</w:t>
            </w:r>
          </w:p>
        </w:tc>
        <w:tc>
          <w:tcPr>
            <w:tcW w:w="0" w:type="dxa"/>
            <w:vAlign w:val="bottom"/>
          </w:tcPr>
          <w:p>
            <w:pPr>
              <w:spacing w:after="0"/>
              <w:rPr>
                <w:sz w:val="1"/>
                <w:szCs w:val="1"/>
                <w:color w:val="auto"/>
              </w:rPr>
            </w:pPr>
          </w:p>
        </w:tc>
      </w:tr>
      <w:tr>
        <w:trPr>
          <w:trHeight w:val="223"/>
        </w:trPr>
        <w:tc>
          <w:tcPr>
            <w:tcW w:w="3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member's deficit</w:t>
            </w:r>
          </w:p>
        </w:tc>
        <w:tc>
          <w:tcPr>
            <w:tcW w:w="4660" w:type="dxa"/>
            <w:vAlign w:val="bottom"/>
            <w:vMerge w:val="restart"/>
          </w:tcPr>
          <w:p>
            <w:pPr>
              <w:spacing w:after="0"/>
              <w:rPr>
                <w:sz w:val="19"/>
                <w:szCs w:val="19"/>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3,372,595</w:t>
            </w:r>
          </w:p>
        </w:tc>
        <w:tc>
          <w:tcPr>
            <w:tcW w:w="100" w:type="dxa"/>
            <w:vAlign w:val="bottom"/>
          </w:tcPr>
          <w:p>
            <w:pPr>
              <w:spacing w:after="0"/>
              <w:rPr>
                <w:sz w:val="19"/>
                <w:szCs w:val="19"/>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3,472,931</w:t>
            </w:r>
          </w:p>
        </w:tc>
        <w:tc>
          <w:tcPr>
            <w:tcW w:w="0" w:type="dxa"/>
            <w:vAlign w:val="bottom"/>
          </w:tcPr>
          <w:p>
            <w:pPr>
              <w:spacing w:after="0"/>
              <w:rPr>
                <w:sz w:val="1"/>
                <w:szCs w:val="1"/>
                <w:color w:val="auto"/>
              </w:rPr>
            </w:pPr>
          </w:p>
        </w:tc>
      </w:tr>
      <w:tr>
        <w:trPr>
          <w:trHeight w:val="351"/>
        </w:trPr>
        <w:tc>
          <w:tcPr>
            <w:tcW w:w="368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2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420"/>
          </w:cols>
          <w:pgMar w:left="240" w:top="277" w:right="239" w:bottom="1440" w:gutter="0" w:footer="0" w:header="0"/>
          <w:type w:val="continuous"/>
        </w:sectPr>
      </w:pPr>
    </w:p>
    <w:bookmarkStart w:id="3" w:name="page4"/>
    <w:bookmarkEnd w:id="3"/>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134,689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182,534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296,468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337,813</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Rooms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108,834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107,911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208,474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210,983</w:t>
            </w: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Food and beverage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162,047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149,121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276,502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264,136</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59,333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56,839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115,399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111,121</w:t>
            </w:r>
          </w:p>
        </w:tc>
      </w:tr>
      <w:tr>
        <w:trPr>
          <w:trHeight w:val="237"/>
        </w:trPr>
        <w:tc>
          <w:tcPr>
            <w:tcW w:w="5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Gross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464,903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496,405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896,843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924,053</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(91,340)</w:t>
            </w:r>
          </w:p>
        </w:tc>
      </w:tr>
      <w:tr>
        <w:trPr>
          <w:trHeight w:val="237"/>
        </w:trPr>
        <w:tc>
          <w:tcPr>
            <w:tcW w:w="5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423,436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451,584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810,466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832,713</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67,207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74,340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146,082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154,828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Rooms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36,367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36,166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71,886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70,352</w:t>
            </w: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Food and beverage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105,334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95,112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177,168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165,672</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34,133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31,648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68,095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65,127</w:t>
            </w: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61,226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64,983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122,303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124,270</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2,493</w:t>
            </w: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Management and license fees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13,323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21,454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12,496</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45,249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44,726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91,489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88,716</w:t>
            </w: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364,934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354,160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704,364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683,775</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58,502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97,424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106,102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148,938</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(103,185)</w:t>
            </w: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in income (loss) from unconsolidated affiliates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236</w:t>
            </w:r>
          </w:p>
        </w:tc>
      </w:tr>
      <w:tr>
        <w:trPr>
          <w:trHeight w:val="237"/>
        </w:trPr>
        <w:tc>
          <w:tcPr>
            <w:tcW w:w="5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(48,960)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(106,717)</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9,542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43,886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42,221</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9,542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43,886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42,221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7" w:right="239" w:bottom="1440" w:gutter="0" w:footer="0" w:header="0"/>
        </w:sectPr>
      </w:pPr>
    </w:p>
    <w:bookmarkStart w:id="4" w:name="page5"/>
    <w:bookmarkEnd w:id="4"/>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(109,446)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42,221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91,489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88,716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1,935</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and write-off of deferred financing costs and other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122,355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3,783</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2,493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in income of unconsolidated affiliates, net of distributions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Increase (decrease) in cash from changes in: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Receivables,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33,096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31,789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Inventories and prepaid expenses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Due to affiliates,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6,762</w:t>
            </w:r>
          </w:p>
        </w:tc>
      </w:tr>
      <w:tr>
        <w:trPr>
          <w:trHeight w:val="237"/>
        </w:trPr>
        <w:tc>
          <w:tcPr>
            <w:tcW w:w="8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159,132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Capital expenditures, net of construction payables and retention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Deposits and purchase of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Due to affiliates,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430</w:t>
            </w:r>
          </w:p>
        </w:tc>
      </w:tr>
      <w:tr>
        <w:trPr>
          <w:trHeight w:val="237"/>
        </w:trPr>
        <w:tc>
          <w:tcPr>
            <w:tcW w:w="8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(33,895)</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Distributions to parent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Repurchase of first mortgage notes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(1,523,511)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Payments of financing costs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w:t>
            </w:r>
          </w:p>
        </w:tc>
      </w:tr>
      <w:tr>
        <w:trPr>
          <w:trHeight w:val="237"/>
        </w:trPr>
        <w:tc>
          <w:tcPr>
            <w:tcW w:w="8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10,891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(36,093)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89,144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266,360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231,156</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Balance, end of period</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165,651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320,300</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7" w:right="239" w:bottom="1440" w:gutter="0" w:footer="0" w:header="0"/>
        </w:sectPr>
      </w:pPr>
    </w:p>
    <w:bookmarkStart w:id="5" w:name="page6"/>
    <w:bookmarkEnd w:id="5"/>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ind w:left="260" w:right="2380"/>
        <w:spacing w:after="0" w:line="255" w:lineRule="auto"/>
        <w:rPr>
          <w:sz w:val="20"/>
          <w:szCs w:val="20"/>
          <w:color w:val="auto"/>
        </w:rPr>
      </w:pPr>
      <w:r>
        <w:rPr>
          <w:rFonts w:ascii="Times New Roman" w:cs="Times New Roman" w:eastAsia="Times New Roman" w:hAnsi="Times New Roman"/>
          <w:sz w:val="18"/>
          <w:szCs w:val="18"/>
          <w:b w:val="1"/>
          <w:bCs w:val="1"/>
          <w:color w:val="auto"/>
        </w:rPr>
        <w:t>WYNN LAS VEGAS, LLC AND SUBSIDIARIES (A WHOLLY OWNED INDIRECT SUBSIDIARY OF WYNN RESORTS, LIMITED)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Presentation</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227"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Wynn Las Vegas, LLC, a Nevada limited liability company, was organized primarily to construct and operate Wynn Las Vegas | Encore ("Wynn Las Vegas"), an integrated destination casino resort on the "Strip" in Las Vegas, Nevada. Unless the context otherwise requires, all references herein to the "Company" refer to Wynn Las Vegas, LLC and its consolidated subsidiaries. The sole member of the Company is Wynn Resorts Holdings, LLC ("Holdings"). The sole member of Holdings is Wynn Resorts, Limited ("Wynn Resorts").</w:t>
      </w:r>
    </w:p>
    <w:p>
      <w:pPr>
        <w:spacing w:after="0" w:line="180"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Wynn Las Vegas Capital Corp. ("Wynn Capital") is a wholly owned subsidiary of the Company organized solely for the purpose of obtaining financing for Wynn Las Vegas. Wynn Capital is authorized to issue 2,000 shares of common stock, par value $0.01. At June 30, 2015, the Company owned the one share that was issued and outstanding. Wynn Capital has neither any significant net assets nor has had any operating activity. Its sole function is to serve as the co-issuer of the mortgage and senior notes. Wynn Las Vegas, LLC and Wynn Capital together are hereinafter referred to as the "Issuers".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six months ended June 30, 2015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ind w:right="360" w:firstLine="432"/>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 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Cash and cash equivalents are comprised of highly liquid investments with original maturities of three months or less. Cash equivalents are carried at cost, which approximates fair value.</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At June 30, 2015, the Company's current restricted cash of $86.3 million consisted of funds held for the purpose of redeeming the portion of the 2020 Notes (as defined and more fully discussed in Note 5 "Long-Term Debt") that were not tendered in February 2015 in the cash tender offer.</w:t>
      </w:r>
    </w:p>
    <w:p>
      <w:pPr>
        <w:spacing w:after="0" w:line="200" w:lineRule="exact"/>
        <w:rPr>
          <w:sz w:val="20"/>
          <w:szCs w:val="20"/>
          <w:color w:val="auto"/>
        </w:rPr>
      </w:pPr>
    </w:p>
    <w:p>
      <w:pPr>
        <w:spacing w:after="0" w:line="36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114" w:right="259" w:bottom="1440" w:gutter="0" w:footer="0" w:header="0"/>
        </w:sectPr>
      </w:pPr>
    </w:p>
    <w:bookmarkStart w:id="6" w:name="page7"/>
    <w:bookmarkEnd w:id="6"/>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Accounts Receivable and Credit Risk</w:t>
      </w:r>
    </w:p>
    <w:p>
      <w:pPr>
        <w:spacing w:after="0" w:line="227" w:lineRule="exact"/>
        <w:rPr>
          <w:sz w:val="20"/>
          <w:szCs w:val="20"/>
          <w:color w:val="auto"/>
        </w:rPr>
      </w:pPr>
    </w:p>
    <w:p>
      <w:pPr>
        <w:ind w:right="480" w:firstLine="432"/>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June 30, 2015 and December 31, 2014, approximately 76% and 80%,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80"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Accounts receivable, including casino and hotel receivables, are typically non-interest bearing and are initially recorded at cost. An estimated allowance for doubtful accounts is maintained to reduce the Company's receivables to their carrying amount, which approximates fair value. The allowance estimate reflects specific review of customer accounts as well as management's experience with historical and current collection trends and current economic and business conditions. Accounts are written off when management deems them to be uncollectible. Recoveries of accounts previously written off are recorded when received.</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 Recognition and Promotional Allowances</w:t>
      </w:r>
    </w:p>
    <w:p>
      <w:pPr>
        <w:spacing w:after="0" w:line="227"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62"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Casino revenues are measured by the aggregate net difference between gaming wins and losses, with liabilities recognized for funds deposited by customers before gaming play occurs and for chips in the customers' possession. Cash discounts and other cash incentives related to casino play are recorded as a reduction to casino revenues.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88"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Revenues are recognized net of certain sales incentives which are required to be recorded as a reduction of revenues; consequently, the Company's casino revenues are reduced by discounts and points earned by customers from the Company's loyalty program.</w:t>
      </w:r>
    </w:p>
    <w:p>
      <w:pPr>
        <w:spacing w:after="0" w:line="162"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The retail value of accommodations, food and beverage, and other services furnished to guests without charge is included in gross revenues. Such amounts are then deducted as promotional allowances. The estimated cost of providing such promotional allowances is primarily included in casino expenses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0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488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Rooms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7,516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15,997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16,673</w:t>
            </w: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Food and beverage</w:t>
            </w:r>
          </w:p>
        </w:tc>
        <w:tc>
          <w:tcPr>
            <w:tcW w:w="34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15,076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15,476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31,382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32,534</w:t>
            </w:r>
          </w:p>
        </w:tc>
      </w:tr>
      <w:tr>
        <w:trPr>
          <w:trHeight w:val="27"/>
        </w:trPr>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2,466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5,785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5,528</w:t>
            </w:r>
          </w:p>
        </w:tc>
      </w:tr>
      <w:tr>
        <w:trPr>
          <w:trHeight w:val="237"/>
        </w:trPr>
        <w:tc>
          <w:tcPr>
            <w:tcW w:w="48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25,197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26,453</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53,164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54,735</w:t>
            </w:r>
          </w:p>
        </w:tc>
      </w:tr>
      <w:tr>
        <w:trPr>
          <w:trHeight w:val="27"/>
        </w:trPr>
        <w:tc>
          <w:tcPr>
            <w:tcW w:w="4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Gaming Taxes</w:t>
      </w:r>
    </w:p>
    <w:p>
      <w:pPr>
        <w:spacing w:after="0" w:line="227"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The Company is subject to taxes based on gross gaming revenues in the jurisdiction in which it operates, subject to applicable jurisdictional adjustments. These gaming taxes are an assessment on the Company's gross gaming revenues and are recorded as casino expenses in the accompanying Condensed Consolidated Statements of Comprehensive Income (Loss). These taxes totaled $9.5 million and $13.4 million for the three months ended June 30, 2015 and 2014, respectively, and totaled $21.0 million and $24.4 million for the six months ended June 30, 2015 and 2014, respectively.</w:t>
      </w:r>
    </w:p>
    <w:p>
      <w:pPr>
        <w:spacing w:after="0" w:line="200" w:lineRule="exact"/>
        <w:rPr>
          <w:sz w:val="20"/>
          <w:szCs w:val="20"/>
          <w:color w:val="auto"/>
        </w:rPr>
      </w:pPr>
    </w:p>
    <w:p>
      <w:pPr>
        <w:spacing w:after="0" w:line="3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114" w:right="259" w:bottom="1440" w:gutter="0" w:footer="0" w:header="0"/>
        </w:sectPr>
      </w:pPr>
    </w:p>
    <w:bookmarkStart w:id="7" w:name="page8"/>
    <w:bookmarkEnd w:id="7"/>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The Company accounts for stock-based compensation related to equity shares of Wynn Resorts granted to its employees in accordance with accounting standards which require the compensation cost relating to share-based payment transactions be recognized in the Company's Condensed Consolidated Statements of Comprehensive Income (Loss). The cost is measured at the grant date, based on the estimated fair value of the award using the Black-Scholes option pricing model for stock options, and based on the closing share price of the Company's stock on the grant date for nonvested share awards. The cost is recognized as an expense on a straight-line basis over the employee's requisite service period (the vesting period of the award), net of estimated forfeitures. For the three months ended June 30, 2015 and 2014, the Company recorded $0.8 million and $0.9 million, respectively, in stock-based compensation with a corresponding increase to contributed capital. For the six months ended June 30, 2015 and 2014, the Company recorded $1.5 million and $1.9 million, respectively, in stock-based compensation with a corresponding increase to contributed capital.</w:t>
      </w:r>
    </w:p>
    <w:p>
      <w:pPr>
        <w:spacing w:after="0" w:line="1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27" w:lineRule="exact"/>
        <w:rPr>
          <w:sz w:val="20"/>
          <w:szCs w:val="20"/>
          <w:color w:val="auto"/>
        </w:rPr>
      </w:pPr>
    </w:p>
    <w:p>
      <w:pPr>
        <w:jc w:val="both"/>
        <w:ind w:right="40" w:firstLine="432"/>
        <w:spacing w:after="0" w:line="255" w:lineRule="auto"/>
        <w:rPr>
          <w:sz w:val="20"/>
          <w:szCs w:val="20"/>
          <w:color w:val="auto"/>
        </w:rPr>
      </w:pPr>
      <w:r>
        <w:rPr>
          <w:rFonts w:ascii="Times New Roman" w:cs="Times New Roman" w:eastAsia="Times New Roman" w:hAnsi="Times New Roman"/>
          <w:sz w:val="18"/>
          <w:szCs w:val="18"/>
          <w:color w:val="auto"/>
        </w:rPr>
        <w:t>In April 2015, the Financial Accounting Standards Board ("FASB") issued an accounting standards update that requires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the amendments in this update. The effective date for this update is for financial statements issued for fiscal years beginning after December 15, 2015, and interim periods within those fiscal years. Early application is permitted.</w:t>
      </w:r>
    </w:p>
    <w:p>
      <w:pPr>
        <w:spacing w:after="0" w:line="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will adopt this standard effective January 1, 2016. The Company does not anticipate the adoption of this guidance will have a material effect on the Company's financial condition, results of operations or cash flows.</w:t>
      </w:r>
    </w:p>
    <w:p>
      <w:pPr>
        <w:spacing w:after="0" w:line="180"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In May 2014, the FASB issued an accounting standards update that amends the FASB Accounting Standards Codification and creates a new topic for Revenue from Contracts with Customers. The new guidance is expected to clarify the principles for revenue recognition and to develop a common revenue standard for U.S. generally accepted accounting principles applicable to revenue transactions. This guidance provides that an entity should recognize revenue to depict the transfer of promised goods or services to customers in an amount that reflects the consideration to which the entity expects to be entitled in exchange for those goods and services. This guidance also provides substantial revision of interim and annual disclosures. The update allows for either full retrospective adoption, meaning the guidance is applied for all periods presented, or modified retrospective adoption, meaning the guidance is applied only to the most current period presented in the financial statements with the cumulative effect of initially applying the guidance recognized at the date of initial application. In July 2015, the effective date for this update was delayed based on a FASB vote to annual and interim periods beginning after December 15, 2017. Early application is not permitted. The Company will adopt this standard effective January 1, 2018. The Company is currently assessing the impact the adoption of this standard will have on its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Receivables, net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Receivables, net consisted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260" w:type="dxa"/>
            <w:vAlign w:val="bottom"/>
            <w:tcBorders>
              <w:bottom w:val="single" w:sz="8" w:color="CCEEFF"/>
            </w:tcBorders>
          </w:tcPr>
          <w:p>
            <w:pPr>
              <w:spacing w:after="0"/>
              <w:rPr>
                <w:sz w:val="16"/>
                <w:szCs w:val="16"/>
                <w:color w:val="auto"/>
              </w:rPr>
            </w:pPr>
          </w:p>
        </w:tc>
        <w:tc>
          <w:tcPr>
            <w:tcW w:w="40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4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Casino</w:t>
            </w:r>
          </w:p>
        </w:tc>
        <w:tc>
          <w:tcPr>
            <w:tcW w:w="4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143,889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185,071</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Hotel</w:t>
            </w:r>
          </w:p>
        </w:tc>
        <w:tc>
          <w:tcPr>
            <w:tcW w:w="4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16,766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14,873</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Retail leases and other</w:t>
            </w:r>
          </w:p>
        </w:tc>
        <w:tc>
          <w:tcPr>
            <w:tcW w:w="40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19,634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17,790</w:t>
            </w:r>
          </w:p>
        </w:tc>
        <w:tc>
          <w:tcPr>
            <w:tcW w:w="0" w:type="dxa"/>
            <w:vAlign w:val="bottom"/>
          </w:tcPr>
          <w:p>
            <w:pPr>
              <w:spacing w:after="0"/>
              <w:rPr>
                <w:sz w:val="1"/>
                <w:szCs w:val="1"/>
                <w:color w:val="auto"/>
              </w:rPr>
            </w:pPr>
          </w:p>
        </w:tc>
      </w:tr>
      <w:tr>
        <w:trPr>
          <w:trHeight w:val="237"/>
        </w:trPr>
        <w:tc>
          <w:tcPr>
            <w:tcW w:w="42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180,289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217,734</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40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(54,728)</w:t>
            </w:r>
          </w:p>
        </w:tc>
        <w:tc>
          <w:tcPr>
            <w:tcW w:w="0" w:type="dxa"/>
            <w:vAlign w:val="bottom"/>
          </w:tcPr>
          <w:p>
            <w:pPr>
              <w:spacing w:after="0"/>
              <w:rPr>
                <w:sz w:val="1"/>
                <w:szCs w:val="1"/>
                <w:color w:val="auto"/>
              </w:rPr>
            </w:pPr>
          </w:p>
        </w:tc>
      </w:tr>
      <w:tr>
        <w:trPr>
          <w:trHeight w:val="237"/>
        </w:trPr>
        <w:tc>
          <w:tcPr>
            <w:tcW w:w="42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125,132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163,006</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4080" w:type="dxa"/>
            <w:vAlign w:val="bottom"/>
            <w:vMerge w:val="restart"/>
          </w:tcPr>
          <w:p>
            <w:pPr>
              <w:jc w:val="right"/>
              <w:ind w:right="243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08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26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8" w:name="page9"/>
    <w:bookmarkEnd w:id="8"/>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Property and Equipment, net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improvements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623,929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623,741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2,624,088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2,632,997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1,398,422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1,398,323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17,942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5,971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4,664,381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4,661,032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(1,827,404)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(1,768,103)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2,836,977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2,892,929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Long-Term Debt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 7/8% First Mortgage Notes, due May 1, 2020, net of original issue discount of $1,647 at December 31, 2014</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345,363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 3/4% First Mortgage Notes, due August 15, 2020</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80,099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1,226,600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 3/8% First Mortgage Notes, due March 15, 2022</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900,000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 1/4% Senior Notes, due May 30, 2023</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 1/2% Senior Notes, due March 1, 2025</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Payable to Affiliate</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3,280,099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3,001,963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3,200,000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3,001,963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First Mortgage Notes due 2020</w:t>
      </w:r>
    </w:p>
    <w:p>
      <w:pPr>
        <w:spacing w:after="0" w:line="227"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On February 10, 2015, the Issuers commenced a cash tender offer for any and all of the outstanding aggregate principal amounts of the 7 7/8% first mortgage notes due May 1, 2020 (the "7 7/8% 2020 Notes") and the 7 3/4% first mortgage notes due August 15, 2020 (the "7 3/4% 2020 Notes" and together with the 7 7/8% 2020 Notes, the "2020 Notes"). The Company accepted for purchase valid tenders with respect to approximately $305.8 million of the $377.0 million aggregate principal amount of the 7 7/8% 2020 Notes and approximately $1,146.5 million of the $1,226.6 million aggregate principal amount of the 7 3/4% 2020 Notes. The note holders who validly tendered their 2020 Notes received the total consideration of $1,054.21 for each $1,000 principal amount of 7 7/8% 2020 Notes and $1,073.82 for each $1,000 principal amount of 7 3/4% 2020 Notes. The premium portion of the aggregate total consideration was approximately $101.2 million and was recorded as a loss on extinguishment of debt in the accompanying Condensed Consolidated Statements of Comprehensive Income (Loss). The Company satisfied and discharged the indentures under which the 2020 Notes were issued and redeemed the untendered 7 7/8% 2020 Notes on May 1, 2015 and will redeem the untendered 7 3/4% 2020 Notes on August 15, 2015.</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Also in connection with this transaction, the Company expensed $17.2 million of unamortized debt issue costs and original issue discount related to the</w:t>
      </w:r>
    </w:p>
    <w:p>
      <w:pPr>
        <w:spacing w:after="0" w:line="27" w:lineRule="exact"/>
        <w:rPr>
          <w:sz w:val="20"/>
          <w:szCs w:val="20"/>
          <w:color w:val="auto"/>
        </w:rPr>
      </w:pPr>
    </w:p>
    <w:p>
      <w:pPr>
        <w:ind w:right="600"/>
        <w:spacing w:after="0" w:line="261" w:lineRule="auto"/>
        <w:rPr>
          <w:sz w:val="20"/>
          <w:szCs w:val="20"/>
          <w:color w:val="auto"/>
        </w:rPr>
      </w:pPr>
      <w:r>
        <w:rPr>
          <w:rFonts w:ascii="Times New Roman" w:cs="Times New Roman" w:eastAsia="Times New Roman" w:hAnsi="Times New Roman"/>
          <w:sz w:val="18"/>
          <w:szCs w:val="18"/>
          <w:color w:val="auto"/>
        </w:rPr>
        <w:t>2020 Notes and incurred other fees of approximately $0.1 million that are included in loss on extinguishment of debt in the accompanying Condensed Consolidated Statements of Comprehensive Income (Loss).</w:t>
      </w:r>
    </w:p>
    <w:p>
      <w:pPr>
        <w:spacing w:after="0" w:line="180"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On May 1, 2015, the Company redeemed $71.1 million of the remaining principal amount of the untendered 7 7/8% 2020 Notes. The Company recorded a loss for the premium portion of the consideration of $2.8 million and expensed $1.0 million of unamortized debt issue costs and original discount that are included in loss on extinguishment of debt in the accompanying Condensed Consolidated Statements of Comprehensive Income (Loss).</w:t>
      </w:r>
    </w:p>
    <w:p>
      <w:pPr>
        <w:sectPr>
          <w:pgSz w:w="11900" w:h="16838" w:orient="portrait"/>
          <w:cols w:equalWidth="0" w:num="1">
            <w:col w:w="11420"/>
          </w:cols>
          <w:pgMar w:left="240" w:top="114" w:right="239" w:bottom="1440" w:gutter="0" w:footer="0" w:header="0"/>
        </w:sectPr>
      </w:pPr>
    </w:p>
    <w:p>
      <w:pPr>
        <w:spacing w:after="0" w:line="36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420"/>
          </w:cols>
          <w:pgMar w:left="240" w:top="114" w:right="239" w:bottom="1440" w:gutter="0" w:footer="0" w:header="0"/>
          <w:type w:val="continuous"/>
        </w:sectPr>
      </w:pPr>
    </w:p>
    <w:bookmarkStart w:id="9" w:name="page10"/>
    <w:bookmarkEnd w:id="9"/>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5 1/2% Senior Notes due 2025</w:t>
      </w:r>
    </w:p>
    <w:p>
      <w:pPr>
        <w:spacing w:after="0" w:line="227" w:lineRule="exact"/>
        <w:rPr>
          <w:sz w:val="20"/>
          <w:szCs w:val="20"/>
          <w:color w:val="auto"/>
        </w:rPr>
      </w:pPr>
    </w:p>
    <w:p>
      <w:pPr>
        <w:ind w:right="340" w:firstLine="432"/>
        <w:spacing w:after="0" w:line="256" w:lineRule="auto"/>
        <w:rPr>
          <w:sz w:val="20"/>
          <w:szCs w:val="20"/>
          <w:color w:val="auto"/>
        </w:rPr>
      </w:pPr>
      <w:r>
        <w:rPr>
          <w:rFonts w:ascii="Times New Roman" w:cs="Times New Roman" w:eastAsia="Times New Roman" w:hAnsi="Times New Roman"/>
          <w:sz w:val="18"/>
          <w:szCs w:val="18"/>
          <w:color w:val="auto"/>
        </w:rPr>
        <w:t>On February 18, 2015, the Issuers completed the issuance of $1.8 billion aggregate principal amount of 5 1/2% senior notes due March 1, 2025 (the "2025 Notes") pursuant to an indenture, dated as of February 18, 2015 (the "2025 Indenture"), among the Issuers, all the Issuers' subsidiaries (other than Wynn Capital, which was a co-issuer) and U.S. Bank National Association, as trustee. The 2025 Notes were issued at par. The Company used the net proceeds from the 2025 Notes to cover the cost of purchasing the 2020 Notes tendered in the cash tender offer. The Company will use the remaining net proceeds to redeem the 2020 Notes not tendered and for general corporate purposes. In connection with the issuance of the 2025 Notes, the Company capitalized approximately $25.2 million of financing costs.</w:t>
      </w:r>
    </w:p>
    <w:p>
      <w:pPr>
        <w:spacing w:after="0" w:line="188"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2025 Notes will mature on March 1, 2025 and bear interest at the rate of 5 1/2% per annum. The Issuers may, at their option, redeem the 2025 Notes, in whole or in part, at any time or from time to time prior to their stated maturity. The redemption price for 2025 Notes that are redeemed before December 1, 2024 will be equal to the greater of (a) 100% of the principal amount of the 2025 Notes to be redeemed and (b) a "make-whole" amount described in the 2025 Indenture, plus in either case accrued and unpaid interest, if any, to, but not including, the redemption date. The redemption price for the 2025 Notes that are redeemed on or after December 1, 2024 will be equal to 100% of the principal amount of the 2025 Notes to be redeemed, plus accrued and unpaid interest, if any, to, but not including, the redemption date. In the event of a change of control triggering event, the Issuers will be required to offer to repurchase the 2025 Notes at 101% of the principal amount, plus accrued and unpaid interest, if any, to, but not including the repurchase date. The 2025 Notes also are subject to mandatory redemption requirements imposed by gaming laws and regulations of gaming authorities in Nevada.</w:t>
      </w:r>
    </w:p>
    <w:p>
      <w:pPr>
        <w:spacing w:after="0" w:line="131"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The 2025 Notes are the Issuers' senior unsecured obligations and rank pari passu in right of payment with the Issuers' outstanding 7 3/4% 2020 Notes, the 5 3/8% first mortgage notes due March 15, 2022 and the 4 1/4% senior notes due May 30, 2023 (together, the "Existing Notes"). The 2025 Notes are unsecured (except by the first priority pledge by Holdings of its equity interests in Wynn Las Vegas), effectiveness of which is subject to the prior approval of the Nevada gaming authorities. Such equity interests in Wynn Las Vegas also secure the Existing Notes. If Wynn Resorts receives an investment grade rating from one or more ratings agencies, the first priority pledge securing the 2025 Notes will be released.</w:t>
      </w:r>
    </w:p>
    <w:p>
      <w:pPr>
        <w:spacing w:after="0" w:line="130" w:lineRule="exact"/>
        <w:rPr>
          <w:sz w:val="20"/>
          <w:szCs w:val="20"/>
          <w:color w:val="auto"/>
        </w:rPr>
      </w:pPr>
    </w:p>
    <w:p>
      <w:pPr>
        <w:jc w:val="both"/>
        <w:ind w:right="60" w:firstLine="432"/>
        <w:spacing w:after="0" w:line="261" w:lineRule="auto"/>
        <w:rPr>
          <w:sz w:val="20"/>
          <w:szCs w:val="20"/>
          <w:color w:val="auto"/>
        </w:rPr>
      </w:pPr>
      <w:r>
        <w:rPr>
          <w:rFonts w:ascii="Times New Roman" w:cs="Times New Roman" w:eastAsia="Times New Roman" w:hAnsi="Times New Roman"/>
          <w:sz w:val="18"/>
          <w:szCs w:val="18"/>
          <w:color w:val="auto"/>
        </w:rPr>
        <w:t>The 2025 Notes are jointly and severally guaranteed by all of the Issuers' subsidiaries. The guarantees are senior unsecured obligations and rank senior in right of payment to all of their existing and future subordinated debt. The guarantees rank equally in right of payment with all existing and future liabilities of the Issuers' subsidiaries that are not so subordinated and will be effectively subordinated in right of payment to all of such existing and future secured debt (to the extent of the collateral securing such debt).</w:t>
      </w:r>
    </w:p>
    <w:p>
      <w:pPr>
        <w:spacing w:after="0" w:line="126"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2025 Indenture contains covenants limiting the Issuers' and all of the Issuers' subsidiaries' (as guarantors), other than Wynn Capital,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22" w:lineRule="exact"/>
        <w:rPr>
          <w:sz w:val="20"/>
          <w:szCs w:val="20"/>
          <w:color w:val="auto"/>
        </w:rPr>
      </w:pPr>
    </w:p>
    <w:p>
      <w:pPr>
        <w:ind w:right="220" w:firstLine="432"/>
        <w:spacing w:after="0" w:line="258" w:lineRule="auto"/>
        <w:rPr>
          <w:sz w:val="20"/>
          <w:szCs w:val="20"/>
          <w:color w:val="auto"/>
        </w:rPr>
      </w:pPr>
      <w:r>
        <w:rPr>
          <w:rFonts w:ascii="Times New Roman" w:cs="Times New Roman" w:eastAsia="Times New Roman" w:hAnsi="Times New Roman"/>
          <w:sz w:val="18"/>
          <w:szCs w:val="18"/>
          <w:color w:val="auto"/>
        </w:rPr>
        <w:t>Events of default under the 2025 Indenture include, among others, the following: default for 30 days in the payment when due of interest on the 2025 Notes; default in payment when due of the principal of, or premium, if any, on the 2025 Notes; failure to comply with certain covenants in the 2025 Indenture; and certain events of bankruptcy or insolvency. In the case of an event of default arising from certain events of bankruptcy or insolvency with respect to the Issuers or Issuers' subsidiaries (as guarantors), other than Wynn Capital, all 2025 Notes then outstanding will become due and payable immediately without further action or notice.</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Debt Covenant Compliance</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June 30, 2015, management believes the Company was in compliance with all debt covenants.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4" w:right="239" w:bottom="1440" w:gutter="0" w:footer="0" w:header="0"/>
        </w:sectPr>
      </w:pPr>
    </w:p>
    <w:bookmarkStart w:id="10" w:name="page11"/>
    <w:bookmarkEnd w:id="10"/>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 WYNN RESORTS, LIMITED)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Fair Value of Long Term Debt</w:t>
      </w:r>
    </w:p>
    <w:p>
      <w:pPr>
        <w:spacing w:after="0" w:line="227"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Company's long-term debt as of June 30, 2015 and December 31, 2014 was approximately $3.2 billion and $3.1 billion, respectively, compared to its carrying value of $3.3 billion and $3.0 billion, respectively. The estimated fair value of the Company's long-term debt is based on recent trades, if available, and indicative pricing from market information (Level 2 inputs).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Related Party Transactions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Amounts Due to Affiliates, net</w:t>
      </w:r>
    </w:p>
    <w:p>
      <w:pPr>
        <w:spacing w:after="0" w:line="227" w:lineRule="exact"/>
        <w:rPr>
          <w:sz w:val="20"/>
          <w:szCs w:val="20"/>
          <w:color w:val="auto"/>
        </w:rPr>
      </w:pPr>
    </w:p>
    <w:p>
      <w:pPr>
        <w:jc w:val="both"/>
        <w:ind w:right="160" w:firstLine="432"/>
        <w:spacing w:after="0" w:line="266" w:lineRule="auto"/>
        <w:rPr>
          <w:sz w:val="20"/>
          <w:szCs w:val="20"/>
          <w:color w:val="auto"/>
        </w:rPr>
      </w:pPr>
      <w:r>
        <w:rPr>
          <w:rFonts w:ascii="Times New Roman" w:cs="Times New Roman" w:eastAsia="Times New Roman" w:hAnsi="Times New Roman"/>
          <w:sz w:val="18"/>
          <w:szCs w:val="18"/>
          <w:color w:val="auto"/>
        </w:rPr>
        <w:t>The Company periodically settles amounts due to affiliates, net with cash receipts and payments. As of June 30, 2015, the Company's current due to affiliates, net of $11.1 million was comprised of management and license fees, construction related payables and corporate allocations. As of December 31, 2014, amounts due to affiliates, net of $14.3 million consisted of construction related payables and corporate allocations.</w:t>
      </w:r>
    </w:p>
    <w:p>
      <w:pPr>
        <w:spacing w:after="0" w:line="176"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As of June 30, 2015, the Company has no long-term due to affiliates while as of December 31, 2014, the Company's long term due to affiliates, net of $194.6 million, consisted of management fees. In June 2015, the Company paid $204.9 million in accrued management fees as the Company is no longer subject to certain restrictive covenants of the indentures under which the 2020 Notes were issued ("2020 Indentures"). The Company discharged the 2020 Indentures as a result of the cash tender offer of the 2020 Notes and will redeem the remaining untendered 2020 Notes on August 15, 2015. The Company expects future management fee payments to be made on a recurring basis.</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Management fee and corporate allocations</w:t>
      </w:r>
    </w:p>
    <w:p>
      <w:pPr>
        <w:spacing w:after="0" w:line="22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In February 2015, the Company entered into a new corporate support services agreement with Wynn Resorts and terminated the prior agreement. Wynn Resorts provides the Company legal, accounting, human resources,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Under the agreement, the Company also pays a management fee of 1.5% of net revenues.</w:t>
      </w:r>
    </w:p>
    <w:p>
      <w:pPr>
        <w:spacing w:after="0" w:line="184"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2015 and 2014, $9.6 million and $14.0 million, respectively, was charged to the Company under the corporate support services agreement. For the six months ended June 30, 2015 and 2014, $19.4 million and $25.3 million, respectively, was charged to the Company under the corporate support services agreement.</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Intellectual Property</w:t>
      </w:r>
    </w:p>
    <w:p>
      <w:pPr>
        <w:spacing w:after="0" w:line="227"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Under an agreement with Wynn Resorts and a wholly owned subsidiary of Wynn Resorts, the Company licenses certain intellectual property, including certain trademarks, domain names, copyrights and service marks in connection with a variety of goods and services. In February 2015, the Company entered into a new license agreement which requires payment of fees equal to 1.5% of gross monthly revenues so long as the original license agreement is in effect and not terminated, and 3.0% subsequent to termination of the original license agreement. As of June 30, 2015, the original agreement is in effect and not terminated. For the three and six months ended June 30, 2015, $7.0 million and $9.3 million of license fees were charged to the Company respectively. No license fees were charged to the Company for the three and six months ended June 30, 2014.</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Amounts Due to Officers</w:t>
      </w:r>
    </w:p>
    <w:p>
      <w:pPr>
        <w:spacing w:after="0" w:line="227"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The Company periodically provides services to Stephen A. Wynn, Chairman of the Board of Directors and Chief Executive Officer of Wynn Resorts ("Mr. Wynn"), and certain other executive officers and directors of Wynn Resorts, including the personal use of employees, construction work and other personal services, for which the officers and directors reimburse the Company. The cost of these services is transferred to Wynn Resorts on a periodic basis. Mr. Wynn and these other officers and directors have amounts on deposit with Wynn Resorts to prepay any such items, which are replenished on an ongoing basis as needed.</w:t>
      </w:r>
    </w:p>
    <w:p>
      <w:pPr>
        <w:spacing w:after="0" w:line="200" w:lineRule="exact"/>
        <w:rPr>
          <w:sz w:val="20"/>
          <w:szCs w:val="20"/>
          <w:color w:val="auto"/>
        </w:rPr>
      </w:pPr>
    </w:p>
    <w:p>
      <w:pPr>
        <w:spacing w:after="0" w:line="38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60"/>
          </w:cols>
          <w:pgMar w:left="240" w:top="114" w:right="299" w:bottom="1440" w:gutter="0" w:footer="0" w:header="0"/>
        </w:sectPr>
      </w:pPr>
    </w:p>
    <w:bookmarkStart w:id="11" w:name="page12"/>
    <w:bookmarkEnd w:id="11"/>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 WYNN RESORTS, LIMITED)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Villa Lease</w:t>
      </w:r>
    </w:p>
    <w:p>
      <w:pPr>
        <w:spacing w:after="0" w:line="227" w:lineRule="exact"/>
        <w:rPr>
          <w:sz w:val="20"/>
          <w:szCs w:val="20"/>
          <w:color w:val="auto"/>
        </w:rPr>
      </w:pPr>
    </w:p>
    <w:p>
      <w:pPr>
        <w:ind w:right="140" w:firstLine="432"/>
        <w:spacing w:after="0" w:line="255" w:lineRule="auto"/>
        <w:rPr>
          <w:sz w:val="20"/>
          <w:szCs w:val="20"/>
          <w:color w:val="auto"/>
        </w:rPr>
      </w:pPr>
      <w:r>
        <w:rPr>
          <w:rFonts w:ascii="Times New Roman" w:cs="Times New Roman" w:eastAsia="Times New Roman" w:hAnsi="Times New Roman"/>
          <w:sz w:val="18"/>
          <w:szCs w:val="18"/>
          <w:color w:val="auto"/>
        </w:rPr>
        <w:t>Mr. Wynn currently leases a villa at Wynn Las Vegas for use as his personal residence. The lease, including each amendment and restatement, was approved by the Audit Committee of the Board of Directors of Wynn Resorts. Beginning in November 2013, pursuant to the 2013 Second Amended and Restated Agreement of Lease, dated as of November 7, 2013 and amended as of February 25, 2015 (the "SW Lease"), Mr. Wynn pays the Company annual rent for the villa at its fair market value of the accommodations. Pursuant to the SW Lease, Wynn Las Vegas pays for all capital improvements to the villa. The fair value is based on independent third-party expert opinions of value, which was $525,000 per year through February 28, 2015 and $559,295 per year from March 1, 2015 through February 28, 2017. The annual rent for the villa will be re-determined every two years during the term of the SW Lease, by the Audit Committee. Certain services for, and maintenance of, the villa are included in the annual rent.</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The "Wynn" Surname Rights Agreement</w:t>
      </w:r>
    </w:p>
    <w:p>
      <w:pPr>
        <w:spacing w:after="0" w:line="227"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On August 6, 2004, Holdings entered into agreements with Mr. Wynn that confirm and clarify Holdings' rights to use the "Wynn" name and Mr. Wynn's persona in connection with its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Golf Course Lease</w:t>
      </w:r>
    </w:p>
    <w:p>
      <w:pPr>
        <w:spacing w:after="0" w:line="227"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On September 18, 2012, the Company distributed the Wynn Las Vegas golf course land and the related water rights to Wynn Resorts, Limited. Commencing September 18, 2012, the Company leases approximately 140 acres (upon which the golf course is located) and water rights from Wynn Resorts. The term of this lease is on a month-to-month basis provided, however, that either party may terminate this lease by providing written notice of such termination to the other party no later than 30 days prior to the expiration of any monthly period. The combined rent for both the golf course land and the water rights is $598,000 per month.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Property Charges and Other</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Property charges and other were minimal for the periods presented and consisted of costs associated with miscellaneous renovations and abandonments.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Company and its affiliates are involved in litigation in addition to the actions noted below arising in the normal course of business. In the opinion of management, such litigation is not expected to have a material effect on the Company's financial condition, results of operations or cash flows.</w:t>
      </w:r>
    </w:p>
    <w:p>
      <w:pPr>
        <w:spacing w:after="0" w:line="35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114" w:right="279" w:bottom="1440" w:gutter="0" w:footer="0" w:header="0"/>
        </w:sectPr>
      </w:pPr>
    </w:p>
    <w:bookmarkStart w:id="12" w:name="page13"/>
    <w:bookmarkEnd w:id="12"/>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 WYNN RESORTS, LIMITED)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Determination of Unsuitability and Redemption of Aruze USA, Inc. and Affiliates</w:t>
      </w:r>
    </w:p>
    <w:p>
      <w:pPr>
        <w:spacing w:after="0" w:line="227"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On February 18, 2012, Wynn Resorts' Gaming Compliance Committee received an independent report by Freeh, Sporkin &amp; Sullivan, LLP (the "Freeh Report") detailing a pattern of misconduct by Aruze USA, Inc. ("Aruze") (at the time a stockholder of Wynn Resorts), Universal Entertainment Corporation (Aruze's parent company), and Kazuo Okada (the majority shareholder of Universal Entertainment Corporate and a former member of the Board of Directors of Wynn Resorts and Wynn Macau, Limited) (collectively,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Wynn Resorts' directors, Mr. Okada refused to acknowledge or abide by Wynn Resorts' anti-bribery policies and refused to participate in the training all other directors received concerning these policies.</w:t>
      </w:r>
    </w:p>
    <w:p>
      <w:pPr>
        <w:spacing w:after="0" w:line="185"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Based on the Freeh Report, the Board of Directors of Wynn Resorts determined that the Okada Parties are "unsuitable persons" under Article VII of Wynn Resorts' articles of incorporation. The Board of Directors was unanimous (other than Mr. Okada) in its determination. After authorizing the redemption of Aruze shares, as discussed below, the Board of Directors took certain actions to protect Wynn Resorts and its operations from any influence of an unsuitable person, including placing limitations on the provision of certain operating information to unsuitable persons and formation of an Executive Committee of the Board to manage the business and affairs of Wynn Resorts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On February 18, 2012, Mr. Okada was removed from the Board of Directors of Wynn Capital. On February 24, 2012, Mr. Okada was removed from the Board of Directors of Wynn Macau, Limited and on February 22, 2013, he was removed from the Board of Directors of Wynn Resorts by a stockholder vote in which 99.6% of the over 86 million shares voted were cast in favor of removal. Mr. Okada resigned from the Board of Directors of Wynn Resorts on February 21, 2013. Although Wynn Resorts has retained the structure of the Executive Committee, the Board has resumed its past role in managing the business and affairs of Wynn Resorts.</w:t>
      </w:r>
    </w:p>
    <w:p>
      <w:pPr>
        <w:spacing w:after="0" w:line="189"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Based on the Board of Directors' finding of "unsuitability," on February 18, 2012, Wynn Resorts redeemed and canceled Aruze's 24,549,222 shares of Wynn Resorts' common stock. Following a finding of "unsuitability," Article VII of Wynn Resorts' articles of incorporation authorizes redemption at "fair value" of the shares held by unsuitable persons. Wynn Resorts engaged an independent financial advisor to assist in the fair value calculation and concluded that a discount to the then current trading price was appropriate because of, among other things, restrictions on most of the shares held by Aruze under the terms of the Stockholders Agreement (as defined below). Pursuant to its articles of incorporation, Wynn Resorts issued the Redemption Note to Aruze in redemption of the shares. The Redemption Note has a principal amount of $1.94 billion, matures on February 18, 2022, and bears interest at the rate of 2% per annum, payable annually in arrears on each anniversary of the date of the Redemption Note. Wynn Resorts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91"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Wynn Resorts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Wynn Resorts and its subsidiaries. A finding by regulatory authorities that Mr. Okada violated anti-corruption statutes and/or other laws or regulations applicable to persons affiliated with a gaming licensee on Wynn Resorts property and/or otherwise involved Wynn Resorts in criminal or civil violations could result in actions by regulatory authorities against Wynn Resorts and its subsidiaries.</w:t>
      </w:r>
    </w:p>
    <w:p>
      <w:pPr>
        <w:spacing w:after="0" w:line="200" w:lineRule="exact"/>
        <w:rPr>
          <w:sz w:val="20"/>
          <w:szCs w:val="20"/>
          <w:color w:val="auto"/>
        </w:rPr>
      </w:pPr>
    </w:p>
    <w:p>
      <w:pPr>
        <w:spacing w:after="0" w:line="38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114" w:right="279" w:bottom="1440" w:gutter="0" w:footer="0" w:header="0"/>
        </w:sectPr>
      </w:pPr>
    </w:p>
    <w:bookmarkStart w:id="13" w:name="page14"/>
    <w:bookmarkEnd w:id="13"/>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 WYNN RESORTS, LIMITED)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Redemption Action and Counterclaim</w:t>
      </w:r>
    </w:p>
    <w:p>
      <w:pPr>
        <w:spacing w:after="0" w:line="227" w:lineRule="exact"/>
        <w:rPr>
          <w:sz w:val="20"/>
          <w:szCs w:val="20"/>
          <w:color w:val="auto"/>
        </w:rPr>
      </w:pPr>
    </w:p>
    <w:p>
      <w:pPr>
        <w:ind w:right="340" w:firstLine="432"/>
        <w:spacing w:after="0" w:line="261" w:lineRule="auto"/>
        <w:rPr>
          <w:sz w:val="20"/>
          <w:szCs w:val="20"/>
          <w:color w:val="auto"/>
        </w:rPr>
      </w:pPr>
      <w:r>
        <w:rPr>
          <w:rFonts w:ascii="Times New Roman" w:cs="Times New Roman" w:eastAsia="Times New Roman" w:hAnsi="Times New Roman"/>
          <w:sz w:val="18"/>
          <w:szCs w:val="18"/>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Wynn Resorts is seeking compensatory and special damages as well as a declaration that it acted lawfully and in full compliance with its articles of incorporation, bylaws and other governing documents in redeeming and canceling the shares of Aruze.</w:t>
      </w:r>
    </w:p>
    <w:p>
      <w:pPr>
        <w:spacing w:after="0" w:line="180"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Wynn Resorts, each of the members of Wynn Resorts' Board of Directors (other than Mr. Okada) and Wynn Resorts' General Counsel (the "Wynn Parties"). The Counterclaim alleges, among other things: (1) that the shares of Wynn Resorts common stock owned by Aruze were exempt from the redemption-for-unsuitability provisions in the Wynn Resorts articles of incorporation (the "Articles") pursuant to certain agreements executed in 2002; (2) that the Wynn Resorts directors who authorized the redemption of Aruze's shares acted at the direction of Mr. Wynn and did not independently and objectively evaluate the Okada Parties' suitability, and by so doing, breached their fiduciary duties; (3) that the Wynn Resorts directors violated the terms of the Wynn Resorts Articles by failing to pay Aruze fair value for the redeemed shares; and (4) that the terms of the Redemption Note that Aruze received in exchange for the redeemed shares, including the Redemption Note's principal amount, duration, interest rate, and subordinated status, were unconscionable. Among other relief, the Counterclaim seeks a declaration that the redemption of Aruze's shares was void, an injunction restoring Aruze's share ownership, damages in an unspecified amount and rescission of the Amended and Restated Stockholders Agreement, dated as of January 6, 2010, by and among Aruze, Mr. Wynn, and Elaine Wynn (the "Stockholders Agreement").</w:t>
      </w:r>
    </w:p>
    <w:p>
      <w:pPr>
        <w:spacing w:after="0" w:line="191"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On June 19, 2012, Elaine Wynn asserted a cross claim against Mr. Wynn and Aruze seeking a declaration that (1) any and all of Elaine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The indenture for Wynn Las Vegas, LLC's 4 1/4% senior notes due 2023 (the "2023 Indenture") provides that if Mr. Wynn, together with certain related parties, in the aggregate beneficially owns a lesser percentage of the voting power of the outstanding common stock of Wynn Resorts than is beneficially owned by any other person, a change of control will have occurred. The 2025 Indenture provides that if any event constitutes a "change of control" under the 2023 Indenture, it will constitute a change of control under the 2025 Indenture. If Elaine Wynn prevails in her cross claim, Mr. Wynn would not beneficially own or control Elaine Wynn's shares, which could increase the likelihood that a change in control may occur under the Wynn Las Vegas debt documents. Under the 2023 Indenture and the 2025 Indenture, if (1) a change of control occurs and (2) at any time within 60 days after that occurrence, the 4 1/4% senior notes due 2023 or the 5 1/2% senior notes due 2025, as applicable, are rated below investment grade by both rating agencies that rate such notes, Wynn Resorts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opposing Ms. Wynn's cross claim.</w:t>
      </w:r>
    </w:p>
    <w:p>
      <w:pPr>
        <w:spacing w:after="0" w:line="18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Wynn Resorts'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Wynn Resorts executives but otherwise denied the motion. At a hearing held on January 15, 2013, the court denied the Okada Parties' motion to dismiss Wynn Resorts' Complaint. On April 22, 2013, Wynn Resorts filed a second amended complaint. On August 30, 2013, the Okada Parties filed their third amended Counterclaim. On September 18, 2013, Wynn Resorts filed a Partial Motion to Dismiss related to a claim in the third amended Counterclaim alleging civil extortion by Mr. Wynn and Wynn Resorts' General Counsel. On October 29, 2013, the court granted the motion and dismissed the claim. On November 26, 2013, the Okada Parties filed their fourth amended Counterclaim, and Wynn Resorts filed an answer to that pleading on December 16, 2013.</w:t>
      </w:r>
    </w:p>
    <w:p>
      <w:pPr>
        <w:spacing w:after="0" w:line="185"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On each of February 14, 2013 and February 13, 2014, Wynn Resorts issued a check to Aruze in the amount of $38.7 million, representing the interest payments due on the Redemption Note at those times. However, those checks were not cashed. In February 2014, the Okada Parties advised of their intent to deposit any checks for interest and principal, past and</w:t>
      </w:r>
    </w:p>
    <w:p>
      <w:pPr>
        <w:spacing w:after="0" w:line="36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60"/>
          </w:cols>
          <w:pgMar w:left="240" w:top="114" w:right="299" w:bottom="1440" w:gutter="0" w:footer="0" w:header="0"/>
        </w:sectPr>
      </w:pPr>
    </w:p>
    <w:bookmarkStart w:id="14" w:name="page15"/>
    <w:bookmarkEnd w:id="14"/>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future, due under the terms of the Redemption Note to the clerk of the court for deposit into the clerk's trust account. On March 17, 2014, the parties stipulated that the checks be returned to Wynn Resorts for reissue in the same amounts, payable to the clerk of the court for deposit into the clerk's trust account. Pursuant to the stipulation, on March 20, 2014, Wynn Resorts delivered to the clerk of the court the reissued checks that were deposited into the clerk's trust account and filed a notice with the court with respect to the same. On February 13, 2015, Wynn Resorts issued a check for the interest payment due at that time to the clerk of the court for deposit into the clerk's trust account.</w:t>
      </w:r>
    </w:p>
    <w:p>
      <w:pPr>
        <w:spacing w:after="0" w:line="184"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On April 8, 2013, the United States Attorney's Office and the U.S. Department of Justice filed a Motion to Intervene and for Temporary and Partial Stay of Discovery in the Redemption Action. The parties had been engaged in discovery at the time of the filing.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Wynn Resorts'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further period of six months.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 The extended Stay expired on May 5, 2014. On April 29, 2014, the United States Attorney's Office and the U.S. Department of Justice filed a Motion for a Second Extension of Temporary Stay of Discovery for a further six months. At a hearing on May 1, 2014, the court denied the motion. On September 22, 2014, the court entered a new stipulation between the parties for a discovery schedule with closing on August 1, 2016.</w:t>
      </w:r>
    </w:p>
    <w:p>
      <w:pPr>
        <w:spacing w:after="0" w:line="196"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On September 16, 2014, Aruze filed a motion for partial summary judgment related to its counterclaim alleging Wynn Resorts' directors violated the terms of the Articles by failing to pay Aruze fair value for the redeemed shares. At a hearing held on October 21, 2014, the court denied Aruze's motion.</w:t>
      </w:r>
    </w:p>
    <w:p>
      <w:pPr>
        <w:spacing w:after="0" w:line="162"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On October 10, 2014, the Okada Parties filed a motion for partial judgment on the pleadings principally to seek dismissal of certain breach of fiduciary claims against Mr. Okada included in Wynn Resorts' Complaint. On November 13, 2014, the court denied the motion and issued an order setting the trial and trial-related dates. The trial is scheduled to begin on February 6, 2017.</w:t>
      </w:r>
    </w:p>
    <w:p>
      <w:pPr>
        <w:spacing w:after="0" w:line="176"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The lawsuit is currently in the discovery phase of litigation. Wynn Resorts will continue to vigorously pursue its claims against the Okada Parties, and Wynn Resorts and the Wynn Parties will continue to vigorously defend against the counterclaims asserted against them. Wynn Resorts' claims and the Okada Parties' counterclaims remain in an early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Wynn Resorts' financial condition.</w:t>
      </w:r>
    </w:p>
    <w:p>
      <w:pPr>
        <w:spacing w:after="0" w:line="3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4" w:right="239" w:bottom="1440" w:gutter="0" w:footer="0" w:header="0"/>
        </w:sectPr>
      </w:pPr>
    </w:p>
    <w:bookmarkStart w:id="15" w:name="page16"/>
    <w:bookmarkEnd w:id="15"/>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Litigation Commenced by Kazuo Okada</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Japan Action:</w:t>
      </w:r>
    </w:p>
    <w:p>
      <w:pPr>
        <w:spacing w:after="0" w:line="22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On August 28, 2012, Mr. Okada, Universal Entertainment Corporation and Okada Holdings ("Okada Japan Parties") filed a complaint in Tokyo District Court against the Wynn Parties, alleging that the press release issued by Wynn Resorts with respect to the redemption has damaged plaintiffs' social evaluation and credibility. The Okada Japan Parties seek damages and legal fees from the Wynn Parties. After asking the Okada Japan Parties to clarify the allegations in their complaint, the Wynn Parties objected to the jurisdiction of the Japanese court. On April 30, 2013, the Wynn Parties filed a memorandum in support of their jurisdictional position. On October 21, 2013, the court dismissed the action on jurisdictional grounds. On November 1, 2013, the Okada Japan Parties filed an appeal moving the matter to the Tokyo High Court. On June 11, 2014, the Tokyo High Court ruled in favor of the Wynn Parties and upheld the motion for dismissal. On June 25, 2014, the Okada Japan Parties filed a notice of appeal to the Supreme Court of Japan. On October 28, 2014, the Wynn Parties received a copy of the brief that the Okada Japan Parties had filed to explain why they believe the Supreme Court of Japan should hear the case. The Wynn Parties filed a reply brief on February 16, 2015.</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Indemnification Action:</w:t>
      </w:r>
    </w:p>
    <w:p>
      <w:pPr>
        <w:spacing w:after="0" w:line="225"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On March 20, 2013, Mr. Okada filed a complaint against Wynn Resorts in Nevada state court for indemnification under Wynn Resorts' Articles, bylaws and agreements with its directors. The complaint sought advancement of Mr. Okada's costs and expenses (including attorney's fees) incurred pursuant to the various legal proceedings and related regulatory investigations described above. Wynn Resorts' answer and counterclaim was filed on April 15, 2013. The counterclaim named each of the Okada Parties as defendants and sought indemnification under Wynn Resorts'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Wynn Resorts; (2) reserved Mr. Okada's right to assert, in the future, any claims for indemnity following the resolution of the Redemption Action; and (3) stayed the claims asserted by Wynn Resorts against Mr. Okada pending the resolution of the Redemption Action.</w:t>
      </w:r>
    </w:p>
    <w:p>
      <w:pPr>
        <w:spacing w:after="0" w:line="185"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Management has determined that based on proceedings to date, it is currently unable to determine the probability of the outcome of this action or the range of reasonably possible loss, if any.</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Macau Action:</w:t>
      </w:r>
    </w:p>
    <w:p>
      <w:pPr>
        <w:spacing w:after="0" w:line="225"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On July 3, 2015, Wynn Macau, Limited announced that the Okada Parties filed a complaint in the Court of First Instance of Macau ("Macau Court") against Wynn Macau SA and certain individuals who are or were directors of Wynn Macau SA and or Wynn Macau, Limited (collectively, the "Wynn Macau Parties"). The principal allegations in the lawsuit are that the redemption of the Okada Parties' shares in Wynn Resorts was improper and undervalued, that the previously disclosed payment by Wynn Macau SA to an unrelated third party in consideration of relinquishment by that party of certain rights in and to any future development on the land in Cotai where Wynn Resorts is building Wynn Palace was unlawful and that Wynn Resorts' previously disclosed donation to the University of Macau Development Foundation was unlawful. The plaintiffs seek dissolution of Wynn Macau SA and compensatory damages. The Macau Court has not yet served the complaint on all of the defendants.</w:t>
      </w:r>
    </w:p>
    <w:p>
      <w:pPr>
        <w:spacing w:after="0" w:line="189" w:lineRule="exact"/>
        <w:rPr>
          <w:sz w:val="20"/>
          <w:szCs w:val="20"/>
          <w:color w:val="auto"/>
        </w:rPr>
      </w:pPr>
    </w:p>
    <w:p>
      <w:pPr>
        <w:ind w:right="60" w:firstLine="405"/>
        <w:spacing w:after="0" w:line="313" w:lineRule="auto"/>
        <w:rPr>
          <w:sz w:val="20"/>
          <w:szCs w:val="20"/>
          <w:color w:val="auto"/>
        </w:rPr>
      </w:pPr>
      <w:r>
        <w:rPr>
          <w:rFonts w:ascii="Times New Roman" w:cs="Times New Roman" w:eastAsia="Times New Roman" w:hAnsi="Times New Roman"/>
          <w:sz w:val="17"/>
          <w:szCs w:val="17"/>
          <w:color w:val="auto"/>
        </w:rPr>
        <w:t>Wynn Resorts believes the claims are without merit and will vigorously defend the Wynn Macau Parties against them. Management has determined that based on proceedings to date, it is currently unable to determine the probability of the outcome of this matter or the range of reasonably possible loss, if any.</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Related Investigations and Derivative Litigation</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Investigations:</w:t>
      </w:r>
    </w:p>
    <w:p>
      <w:pPr>
        <w:spacing w:after="0" w:line="225"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In the U.S. Department of Justice's Motion to Intervene and for Temporary and Partial Stay of Discovery in the Redemption Action, the Department of Justice states in a footnote that the government also has been conducting a criminal</w:t>
      </w:r>
    </w:p>
    <w:p>
      <w:pPr>
        <w:spacing w:after="0" w:line="3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4" w:right="239" w:bottom="1440" w:gutter="0" w:footer="0" w:header="0"/>
        </w:sectPr>
      </w:pPr>
    </w:p>
    <w:bookmarkStart w:id="16" w:name="page17"/>
    <w:bookmarkEnd w:id="16"/>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investigation into Wynn Resorts' previously disclosed donation to the University of Macau Development Foundation. Wynn Resorts has not received any target letter or subpoena in connection with such an investigation. Wynn Resorts intends to cooperate fully with the government in response to any inquiry related to the donation to the University of Macau Development Foundation.</w:t>
      </w:r>
    </w:p>
    <w:p>
      <w:pPr>
        <w:spacing w:after="0" w:line="176" w:lineRule="exact"/>
        <w:rPr>
          <w:sz w:val="20"/>
          <w:szCs w:val="20"/>
          <w:color w:val="auto"/>
        </w:rPr>
      </w:pPr>
    </w:p>
    <w:p>
      <w:pPr>
        <w:ind w:right="240" w:firstLine="432"/>
        <w:spacing w:after="0" w:line="258" w:lineRule="auto"/>
        <w:rPr>
          <w:sz w:val="20"/>
          <w:szCs w:val="20"/>
          <w:color w:val="auto"/>
        </w:rPr>
      </w:pPr>
      <w:r>
        <w:rPr>
          <w:rFonts w:ascii="Times New Roman" w:cs="Times New Roman" w:eastAsia="Times New Roman" w:hAnsi="Times New Roman"/>
          <w:sz w:val="18"/>
          <w:szCs w:val="18"/>
          <w:color w:val="auto"/>
        </w:rPr>
        <w:t>Other regulators may pursue separate investigations into Wynn Resorts' compliance with applicable laws arising from the allegations in the matters described above and in response to the Counterclaim and other litigation filed by Mr. Okada suggesting improprieties in connection with Wynn Resorts' donation to the University of Macau Development Foundation. While Wynn Resorts believes that it is in full compliance with all applicable laws, any such investigations could result in actions by regulators against Wynn Resorts. Prior investigations by the Nevada Gaming Control Board and SEC were closed with no actions taken.</w:t>
      </w:r>
    </w:p>
    <w:p>
      <w:pPr>
        <w:spacing w:after="0" w:line="2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Derivative Claims:</w:t>
      </w:r>
    </w:p>
    <w:p>
      <w:pPr>
        <w:spacing w:after="0" w:line="225"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Six derivative actions were commenced against Wynn Resorts and all members of its Board of Directors: four in the United States District Court, District of Nevada, and two in the Eighth Judicial District Court of Clark County, Nevada.</w:t>
      </w:r>
    </w:p>
    <w:p>
      <w:pPr>
        <w:spacing w:after="0" w:line="16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four federal actions brought by the following plaintiffs have been consolidated: (1) The Louisiana Municipal Police Employees' Retirement System, (2) Maryanne Solak, (3) Excavators Union Local 731 Welfare Fund, and (4) Boilermakers Lodge No. 154 Retirement Fund (collectively, the "Federal Plaintiffs").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Federal Plaintiffs filed a consolidated complaint on August 6, 2012, asserting claims for: (1) breach of fiduciary duty; (2) waste of corporate assets;</w:t>
      </w:r>
    </w:p>
    <w:p>
      <w:pPr>
        <w:spacing w:after="0" w:line="27" w:lineRule="exact"/>
        <w:rPr>
          <w:sz w:val="20"/>
          <w:szCs w:val="20"/>
          <w:color w:val="auto"/>
        </w:rPr>
      </w:pPr>
    </w:p>
    <w:p>
      <w:pPr>
        <w:ind w:firstLine="8"/>
        <w:spacing w:after="0" w:line="251"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injunctive relief; and (4) unjust enrichment. The claims were against Wynn Resorts and all of Wynn Resorts' directors, including Mr. Okada, however, the plaintiffs voluntarily dismissed Mr. Okada as a defendant in this consolidated action on September 27, 2012. The Federal Plaintiffs claimed that the individual defendants breached their fiduciary duties and wasted assets by: (a) failing to ensure Wynn Resorts' officers and directors complied with federal and state laws and Wynn Resorts' Code of Conduct; (b) voting to allow Wynn Resorts' subsidiary to make the donation to the University of Macau Development Foundation; and (c) redeeming Aruze's stock such that Wynn Resorts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Wynn Resorts and the directors filed their motion to dismiss the amended complaint on May 23, 2013. On March 13, 2014, the federal court granted the motion to dismiss and entered judgment in favor of Wynn Resorts and directors and against the Federal Plaintiffs without prejudice. On April 10, 2014, the Federal Plaintiffs filed a notice of appeal to the United States Court of Appeals for the Ninth Circuit. The Federal Plaintiffs' opening brief was filed on September 19, 2014. Wynn Resorts filed a response on December 18, 2014 and the Federal Plaintiffs filed a reply brief on January 30, 2015.</w:t>
      </w:r>
    </w:p>
    <w:p>
      <w:pPr>
        <w:spacing w:after="0" w:line="192" w:lineRule="exact"/>
        <w:rPr>
          <w:sz w:val="20"/>
          <w:szCs w:val="20"/>
          <w:color w:val="auto"/>
        </w:rPr>
      </w:pPr>
    </w:p>
    <w:p>
      <w:pPr>
        <w:ind w:right="40" w:firstLine="432"/>
        <w:spacing w:after="0" w:line="257" w:lineRule="auto"/>
        <w:rPr>
          <w:sz w:val="20"/>
          <w:szCs w:val="20"/>
          <w:color w:val="auto"/>
        </w:rPr>
      </w:pPr>
      <w:r>
        <w:rPr>
          <w:rFonts w:ascii="Times New Roman" w:cs="Times New Roman" w:eastAsia="Times New Roman" w:hAnsi="Times New Roman"/>
          <w:sz w:val="18"/>
          <w:szCs w:val="18"/>
          <w:color w:val="auto"/>
        </w:rPr>
        <w:t>The two state court actions brought by the following plaintiffs also have been consolidated: (1) IBEW Local 98 Pension Fund and (2) Danny Hinson (collectively, the "State Plaintiffs"). Through a coordination of efforts by all parties, the directors and Wynn Resorts (a nominal defendant) have been served in all of the actions. The State Plaintiffs filed a consolidated complaint on July 20, 2012 asserting claims for (1) breach of fiduciary duty; (2) abuse of control;</w:t>
      </w:r>
    </w:p>
    <w:p>
      <w:pPr>
        <w:spacing w:after="0" w:line="2" w:lineRule="exact"/>
        <w:rPr>
          <w:sz w:val="20"/>
          <w:szCs w:val="20"/>
          <w:color w:val="auto"/>
        </w:rPr>
      </w:pPr>
    </w:p>
    <w:p>
      <w:pPr>
        <w:ind w:firstLine="8"/>
        <w:spacing w:after="0" w:line="268" w:lineRule="auto"/>
        <w:tabs>
          <w:tab w:leader="none" w:pos="2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mismanagement; and (4) unjust enrichment. The claims are against Wynn Resorts and all of Wynn Resorts' directors during the applicable period, including Mr. Okada, as well as Wynn Resorts' Chief Financial Officer who signed financial disclosures filed with the SEC during the applicable periods. The State Plaintiffs claim that the individual defendants failed to disclose to Wynn Resorts'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Wynn Resorts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Wynn Resorts and the individual defendants were not required to respond to the consolidated complaint while the stay remained in effect. Following the expiration of the stay, the State Plaintiffs advised Wynn Resorts and the individual</w:t>
      </w:r>
    </w:p>
    <w:p>
      <w:pPr>
        <w:spacing w:after="0" w:line="3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4" w:right="239" w:bottom="1440" w:gutter="0" w:footer="0" w:header="0"/>
        </w:sectPr>
      </w:pPr>
    </w:p>
    <w:bookmarkStart w:id="17" w:name="page18"/>
    <w:bookmarkEnd w:id="17"/>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 WYNN RESORTS, LIMITED)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defendants that they intended to resume the action by filing an amended complaint, which they did, on April 26, 2013. Wynn Resorts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 On June 18, 2014, the court entered a new stipulation between the parties that provides for further stay of the state derivative action and directs the parties, within 45 days of the conclusion of the latter of the Redemption Action or the federal derivative action, to discuss how the state derivative action should proceed and to file a joint report with the court.</w:t>
      </w:r>
    </w:p>
    <w:p>
      <w:pPr>
        <w:spacing w:after="0" w:line="188"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individual defendants are vigorously defending against the claims pleaded against them in the state derivative action. Management has determined that based on proceedings to date, it is currently unable to determine the probability of the outcome of this action or the range of reasonably possible loss, if 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Member's Equity</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June 26, 2015, the Company distributed $50.0 million in cash to Wynn Resorts,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Subsequent Event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July 7, 2015, the Company distributed $120.0 million in cash to Wynn Resorts, Limited.</w:t>
      </w:r>
    </w:p>
    <w:p>
      <w:pPr>
        <w:spacing w:after="0" w:line="200" w:lineRule="exact"/>
        <w:rPr>
          <w:sz w:val="20"/>
          <w:szCs w:val="20"/>
          <w:color w:val="auto"/>
        </w:rPr>
      </w:pPr>
    </w:p>
    <w:p>
      <w:pPr>
        <w:spacing w:after="0" w:line="2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20"/>
          </w:cols>
          <w:pgMar w:left="240" w:top="114" w:right="339" w:bottom="1440" w:gutter="0" w:footer="0" w:header="0"/>
        </w:sectPr>
      </w:pPr>
    </w:p>
    <w:bookmarkStart w:id="18" w:name="page19"/>
    <w:bookmarkEnd w:id="18"/>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condensed consolidated financial statements and related notes included elsewhere in this Form 10-Q and our consolidated financial statements appearing in our annual report on Form 10-K for the year ended December 31, 2014. Unless the context otherwise requires, all references herein to the "Company," "we," "us" or "our," or similar terms, refer to Wynn Las Vegas, LLC, a Nevada limited liability company and its consolidated subsidiaries. This discussion and analysis contains forward-looking statements. Please refer to the section below entitled "Special Note Regarding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are a developer, owner and operator of destination casino resorts (integrated resorts). We currently own and operate Wynn Las Vegas | Encore ("Wynn Las Vegas"), an integrated destination casino resort in Las Vegas, Nevada. Wynn Las Vegas | Encore is located at the intersection of the Las Vegas Strip and Sands Avenue, and occupies approximately 215 acres of land fronting the Las Vegas Strip. We own approximately 18 acres across Sands Avenue, a portion of which is utilized for employee parking and an office building. We also utilize approximately 5 acres adjacent to the golf course on which an office building is located. We lease approximately 140 acres where the golf course is located, along with related water rights, from Wynn Resorts.</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Wynn Las Vegas | Encore features the following as of July 15, 2015:</w:t>
      </w:r>
    </w:p>
    <w:p>
      <w:pPr>
        <w:spacing w:after="0" w:line="279" w:lineRule="exact"/>
        <w:rPr>
          <w:sz w:val="20"/>
          <w:szCs w:val="20"/>
          <w:color w:val="auto"/>
        </w:rPr>
      </w:pPr>
    </w:p>
    <w:p>
      <w:pPr>
        <w:ind w:left="900" w:right="360" w:hanging="325"/>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186,000 square feet of casino space, offering 24-hour gaming and a full range of games with 235 table games and 1,868 slot machines, private gaming salons, a sky casino, a poker room and a race and sports book;</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luxury hotel towers with a total of 4,748 spacious guest rooms, suites and villas;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food and beverage outlets featuring signature chefs;</w:t>
      </w:r>
    </w:p>
    <w:p>
      <w:pPr>
        <w:spacing w:after="0" w:line="117" w:lineRule="exact"/>
        <w:rPr>
          <w:rFonts w:ascii="Times New Roman" w:cs="Times New Roman" w:eastAsia="Times New Roman" w:hAnsi="Times New Roman"/>
          <w:sz w:val="18"/>
          <w:szCs w:val="18"/>
          <w:color w:val="auto"/>
        </w:rPr>
      </w:pPr>
    </w:p>
    <w:p>
      <w:pPr>
        <w:jc w:val="both"/>
        <w:ind w:left="900" w:right="360" w:hanging="325"/>
        <w:spacing w:after="0" w:line="26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99,000 square feet of high-end, brand-name retail shopping, including stores and boutiques by Alexander McQueen, Brioni, Cartier, Chanel, Chloé, Chopard, Dior, Givenchy, Graff, Hermes, IWC Schaffhausen, Jaeger-LeCoultre, Loro Piana, Louis Vuitton, Manolo Blahnik, Nicholas Kirkwood, Oscar de la Renta, Piaget, Rolex, Vertu and others;</w:t>
      </w:r>
    </w:p>
    <w:p>
      <w:pPr>
        <w:spacing w:after="0" w:line="6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290,000 square feet of meeting and convention space;</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nightclubs and a beach club;</w:t>
      </w:r>
    </w:p>
    <w:p>
      <w:pPr>
        <w:spacing w:after="0" w:line="117" w:lineRule="exact"/>
        <w:rPr>
          <w:rFonts w:ascii="Times New Roman" w:cs="Times New Roman" w:eastAsia="Times New Roman" w:hAnsi="Times New Roman"/>
          <w:sz w:val="18"/>
          <w:szCs w:val="18"/>
          <w:color w:val="auto"/>
        </w:rPr>
      </w:pPr>
    </w:p>
    <w:p>
      <w:pPr>
        <w:ind w:left="900" w:right="600" w:hanging="325"/>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Specially designed theater presenting "Le Rêve-The Dream," a water-based theatrical production and a theater presenting "Steve Wynn's Showstoppers," a Broadway-style entertainment production;</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Recreation and leisure facilities, including an 18-hole golf course, swimming pools, private cabanas and two full service spas and salons;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Ferrari and Maserati automobile dealership; and</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Wedding chapel.</w:t>
      </w:r>
    </w:p>
    <w:p>
      <w:pPr>
        <w:spacing w:after="0" w:line="2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Construction and Future Development</w:t>
      </w:r>
    </w:p>
    <w:p>
      <w:pPr>
        <w:spacing w:after="0" w:line="227"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In response to our evaluation of our property and the reactions of our guests, we have made and expect to continue to remodel and make enhancements and refinements to our resort. In June 2015, we began the remodel of guest rooms in our Encore hotel tower. We expect these room renovations to be completed by the end of 2015 and believe there will not be a significant impact to our operations and results during the renovation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Measures</w:t>
      </w:r>
    </w:p>
    <w:p>
      <w:pPr>
        <w:spacing w:after="0" w:line="229" w:lineRule="exact"/>
        <w:rPr>
          <w:sz w:val="20"/>
          <w:szCs w:val="20"/>
          <w:color w:val="auto"/>
        </w:rPr>
      </w:pPr>
    </w:p>
    <w:p>
      <w:pPr>
        <w:jc w:val="both"/>
        <w:ind w:right="380" w:firstLine="432"/>
        <w:spacing w:after="0" w:line="282" w:lineRule="auto"/>
        <w:rPr>
          <w:sz w:val="20"/>
          <w:szCs w:val="20"/>
          <w:color w:val="auto"/>
        </w:rPr>
      </w:pPr>
      <w:r>
        <w:rPr>
          <w:rFonts w:ascii="Times New Roman" w:cs="Times New Roman" w:eastAsia="Times New Roman" w:hAnsi="Times New Roman"/>
          <w:sz w:val="18"/>
          <w:szCs w:val="18"/>
          <w:color w:val="auto"/>
        </w:rPr>
        <w:t>Certain key operating measures specific to the gaming industry are included in our discussions of the Company's operational performance for the periods in which Condensed Consolidated Statements of Comprehensive Income (Loss) are presented. Below are definitions of the measures discussed:</w:t>
      </w:r>
    </w:p>
    <w:p>
      <w:pPr>
        <w:spacing w:after="0" w:line="243" w:lineRule="exact"/>
        <w:rPr>
          <w:sz w:val="20"/>
          <w:szCs w:val="20"/>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is the amount of cash and net markers issued that are deposited in a gaming table's drop box.</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games win is the amount of table drop that is retained and recorded as casino revenue.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Slot win is the amount of handle (representing the total amount wagered) that is retained by us and is recorded as casino revenue.</w:t>
      </w:r>
    </w:p>
    <w:p>
      <w:pPr>
        <w:spacing w:after="0" w:line="200" w:lineRule="exact"/>
        <w:rPr>
          <w:sz w:val="20"/>
          <w:szCs w:val="20"/>
          <w:color w:val="auto"/>
        </w:rPr>
      </w:pPr>
    </w:p>
    <w:p>
      <w:pPr>
        <w:spacing w:after="0" w:line="2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20"/>
          </w:cols>
          <w:pgMar w:left="240" w:top="277" w:right="339" w:bottom="1440" w:gutter="0" w:footer="0" w:header="0"/>
        </w:sectPr>
      </w:pPr>
    </w:p>
    <w:bookmarkStart w:id="19" w:name="page20"/>
    <w:bookmarkEnd w:id="19"/>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332" w:lineRule="exact"/>
        <w:rPr>
          <w:sz w:val="20"/>
          <w:szCs w:val="20"/>
          <w:color w:val="auto"/>
        </w:rPr>
      </w:pPr>
    </w:p>
    <w:p>
      <w:pPr>
        <w:ind w:left="900" w:right="500" w:hanging="325"/>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is calculated by dividing total room revenues including the retail value of promotional allowances (less service charges, if any) by total rooms occupied including complimentary rooms.</w:t>
      </w:r>
    </w:p>
    <w:p>
      <w:pPr>
        <w:spacing w:after="0" w:line="26"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is calculated by dividing total room revenues including the retail value of promotional allowances (less service charges, if any) by total rooms available.</w:t>
      </w:r>
    </w:p>
    <w:p>
      <w:pPr>
        <w:spacing w:after="0" w:line="26"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is calculated by dividing total occupied rooms, including complimentary rooms, by the total rooms available.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Summary second quarter 2015 results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1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8"/>
              </w:rPr>
              <w:t>(dollars in thousands)</w:t>
            </w:r>
          </w:p>
        </w:tc>
        <w:tc>
          <w:tcPr>
            <w:tcW w:w="4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257"/>
              <w:spacing w:after="0" w:line="13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880" w:type="dxa"/>
            <w:vAlign w:val="bottom"/>
            <w:gridSpan w:val="2"/>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ind w:right="297"/>
              <w:spacing w:after="0" w:line="13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800" w:type="dxa"/>
            <w:vAlign w:val="bottom"/>
          </w:tcPr>
          <w:p>
            <w:pPr>
              <w:jc w:val="right"/>
              <w:ind w:right="77"/>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1560" w:type="dxa"/>
            <w:vAlign w:val="bottom"/>
            <w:tcBorders>
              <w:bottom w:val="single" w:sz="8" w:color="auto"/>
            </w:tcBorders>
            <w:vMerge w:val="continue"/>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right"/>
              <w:ind w:right="417"/>
              <w:spacing w:after="0" w:line="127"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jc w:val="right"/>
              <w:ind w:right="394"/>
              <w:spacing w:after="0" w:line="127"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217"/>
              <w:spacing w:after="0" w:line="127"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880" w:type="dxa"/>
            <w:vAlign w:val="bottom"/>
            <w:gridSpan w:val="2"/>
          </w:tcPr>
          <w:p>
            <w:pPr>
              <w:ind w:left="140"/>
              <w:spacing w:after="0" w:line="127"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1"/>
                <w:szCs w:val="11"/>
                <w:color w:val="auto"/>
              </w:rPr>
            </w:pPr>
          </w:p>
        </w:tc>
        <w:tc>
          <w:tcPr>
            <w:tcW w:w="900" w:type="dxa"/>
            <w:vAlign w:val="bottom"/>
          </w:tcPr>
          <w:p>
            <w:pPr>
              <w:jc w:val="right"/>
              <w:ind w:right="337"/>
              <w:spacing w:after="0" w:line="127"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ind w:right="334"/>
              <w:spacing w:after="0" w:line="127"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ind w:right="257"/>
              <w:spacing w:after="0" w:line="127"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800" w:type="dxa"/>
            <w:vAlign w:val="bottom"/>
          </w:tcPr>
          <w:p>
            <w:pPr>
              <w:jc w:val="right"/>
              <w:ind w:right="77"/>
              <w:spacing w:after="0" w:line="127"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48"/>
        </w:trPr>
        <w:tc>
          <w:tcPr>
            <w:tcW w:w="80" w:type="dxa"/>
            <w:vAlign w:val="bottom"/>
          </w:tcPr>
          <w:p>
            <w:pPr>
              <w:spacing w:after="0"/>
              <w:rPr>
                <w:sz w:val="4"/>
                <w:szCs w:val="4"/>
                <w:color w:val="auto"/>
              </w:rPr>
            </w:pPr>
          </w:p>
        </w:tc>
        <w:tc>
          <w:tcPr>
            <w:tcW w:w="156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0" w:type="dxa"/>
            <w:vAlign w:val="bottom"/>
            <w:tcBorders>
              <w:right w:val="single" w:sz="8" w:color="CCEEFF"/>
            </w:tcBorders>
          </w:tcPr>
          <w:p>
            <w:pPr>
              <w:spacing w:after="0"/>
              <w:rPr>
                <w:sz w:val="21"/>
                <w:szCs w:val="21"/>
                <w:color w:val="auto"/>
              </w:rPr>
            </w:pPr>
          </w:p>
        </w:tc>
        <w:tc>
          <w:tcPr>
            <w:tcW w:w="2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423,436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451,584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(28,148)</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810,466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832,713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(22,247)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9,542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43,886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(34,344)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(109,446)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42,221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(151,667)</w:t>
            </w: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0" w:type="dxa"/>
            <w:vAlign w:val="bottom"/>
            <w:tcBorders>
              <w:right w:val="single" w:sz="8" w:color="CCEEFF"/>
            </w:tcBorders>
          </w:tcPr>
          <w:p>
            <w:pPr>
              <w:spacing w:after="0"/>
              <w:rPr>
                <w:sz w:val="19"/>
                <w:szCs w:val="19"/>
                <w:color w:val="auto"/>
              </w:rPr>
            </w:pP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Property</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0" w:type="dxa"/>
            <w:vAlign w:val="bottom"/>
            <w:tcBorders>
              <w:right w:val="single" w:sz="8" w:color="CCEEFF"/>
            </w:tcBorders>
          </w:tcPr>
          <w:p>
            <w:pPr>
              <w:spacing w:after="0"/>
              <w:rPr>
                <w:sz w:val="20"/>
                <w:szCs w:val="20"/>
                <w:color w:val="auto"/>
              </w:rPr>
            </w:pPr>
          </w:p>
        </w:tc>
        <w:tc>
          <w:tcPr>
            <w:tcW w:w="2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122,037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160,424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(38,387)</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232,714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270,712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(37,998)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120" w:firstLine="432"/>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2015 net income was $9.5 million, compared to $43.9 million for the same period of 2014. This reduction was primarily driven by a 26.2% decline in casino revenues.</w:t>
      </w:r>
    </w:p>
    <w:p>
      <w:pPr>
        <w:spacing w:after="0" w:line="162" w:lineRule="exact"/>
        <w:rPr>
          <w:sz w:val="20"/>
          <w:szCs w:val="20"/>
          <w:color w:val="auto"/>
        </w:rPr>
      </w:pPr>
    </w:p>
    <w:p>
      <w:pPr>
        <w:jc w:val="both"/>
        <w:ind w:right="140" w:firstLine="432"/>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2015, we experienced a net loss of $109.4 million, compared to net income of $42.2 million for the same period of 2014, primarily due to $122.4 million in losses on the extinguishment of debt for the purchase of first mortgage notes due 2020 pursuant to a cash tender offer and subsequent redemption of untendered notes.</w:t>
      </w:r>
    </w:p>
    <w:p>
      <w:pPr>
        <w:spacing w:after="0" w:line="176"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Adjusted Property EBITDA of $122.0 million for the three months ended June 30, 2015 and $232.7 million for the six months ended June 30, 2015, each decreased year-over-year primarily due to declines in casino revenues.</w:t>
      </w:r>
    </w:p>
    <w:p>
      <w:pPr>
        <w:spacing w:after="0" w:line="162"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We offer gaming, hotel accommodations, dining, entertainment, retail shopping, convention services and other amenities at our resort. We currently rely solely upon the operations of Wynn Las Vegas for our operating cash flow. Concentration of our cash flows from Wynn Las Vegas exposes us to certain risks that competitors, whose operations are more diversified, may be better able to control. In addition to the concentration of operations in Wynn Las Vegas, many of our customers are premium gaming customers who wager on credit, thus exposing us to increased credit risk. High-end gaming also increases the potential for variability in our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three months ended June 30, 2015 compared to the three months ended June 30, 2014.</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227"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Non-casino revenues consist of operating revenues from rooms, food and beverage, entertainment, retail and other, less promotional allowances. The following table presents net revenues from our casino and non-casino revenues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8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vMerge w:val="restart"/>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1"/>
                <w:szCs w:val="11"/>
                <w:color w:val="auto"/>
              </w:rPr>
            </w:pPr>
          </w:p>
        </w:tc>
        <w:tc>
          <w:tcPr>
            <w:tcW w:w="1020" w:type="dxa"/>
            <w:vAlign w:val="bottom"/>
          </w:tcPr>
          <w:p>
            <w:pPr>
              <w:jc w:val="right"/>
              <w:ind w:right="208"/>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3800" w:type="dxa"/>
            <w:vAlign w:val="bottom"/>
            <w:tcBorders>
              <w:bottom w:val="single" w:sz="8" w:color="CCEEFF"/>
            </w:tcBorders>
          </w:tcPr>
          <w:p>
            <w:pPr>
              <w:spacing w:after="0"/>
              <w:rPr>
                <w:sz w:val="16"/>
                <w:szCs w:val="16"/>
                <w:color w:val="auto"/>
              </w:rPr>
            </w:pPr>
          </w:p>
        </w:tc>
        <w:tc>
          <w:tcPr>
            <w:tcW w:w="34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3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 revenues</w:t>
            </w:r>
          </w:p>
        </w:tc>
        <w:tc>
          <w:tcPr>
            <w:tcW w:w="37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134,689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182,534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Non-casino revenues</w:t>
            </w:r>
          </w:p>
        </w:tc>
        <w:tc>
          <w:tcPr>
            <w:tcW w:w="34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288,747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269,050</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57"/>
        </w:trPr>
        <w:tc>
          <w:tcPr>
            <w:tcW w:w="380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423,436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451,584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400" w:type="dxa"/>
            <w:vAlign w:val="bottom"/>
            <w:vMerge w:val="restart"/>
          </w:tcPr>
          <w:p>
            <w:pPr>
              <w:jc w:val="right"/>
              <w:ind w:right="1230"/>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380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7" w:right="239" w:bottom="1440" w:gutter="0" w:footer="0" w:header="0"/>
        </w:sectPr>
      </w:pPr>
    </w:p>
    <w:bookmarkStart w:id="20" w:name="page21"/>
    <w:bookmarkEnd w:id="20"/>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51"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percentage of our net revenues from non-casino revenues was 68.2% for the three months ended June 30, 2015, compared to 59.6% for the same period of 2014. Casino revenues were 31.8% of total net revenues for the three months ended June 30, 2015, compared to 40.4% of total net revenues for the same period of 2014.</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Casino revenues</w:t>
      </w:r>
    </w:p>
    <w:p>
      <w:pPr>
        <w:spacing w:after="0" w:line="227"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Casino revenues decreased 26.2%, or $47.8 million, to $134.7 million for the three months ended June 30, 2015, from $182.5 million in the same period of 2014. The decrease in casino revenues is primarily attributable to a 7.9 percentage point decline in table games win percentage and a 19.0% decrease in table drop.</w:t>
      </w:r>
    </w:p>
    <w:p>
      <w:pPr>
        <w:spacing w:after="0" w:line="176"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The table below sets forth our casino revenues and associated key operating measures related to our operations (dollars in thousands, except for win per unit per day).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0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1480" w:type="dxa"/>
            <w:vAlign w:val="bottom"/>
          </w:tcPr>
          <w:p>
            <w:pPr>
              <w:jc w:val="right"/>
              <w:ind w:right="413"/>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casino revenues</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134,689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182,534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Table drop</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509,309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629,047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(119,738)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Table games win</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99,313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172,054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Table games win %</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4,650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8,130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Slot machine handle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712,147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706,870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5,277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Slot machine win</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51,010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46,131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4,879</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Non-casino revenues</w:t>
      </w:r>
    </w:p>
    <w:p>
      <w:pPr>
        <w:spacing w:after="0" w:line="227"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Non-casino revenues increased 7.3%, or $19.7 million, to $288.7 million for the three months ended June 30, 2015, from $269.1 million for the same period of 2014, primarily due to an 8.7% increase in food and beverage revenues, a 4.4% increase in entertainment, retail and other revenues and a 7.5% decrease in promotional allowances.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Room revenues were relatively flat with $108.8 million for the three months ended June 30, 2015, compared to $107.9 million for the same period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 below sets forth our room revenues and associated key operating measures related to our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40" w:type="dxa"/>
            <w:vAlign w:val="bottom"/>
          </w:tcPr>
          <w:p>
            <w:pPr>
              <w:spacing w:after="0"/>
              <w:rPr>
                <w:sz w:val="16"/>
                <w:szCs w:val="16"/>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Change (a)</w:t>
            </w:r>
          </w:p>
        </w:tc>
      </w:tr>
      <w:tr>
        <w:trPr>
          <w:trHeight w:val="249"/>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108,834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107,911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Occupancy</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 Except occupancy, which is presented as a percentage point change.</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198"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Food and beverage revenues increased 8.7%, or $12.9 million, to $162.0 million for the three months ended June 30, 2015, from $149.1 million for the same period of 2014, mainly due to an increase in revenues at our nightclubs and an increase in revenues from catering and banquets.</w:t>
      </w:r>
    </w:p>
    <w:p>
      <w:pPr>
        <w:spacing w:after="0" w:line="162"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Entertainment, retail and other revenues increased 4.4%, or $2.5 million, to $59.3 million for the three months ended June 30, 2015, from $56.8 million for the same period of 2014, primarily as a result of the opening of Steve Wynn's Showstoppers in December 2014.</w:t>
      </w:r>
    </w:p>
    <w:p>
      <w:pPr>
        <w:spacing w:after="0" w:line="3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277" w:right="239" w:bottom="1440" w:gutter="0" w:footer="0" w:header="0"/>
        </w:sectPr>
      </w:pPr>
    </w:p>
    <w:bookmarkStart w:id="21" w:name="page22"/>
    <w:bookmarkEnd w:id="21"/>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51"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Promotional allowances decreased 7.5%, or $3.4 million, to $41.5 million for the three months ended June 30, 2015, from $44.8 million for the same period of 2014, primarily as a result of less complimentaries due to the decrease in table drop.</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costs and expenses</w:t>
      </w:r>
    </w:p>
    <w:p>
      <w:pPr>
        <w:spacing w:after="0" w:line="227"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Operating costs and expenses increased 3.0%, or $10.8 million, to $364.9 million for the three months ended June 30, 2015, from $354.2 million for the same period of 2014.</w:t>
      </w:r>
    </w:p>
    <w:p>
      <w:pPr>
        <w:spacing w:after="0" w:line="162"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Casino expenses decreased 9.6%, or $7.1 million, to $67.2 million for the three months ended June 30, 2015, from $74.3 million for the same period of 2014, primarily due to a decrease in gaming tax and other expenses associated with the casino revenues decrease.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Room expenses were relatively flat with $36.4 million for the three months ended June 30, 2015, compared to $36.2 million for the same period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w:t>
      </w:r>
    </w:p>
    <w:p>
      <w:pPr>
        <w:spacing w:after="0" w:line="207"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Food and beverage expenses increased 10.7%, or $10.2 million, to $105.3 million for the three months ended June 30, 2015, from $95.1 million for the same period of 2014. The increase is primarily a result of higher costs in the current period for entertainment at our nightclubs.</w:t>
      </w:r>
    </w:p>
    <w:p>
      <w:pPr>
        <w:spacing w:after="0" w:line="162"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Entertainment, retail and other expenses increased 7.9%, or $2.5 million, to $34.1 million for the three months ended June 30, 2015, from $31.6 million for the same period of 2014, primarily attributable to costs associated with Steve Wynn's Showstoppers which opened in December 2014.</w:t>
      </w:r>
    </w:p>
    <w:p>
      <w:pPr>
        <w:spacing w:after="0" w:line="162"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5.8%, or $3.8 million, to $61.2 million for the three months ended June 30, 2015, from $65.0 million for the same period of 2014, primarily attributable to a decrease in corporate allocations.</w:t>
      </w:r>
    </w:p>
    <w:p>
      <w:pPr>
        <w:spacing w:after="0" w:line="162"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Provision for doubtful accounts increased $2.7 million to $3.0 million for the three months ended June 30, 2015, from $0.3 million for the same period of 2014. The change in the provision was primarily due to the impact of historical collection patterns and current collection trends, as well as specific review of customer accounts, on our estimated allowance for the respective periods.</w:t>
      </w:r>
    </w:p>
    <w:p>
      <w:pPr>
        <w:spacing w:after="0" w:line="176" w:lineRule="exact"/>
        <w:rPr>
          <w:sz w:val="20"/>
          <w:szCs w:val="20"/>
          <w:color w:val="auto"/>
        </w:rPr>
      </w:pPr>
    </w:p>
    <w:p>
      <w:pPr>
        <w:ind w:right="280" w:firstLine="432"/>
        <w:spacing w:after="0" w:line="261" w:lineRule="auto"/>
        <w:rPr>
          <w:sz w:val="20"/>
          <w:szCs w:val="20"/>
          <w:color w:val="auto"/>
        </w:rPr>
      </w:pPr>
      <w:r>
        <w:rPr>
          <w:rFonts w:ascii="Times New Roman" w:cs="Times New Roman" w:eastAsia="Times New Roman" w:hAnsi="Times New Roman"/>
          <w:sz w:val="18"/>
          <w:szCs w:val="18"/>
          <w:color w:val="auto"/>
        </w:rPr>
        <w:t>Management and license fees increased 96.6%, or $6.5 million, to $13.3 million for the three months ended June 30, 2015, from $6.8 million for the same period of 2014. In February 2015, the Company began incurring fees associated with its license agreement with Wynn Resorts and a wholly owned subsidiary of Wynn Resorts for use of certain intellectual property. The license agreement resulted in additional fees of $7.0 million for the three months ended June 30, 2015, which were not experienced in the prior year.</w:t>
      </w:r>
    </w:p>
    <w:p>
      <w:pPr>
        <w:spacing w:after="0" w:line="180"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1.2%, or $0.5 million, to $45.2 million for the three months ended June 30, 2015, from $44.7 million for the same period of 2014.</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Non-operating income and expenses</w:t>
      </w:r>
    </w:p>
    <w:p>
      <w:pPr>
        <w:spacing w:after="0" w:line="227"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Interest expense decreased 12.4%, or $6.4 million, to $45.1 million for the three months ended June 30, 2015, compared to $51.4 million for the three months ended June 30, 2014. In February 2015, we issued $1.8 billion of 5 1/2% senior notes due 2025 and used proceeds for the purchase of $305.8 million of 7 7/8% first mortgage notes due 2020 and $1,146.5 million of 7 3/4% first mortgage notes due 2020 pursuant to a cash tender offer. In May 2015, we redeemed $71.1 million of the untendered 7 7/8% first mortgage notes due 2020. As a result of these financing activities, our weighted average interest rate was lower for the three months ended June 30, 2015, compared to the same period of 2014.</w:t>
      </w:r>
    </w:p>
    <w:p>
      <w:pPr>
        <w:spacing w:after="0" w:line="184"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2015, we recognized a $3.8 million loss on extinguishment of debt compared to $2.3 million for the same period of 2014. In connection with the May 2015 redemption of the untendered 7 7/8% first mortgage notes due 2020, we incurred a loss associated with the premium paid and the write-off of the related unamortized financing costs and original issue discount. During the three months ended June 30, 2014, the loss incurred was a result of premium paid on first mortgage notes due 2020 through open market transactions and the write-off of related unamortized financing costs and original issue discount.</w:t>
      </w:r>
    </w:p>
    <w:p>
      <w:pPr>
        <w:spacing w:after="0" w:line="200" w:lineRule="exact"/>
        <w:rPr>
          <w:sz w:val="20"/>
          <w:szCs w:val="20"/>
          <w:color w:val="auto"/>
        </w:rPr>
      </w:pPr>
    </w:p>
    <w:p>
      <w:pPr>
        <w:spacing w:after="0" w:line="34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277" w:right="259" w:bottom="1440" w:gutter="0" w:footer="0" w:header="0"/>
        </w:sectPr>
      </w:pPr>
    </w:p>
    <w:bookmarkStart w:id="22" w:name="page23"/>
    <w:bookmarkEnd w:id="22"/>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six months ended June 30, 2015 compared to the six months ended June 30, 2014.</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227"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Non-casino revenues consist of operating revenues from rooms, food and beverage, entertainment, retail and other, less promotional allowances. The following table presents net revenues from our casino and non-casino revenues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7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vMerge w:val="restart"/>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1"/>
                <w:szCs w:val="11"/>
                <w:color w:val="auto"/>
              </w:rPr>
            </w:pPr>
          </w:p>
        </w:tc>
        <w:tc>
          <w:tcPr>
            <w:tcW w:w="1020" w:type="dxa"/>
            <w:vAlign w:val="bottom"/>
          </w:tcPr>
          <w:p>
            <w:pPr>
              <w:jc w:val="right"/>
              <w:ind w:right="208"/>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72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 revenues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296,468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337,813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Non-casino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513,998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494,900</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7"/>
        </w:trPr>
        <w:tc>
          <w:tcPr>
            <w:tcW w:w="72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810,466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832,713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The percentage of our net revenues from non-casino revenues was 63.4% for the six months ended June 30, 2015, compared to 59.4% for the same period of 2014. Casino revenues were 36.6% of total net revenues for the six months ended June 30, 2015, compared to 40.6% of total net revenues for the same period of 2014.</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Casino revenues</w:t>
      </w:r>
    </w:p>
    <w:p>
      <w:pPr>
        <w:spacing w:after="0" w:line="227"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Casino revenues decreased 12.2%, or $41.3 million, to $296.5 million for the six months ended June 30, 2015, from $337.8 million in the same period of 2014. The decrease in casino revenues is primarily attributable to a 15.2% decrease in table drop and a 2.3 percentage point decline in table games win percentage.</w:t>
      </w:r>
    </w:p>
    <w:p>
      <w:pPr>
        <w:spacing w:after="0" w:line="176"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The table below sets forth our casino revenues and associated key operating measures related to our operations (dollars in thousands, except for win per unit per day).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0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1480" w:type="dxa"/>
            <w:vAlign w:val="bottom"/>
          </w:tcPr>
          <w:p>
            <w:pPr>
              <w:jc w:val="right"/>
              <w:ind w:right="413"/>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casino revenues</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296,468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337,813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Table drop</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1,082,921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1,276,483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(193,562)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Table games win</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234,992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305,788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(70,796)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Table games win %</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5,501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7,281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Slot machine handle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1,474,331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1,450,668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23,663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Slot machine win</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99,427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91,632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7,795</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Non-casino revenues</w:t>
      </w:r>
    </w:p>
    <w:p>
      <w:pPr>
        <w:spacing w:after="0" w:line="227" w:lineRule="exact"/>
        <w:rPr>
          <w:sz w:val="20"/>
          <w:szCs w:val="20"/>
          <w:color w:val="auto"/>
        </w:rPr>
      </w:pPr>
    </w:p>
    <w:p>
      <w:pPr>
        <w:ind w:right="380" w:firstLine="432"/>
        <w:spacing w:after="0" w:line="266" w:lineRule="auto"/>
        <w:rPr>
          <w:sz w:val="20"/>
          <w:szCs w:val="20"/>
          <w:color w:val="auto"/>
        </w:rPr>
      </w:pPr>
      <w:r>
        <w:rPr>
          <w:rFonts w:ascii="Times New Roman" w:cs="Times New Roman" w:eastAsia="Times New Roman" w:hAnsi="Times New Roman"/>
          <w:sz w:val="18"/>
          <w:szCs w:val="18"/>
          <w:color w:val="auto"/>
        </w:rPr>
        <w:t>Non-casino revenues increased 3.9%, or $19.1 million, to $514.0 million for the six months ended June 30, 2015, from $494.9 million for the same period of 2014, primarily due to a 4.7% increase in food and beverage revenues, a 3.8% increase in entertainment, retail and other revenues and a 5.4% decrease in promotional allowances.</w:t>
      </w:r>
    </w:p>
    <w:p>
      <w:pPr>
        <w:spacing w:after="0" w:line="176"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Room revenues decreased 1.2%, or $2.5 million, to $208.5 million for the six months ended June 30, 2015, from $211.0 million for the same period of 2014. The decrease is a result of a year-over-year decrease in occupancy of 2.4 percentage points, partially offset by the impact of a 2.5% increase in ADR to $286 for the six months ended June 30, 2015.</w:t>
      </w:r>
    </w:p>
    <w:p>
      <w:pPr>
        <w:spacing w:after="0" w:line="200" w:lineRule="exact"/>
        <w:rPr>
          <w:sz w:val="20"/>
          <w:szCs w:val="20"/>
          <w:color w:val="auto"/>
        </w:rPr>
      </w:pPr>
    </w:p>
    <w:p>
      <w:pPr>
        <w:spacing w:after="0" w:line="3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277" w:right="239" w:bottom="1440" w:gutter="0" w:footer="0" w:header="0"/>
        </w:sectPr>
      </w:pPr>
    </w:p>
    <w:bookmarkStart w:id="23" w:name="page24"/>
    <w:bookmarkEnd w:id="23"/>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 below sets forth our room revenues and associated key operating measures related to our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40" w:type="dxa"/>
            <w:vAlign w:val="bottom"/>
          </w:tcPr>
          <w:p>
            <w:pPr>
              <w:spacing w:after="0"/>
              <w:rPr>
                <w:sz w:val="16"/>
                <w:szCs w:val="16"/>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Change (a)</w:t>
            </w:r>
          </w:p>
        </w:tc>
      </w:tr>
      <w:tr>
        <w:trPr>
          <w:trHeight w:val="249"/>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208,474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210,983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Occupancy</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 Except occupancy, which is presented as a percentage point change.</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198"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Food and beverage revenues increased 4.7%, or $12.4 million, to $276.5 million for the six months ended June 30, 2015, from $264.1 million for the same period of 2014, mainly due to an increase in revenues at our nightclubs and an increase in revenues from catering and banquets.</w:t>
      </w:r>
    </w:p>
    <w:p>
      <w:pPr>
        <w:spacing w:after="0" w:line="162"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Entertainment, retail and other revenues increased 3.8%, or $4.3 million, to $115.4 million for the six months ended June 30, 2015, from $111.1 million for the same period of 2014, primarily as a result of the opening of Steve Wynn's Showstoppers in December 2014.</w:t>
      </w:r>
    </w:p>
    <w:p>
      <w:pPr>
        <w:spacing w:after="0" w:line="162"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Promotional allowances decreased 5.4%, or $5.0 million, to $86.4 million for the six months ended June 30, 2015, from $91.3 million for the same period of 2014, primarily as a result of less complimentaries on the decrease in table drop.</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costs and expenses</w:t>
      </w:r>
    </w:p>
    <w:p>
      <w:pPr>
        <w:spacing w:after="0" w:line="227"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Operating costs and expenses increased 3.0%, or $20.6 million, to $704.4 million for the six months ended June 30, 2015, from $683.8 million for the same period of 2014.</w:t>
      </w:r>
    </w:p>
    <w:p>
      <w:pPr>
        <w:spacing w:after="0" w:line="162"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Casino expenses decreased 5.6%, or $8.7 million, to $146.1 million for the six months ended June 30, 2015, from $154.8 million for the same period of 2014, primarily due to a decrease in gaming tax and other expenses associated with the casino revenue decrease.</w:t>
      </w:r>
    </w:p>
    <w:p>
      <w:pPr>
        <w:spacing w:after="0" w:line="162"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Room expenses increased 2.2%, or $1.5 million, to $71.9 million for the six months ended June 30, 2015, from $70.4 million for the same period of 2014. The increase is primarily a result of certain room expenses incurred to maintain a premium guest experience.</w:t>
      </w:r>
    </w:p>
    <w:p>
      <w:pPr>
        <w:spacing w:after="0" w:line="162"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Food and beverage expenses increased 6.9%, or $11.5 million, to $177.2 million for the six months ended June 30, 2015, from $165.7 million for the same period of 2014. The increase is primarily a result of higher costs in the current period for entertainment at our nightclubs.</w:t>
      </w:r>
    </w:p>
    <w:p>
      <w:pPr>
        <w:spacing w:after="0" w:line="162"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Entertainment, retail and other expenses increased 4.6%, or $3.0 million, to $68.1 million for the six months ended June 30, 2015, from $65.1 million for the same period of 2014 primarily attributable to costs associated with Steve Wynn's Showstoppers which opened in December 2014.</w:t>
      </w:r>
    </w:p>
    <w:p>
      <w:pPr>
        <w:spacing w:after="0" w:line="162"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1.6%, or $2.0 million, to $122.3 million for the six months ended June 30, 2015, from $124.3 million for the same period of 2014, attributable to a decrease in corporate allocations, partially offset by increased advertising expenses and other administrative expenses.</w:t>
      </w:r>
    </w:p>
    <w:p>
      <w:pPr>
        <w:spacing w:after="0" w:line="176"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Provision for doubtful accounts increased $2.3 million to $4.8 million for the six months ended June 30, 2015, from $2.5 million for the same period of 2014. The change in the provision was primarily due to the impact of historical collection patterns and current collection trends, as well as specific review of customer accounts, on our estimated allowance for the respective periods.</w:t>
      </w:r>
    </w:p>
    <w:p>
      <w:pPr>
        <w:spacing w:after="0" w:line="176"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Management and license fees increased 71.7%, or $9.0 million, to $21.5 million for the six months ended June 30, 2015, from $12.5 million for the same period of 2014. In February 2015, the Company began incurring fees associated with its license agreement with Wynn Resorts and a wholly owned subsidiary of Wynn Resorts, for use of certain intellectual property. The license agreement resulted in additional fees of $9.3 million for the six months ended June 30, 2015, which were not experienced in the prior year.</w:t>
      </w:r>
    </w:p>
    <w:p>
      <w:pPr>
        <w:spacing w:after="0" w:line="36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277" w:right="239" w:bottom="1440" w:gutter="0" w:footer="0" w:header="0"/>
        </w:sectPr>
      </w:pPr>
    </w:p>
    <w:bookmarkStart w:id="24" w:name="page25"/>
    <w:bookmarkEnd w:id="24"/>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3.1%, or $2.8 million, to $91.5 million for the six months ended June 30, 2015, from $88.7 million for the same period of 2014.</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Non-operating income and expenses</w:t>
      </w:r>
    </w:p>
    <w:p>
      <w:pPr>
        <w:spacing w:after="0" w:line="227"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Interest expense decreased 9.7%, or $10.0 million, to $93.2 million for the six months ended June 30, 2015, compared to $103.2 million for the six months ended June 30, 2014. In February 2015, we issued $1.8 billion of 5 1/2% senior notes due 2025 and used the proceeds for the purchase of $305.8 million of 7 7/8% first mortgage notes due 2020 and $1,146.5 million of 7 3/4% first mortgage notes due 2020 pursuant to a cash tender offer. In May 2015, we redeemed $71.1 million of the untendered 7 7/8% first mortgage notes due 2020. As a result of these financing activities, our weighted average interest rate was lower for the six months ended June 30, 2015, compared to the same period of 2014.</w:t>
      </w:r>
    </w:p>
    <w:p>
      <w:pPr>
        <w:spacing w:after="0" w:line="18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2015, we recognized a $122.4 million loss on extinguishment of debt compared to $3.8 million for the same period of 2014, which included $118.5 million in loss on extinguishment of debt primarily in connection with the cash tender offer discussed above. In connection with the February 2015 cash tender offer and May 2015 redemption of the first mortgage notes due 2020 discussed above, we incurred a $104.0 million loss associated with premiums paid. Additionally, we expensed $18.2 million of unamortized financing costs and original issue discount associated with the cash tender offer and subsequent redemption of untendered notes and incurred other fees of approximately $0.1 million related to the cash tender offer. During the three months ended June 30, 2014, the loss was for the premium paid on first mortgage notes due 2020 through open market transactions and the write-off of related unamortized financing costs and original issue discount.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Property EBITDA</w:t>
      </w:r>
    </w:p>
    <w:p>
      <w:pPr>
        <w:spacing w:after="0" w:line="229" w:lineRule="exact"/>
        <w:rPr>
          <w:sz w:val="20"/>
          <w:szCs w:val="20"/>
          <w:color w:val="auto"/>
        </w:rPr>
      </w:pPr>
    </w:p>
    <w:p>
      <w:pPr>
        <w:ind w:right="20" w:firstLine="432"/>
        <w:spacing w:after="0" w:line="252" w:lineRule="auto"/>
        <w:rPr>
          <w:sz w:val="20"/>
          <w:szCs w:val="20"/>
          <w:color w:val="auto"/>
        </w:rPr>
      </w:pPr>
      <w:r>
        <w:rPr>
          <w:rFonts w:ascii="Times New Roman" w:cs="Times New Roman" w:eastAsia="Times New Roman" w:hAnsi="Times New Roman"/>
          <w:sz w:val="18"/>
          <w:szCs w:val="18"/>
          <w:color w:val="auto"/>
        </w:rPr>
        <w:t>We use Adjusted Property EBITDA to manage the operating results of our resort. Adjusted Property EBITDA is net income (loss) before interest, taxes, depreciation and amortization, pre-opening costs, property charges and other, management and license fees, corporate expenses and other, intercompany golf course and water rights leases, stock-based compensation, loss on extinguishment of debt, and other non-operating income and expenses and includes equity in income (loss)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resort and comparison with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measures of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or calculation of Adjusted Property EBITDA may be different from the calculation methods used by other companies, therefore, comparability may be limited.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277" w:right="239" w:bottom="1440" w:gutter="0" w:footer="0" w:header="0"/>
        </w:sectPr>
      </w:pPr>
    </w:p>
    <w:bookmarkStart w:id="25" w:name="page26"/>
    <w:bookmarkEnd w:id="25"/>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a reconciliation of Adjusted Property EBITDA to net income (loss) (in thousands):</w:t>
      </w:r>
    </w:p>
    <w:p>
      <w:pPr>
        <w:spacing w:after="0" w:line="232"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8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0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69"/>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Property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122,037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160,424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232,714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270,712</w:t>
            </w: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operating costs and expenses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41"/>
        </w:trPr>
        <w:tc>
          <w:tcPr>
            <w:tcW w:w="5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45,249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44,726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91,489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88,716</w:t>
            </w:r>
          </w:p>
        </w:tc>
      </w:tr>
      <w:tr>
        <w:trPr>
          <w:trHeight w:val="243"/>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Management and license fees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13,323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21,454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12,496</w:t>
            </w:r>
          </w:p>
        </w:tc>
      </w:tr>
      <w:tr>
        <w:trPr>
          <w:trHeight w:val="243"/>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expenses and other</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18,570</w:t>
            </w: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1,935</w:t>
            </w:r>
          </w:p>
        </w:tc>
      </w:tr>
      <w:tr>
        <w:trPr>
          <w:trHeight w:val="243"/>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in income (loss) from unconsolidated affiliates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236</w:t>
            </w:r>
          </w:p>
        </w:tc>
      </w:tr>
      <w:tr>
        <w:trPr>
          <w:trHeight w:val="27"/>
        </w:trPr>
        <w:tc>
          <w:tcPr>
            <w:tcW w:w="5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50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63,535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63,000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126,612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121,774</w:t>
            </w:r>
          </w:p>
        </w:tc>
      </w:tr>
      <w:tr>
        <w:trPr>
          <w:trHeight w:val="23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58,502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97,424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106,102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148,938</w:t>
            </w:r>
          </w:p>
        </w:tc>
      </w:tr>
      <w:tr>
        <w:trPr>
          <w:trHeight w:val="27"/>
        </w:trPr>
        <w:tc>
          <w:tcPr>
            <w:tcW w:w="5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(103,185)</w:t>
            </w:r>
          </w:p>
        </w:tc>
      </w:tr>
      <w:tr>
        <w:trPr>
          <w:trHeight w:val="243"/>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w:t>
            </w: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in income (loss) from unconsolidated affiliates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236</w:t>
            </w:r>
          </w:p>
        </w:tc>
      </w:tr>
      <w:tr>
        <w:trPr>
          <w:trHeight w:val="237"/>
        </w:trPr>
        <w:tc>
          <w:tcPr>
            <w:tcW w:w="5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(48,960)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(53,538)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(106,717)</w:t>
            </w:r>
          </w:p>
        </w:tc>
      </w:tr>
      <w:tr>
        <w:trPr>
          <w:trHeight w:val="27"/>
        </w:trPr>
        <w:tc>
          <w:tcPr>
            <w:tcW w:w="5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9,542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43,886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42,221</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Our operating cash flows primarily consist of our operating income generated by our resort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89"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Net cash used in operations for the six months ended June 30, 2015 was $69.3 million, compared to $159.1 million provided by operations for the same period in 2014. During the six months ended June 30, 2015, we paid $204.9 million in accrued management fees to Wynn Resorts as we no longer are subject to certain restrictive covenants under the 2020 indentures. These payments were partially offset by changes in ordinary working capital accounts. During the six months ended June 30, 2014, our cash provided by operations was primarily from changes in ordinary working capital accounts.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2015 was $42.3 million, compared to $33.9 million for the same period in 2014, and primarily consisted of capital expenditures, deposits and purchases of other assets. Cash used for the six months ended June 30, 2015 was primarily for capital expenditures and deposits associated with general property maintenance and the remodel of guest rooms in our Encore hotel tower which began late in the second quarter. We expect these room renovations to be completed by the end of 2015. Cash used for the six months ended June 30, 2014 was primarily for capital expenditures associated with general property maintenance.</w:t>
      </w:r>
    </w:p>
    <w:p>
      <w:pPr>
        <w:spacing w:after="0" w:line="200" w:lineRule="exact"/>
        <w:rPr>
          <w:sz w:val="20"/>
          <w:szCs w:val="20"/>
          <w:color w:val="auto"/>
        </w:rPr>
      </w:pPr>
    </w:p>
    <w:p>
      <w:pPr>
        <w:spacing w:after="0" w:line="38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277" w:right="279" w:bottom="1440" w:gutter="0" w:footer="0" w:header="0"/>
        </w:sectPr>
      </w:pPr>
    </w:p>
    <w:bookmarkStart w:id="26" w:name="page27"/>
    <w:bookmarkEnd w:id="26"/>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2015 was $10.9 million, compared to $36.1 million used in financing activities for the same period in 2014. During the six months ended June 30, 2015, we issued $1.8 billion of 5 1/2% senior notes due 2025 with proceeds used for the purchase of $1.5 billion of our first mortgage notes due 2020 pursuant to a cash tender offer. An additional $86.3 million has been restricted for the redemption of the remaining first mortgage notes due in 2020, which will take place in August. During the six months ended June 30, 2015, the proceeds from the issuance were also partially offset by payments of financing costs of $129.3 million. The majority of the net cash used of $36.1 million in financing activities for the six months ended June 30, 2014 was for the repurchase of $32.0 million in principal of first mortgage notes due in 2020 through open market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9"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At June 30, 2015, we had $165.7 million of cash and cash equivalents available for use without restriction, including for operations, debt service and extinguishment, new development activities, enhancements to our property and general corporate purposes. We require a certain amount of cash on hand for operations. We expect to meet our current debt maturities and planned capital expenditure requirements with future anticipated cash flow from operations and our existing cash balances.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Off Balance Sheet Arrangements</w:t>
      </w:r>
    </w:p>
    <w:p>
      <w:pPr>
        <w:spacing w:after="0" w:line="227"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We have not entered into any transactions with special purpose entities nor do we engage in any derivatives. We do not have any retained or contingent interest in assets transferred to an unconsolidated entity. At June 30, 2015, we had unsecured outstanding letters of credit totaling $8.9 million.</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27"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outside the ordinary course of our business during the six months ended June 30, 2015 to our contractual obligations or off balance sheet arrangements as disclosed in our Annual Report on Form 10-K for the year ended December 31, 2014, except as discussed above under "Financing Activities."</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Other Factors Affecting Liquidity</w:t>
      </w:r>
    </w:p>
    <w:p>
      <w:pPr>
        <w:spacing w:after="0" w:line="227"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We are restricted under the indentures governing the first mortgage notes from making certain "restricted payments" as defined in the indentures. These restricted payments include the payments of dividends or distributions to any direct or indirect holders of equity interests of Wynn Las Vegas, LLC. These restricted payments may not be made until certain other financial and non-financial criteria have been satisfied.</w:t>
      </w:r>
    </w:p>
    <w:p>
      <w:pPr>
        <w:spacing w:after="0" w:line="176" w:lineRule="exact"/>
        <w:rPr>
          <w:sz w:val="20"/>
          <w:szCs w:val="20"/>
          <w:color w:val="auto"/>
        </w:rPr>
      </w:pPr>
    </w:p>
    <w:p>
      <w:pPr>
        <w:ind w:right="160" w:firstLine="432"/>
        <w:spacing w:after="0" w:line="289" w:lineRule="auto"/>
        <w:rPr>
          <w:sz w:val="20"/>
          <w:szCs w:val="20"/>
          <w:color w:val="auto"/>
        </w:rPr>
      </w:pPr>
      <w:r>
        <w:rPr>
          <w:rFonts w:ascii="Times New Roman" w:cs="Times New Roman" w:eastAsia="Times New Roman" w:hAnsi="Times New Roman"/>
          <w:sz w:val="17"/>
          <w:szCs w:val="17"/>
          <w:color w:val="auto"/>
        </w:rPr>
        <w:t>We intend to fund our operations and capital requirements from cash on hand and operating cash flow. We cannot be sure that we will generate sufficient cash flow from operations or that future borrowings that are available to us, if any, will be sufficient to enable us to service and repay our indebtedness and to fund our other liquidity needs. We cannot be sure that we will be able to refinance any of our indebtedness on acceptable terms or at all.</w:t>
      </w:r>
    </w:p>
    <w:p>
      <w:pPr>
        <w:spacing w:after="0" w:line="158" w:lineRule="exact"/>
        <w:rPr>
          <w:sz w:val="20"/>
          <w:szCs w:val="20"/>
          <w:color w:val="auto"/>
        </w:rPr>
      </w:pPr>
    </w:p>
    <w:p>
      <w:pPr>
        <w:ind w:right="460" w:firstLine="432"/>
        <w:spacing w:after="0" w:line="266" w:lineRule="auto"/>
        <w:rPr>
          <w:sz w:val="20"/>
          <w:szCs w:val="20"/>
          <w:color w:val="auto"/>
        </w:rPr>
      </w:pPr>
      <w:r>
        <w:rPr>
          <w:rFonts w:ascii="Times New Roman" w:cs="Times New Roman" w:eastAsia="Times New Roman" w:hAnsi="Times New Roman"/>
          <w:sz w:val="18"/>
          <w:szCs w:val="18"/>
          <w:color w:val="auto"/>
        </w:rPr>
        <w:t>Legal proceedings in which Wynn Resorts is involved also may impact our liquidity. No assurance can be provided as to the outcome of such proceedings. In addition, litigation inherently involves significant costs. For information regarding legal proceedings, see Item 1—"Notes to Condensed Consolidated Financial Statements", Note 8 "Commitments and Contingencies."</w:t>
      </w:r>
    </w:p>
    <w:p>
      <w:pPr>
        <w:spacing w:after="0" w:line="176" w:lineRule="exact"/>
        <w:rPr>
          <w:sz w:val="20"/>
          <w:szCs w:val="20"/>
          <w:color w:val="auto"/>
        </w:rPr>
      </w:pPr>
    </w:p>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New business developments or other unforeseen events may occur, resulting in the need to raise additional funds. We continue to explore opportunities to develop additional gaming or related businesses in the United States. There can be no assurances regarding the business prospects with respect to any other opportunity. Any other development would require us to obtain additional financing.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A description of our critical accounting policies is included in Item 7 of our Annual Report on Form 10-K for the year ended December 31, 2014. There has been no material change to these policies for the six months ended June 30, 2015.</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277" w:right="259" w:bottom="1440" w:gutter="0" w:footer="0" w:header="0"/>
        </w:sectPr>
      </w:pPr>
    </w:p>
    <w:bookmarkStart w:id="27" w:name="page28"/>
    <w:bookmarkEnd w:id="27"/>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4" w:lineRule="exact"/>
        <w:rPr>
          <w:sz w:val="20"/>
          <w:szCs w:val="20"/>
          <w:color w:val="auto"/>
        </w:rPr>
      </w:pPr>
    </w:p>
    <w:p>
      <w:pPr>
        <w:jc w:val="both"/>
        <w:ind w:right="60" w:firstLine="432"/>
        <w:spacing w:after="0" w:line="266"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1A—"Risk Factors" of our Annual Report on Form 10-K for the year ended December 31, 2014 and other factors we describe from time to time in our periodic filings with the Securities and Exchange Commission ("SEC"), such as:</w:t>
      </w:r>
    </w:p>
    <w:p>
      <w:pPr>
        <w:spacing w:after="0" w:line="176" w:lineRule="exact"/>
        <w:rPr>
          <w:sz w:val="20"/>
          <w:szCs w:val="20"/>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Stephen A. Wynn;</w:t>
      </w:r>
    </w:p>
    <w:p>
      <w:pPr>
        <w:spacing w:after="0" w:line="2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levels of travel, leisure and consumer spending;</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macroeconomic conditions;</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violations of law by Mr. Kazuo Okada, a former shareholder of ours;</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future legal proceedings;</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violations by us of the anti-money laundering laws or Foreign Corrupt Practices Act;</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Wynn Las Vegas for all of our cash flow;</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casino/hotel and resort industries and actions taken by our competitors;</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customer relationships and collect and enforce gaming debts;</w:t>
      </w:r>
    </w:p>
    <w:p>
      <w:pPr>
        <w:spacing w:after="0" w:line="9" w:lineRule="exact"/>
        <w:rPr>
          <w:rFonts w:ascii="Times New Roman" w:cs="Times New Roman" w:eastAsia="Times New Roman" w:hAnsi="Times New Roman"/>
          <w:sz w:val="18"/>
          <w:szCs w:val="18"/>
          <w:color w:val="auto"/>
        </w:rPr>
      </w:pPr>
    </w:p>
    <w:p>
      <w:pPr>
        <w:ind w:left="900" w:right="620" w:hanging="325"/>
        <w:spacing w:after="0" w:line="250"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terrorism, regional political events, outbreak of an infectious disease or natural disaster may have on the travel and leisure industry;</w:t>
      </w: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enforcement actions;</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gaming laws or regulations (including the legalization of gaming in certain jurisdictions);</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insurance coverage levels;</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and debt service;</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occupancy rates and average daily room rates;</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tourism trends given the current domestic and international economic conditions;</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development and construction activities of competitors;</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or state tax laws or the administration of such laws;</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approvals under applicable jurisdictional laws and regulations (including gaming laws and regulations);</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including misappropriation of customer information or other breaches of information security;</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environmental regulation; and</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consequences of military conflicts and any future security alerts and/or terrorist attacks.</w:t>
      </w:r>
    </w:p>
    <w:p>
      <w:pPr>
        <w:spacing w:after="0" w:line="207"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Interest Rate Risks</w:t>
      </w:r>
    </w:p>
    <w:p>
      <w:pPr>
        <w:spacing w:after="0" w:line="227"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We had $3.2 billion of fixed-rate debt outstanding as of June 30, 2015. As a result of our outstanding debt being based on fixed rates, we currently do not have exposure from adverse changes in market rates.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June 30, 2015, our long-term debt was based on fixed rates.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277" w:right="239" w:bottom="1440" w:gutter="0" w:footer="0" w:header="0"/>
        </w:sectPr>
      </w:pPr>
    </w:p>
    <w:bookmarkStart w:id="28" w:name="page29"/>
    <w:bookmarkEnd w:id="28"/>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4" w:lineRule="exact"/>
        <w:rPr>
          <w:sz w:val="20"/>
          <w:szCs w:val="20"/>
          <w:color w:val="auto"/>
        </w:rPr>
      </w:pPr>
    </w:p>
    <w:p>
      <w:pPr>
        <w:ind w:firstLine="413"/>
        <w:spacing w:after="0" w:line="300" w:lineRule="auto"/>
        <w:tabs>
          <w:tab w:leader="none" w:pos="8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 and Procedures</w:t>
      </w:r>
      <w:r>
        <w:rPr>
          <w:rFonts w:ascii="Times New Roman" w:cs="Times New Roman" w:eastAsia="Times New Roman" w:hAnsi="Times New Roman"/>
          <w:sz w:val="18"/>
          <w:szCs w:val="18"/>
          <w:color w:val="auto"/>
        </w:rPr>
        <w:t>. The Company's management, with the participation of the Company's principal executive officer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principal executive officer and principal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principal executive officer and principal financial officer, as appropriate to allow timely decisions regarding required disclosure.</w:t>
      </w:r>
    </w:p>
    <w:p>
      <w:pPr>
        <w:spacing w:after="0" w:line="192" w:lineRule="exact"/>
        <w:rPr>
          <w:rFonts w:ascii="Times New Roman" w:cs="Times New Roman" w:eastAsia="Times New Roman" w:hAnsi="Times New Roman"/>
          <w:sz w:val="18"/>
          <w:szCs w:val="18"/>
          <w:color w:val="auto"/>
        </w:rPr>
      </w:pPr>
    </w:p>
    <w:p>
      <w:pPr>
        <w:jc w:val="both"/>
        <w:ind w:right="240" w:firstLine="413"/>
        <w:spacing w:after="0" w:line="314" w:lineRule="auto"/>
        <w:tabs>
          <w:tab w:leader="none" w:pos="858"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Internal Control Over Financial Reporting. </w:t>
      </w:r>
      <w:r>
        <w:rPr>
          <w:rFonts w:ascii="Times New Roman" w:cs="Times New Roman" w:eastAsia="Times New Roman" w:hAnsi="Times New Roman"/>
          <w:sz w:val="18"/>
          <w:szCs w:val="18"/>
          <w:color w:val="auto"/>
        </w:rPr>
        <w:t>There were no changes in the Company's internal control over financial reporting (as such term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Rules 13a-15(f) and 15d-15(f) under the Exchange Act) during the quarter to which this report relates that materially affected, or are reasonably likely to materially affect, the Company's internal control over financial reporting.</w:t>
      </w:r>
    </w:p>
    <w:p>
      <w:pPr>
        <w:spacing w:after="0" w:line="33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277" w:right="279" w:bottom="1440" w:gutter="0" w:footer="0" w:header="0"/>
        </w:sectPr>
      </w:pPr>
    </w:p>
    <w:bookmarkStart w:id="29" w:name="page30"/>
    <w:bookmarkEnd w:id="29"/>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A description of our risk factors can be found in Item 1A of our Annual Report on Form 10-K for the year ended December 31, 2014. There were no material changes to those risk factors during the six months ended June 30,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Restrictions imposed by our debt instruments significantly restrict us, subject to certain exceptions for payment of allocable corporate overhead, from declaring or paying dividends or distributions. Specifically, we are restricted under the indentures governing the first mortgage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w:t>
      </w:r>
    </w:p>
    <w:p>
      <w:pPr>
        <w:spacing w:after="0" w:line="3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240" w:top="277" w:right="439" w:bottom="1440" w:gutter="0" w:footer="0" w:header="0"/>
        </w:sectPr>
      </w:pPr>
    </w:p>
    <w:bookmarkStart w:id="30" w:name="page31"/>
    <w:bookmarkEnd w:id="30"/>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(a)</w:t>
            </w:r>
          </w:p>
        </w:tc>
        <w:tc>
          <w:tcPr>
            <w:tcW w:w="10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Exhibits</w:t>
            </w:r>
          </w:p>
        </w:tc>
        <w:tc>
          <w:tcPr>
            <w:tcW w:w="0" w:type="dxa"/>
            <w:vAlign w:val="bottom"/>
          </w:tcPr>
          <w:p>
            <w:pPr>
              <w:spacing w:after="0"/>
              <w:rPr>
                <w:sz w:val="1"/>
                <w:szCs w:val="1"/>
                <w:color w:val="auto"/>
              </w:rPr>
            </w:pPr>
          </w:p>
        </w:tc>
      </w:tr>
      <w:tr>
        <w:trPr>
          <w:trHeight w:val="554"/>
        </w:trPr>
        <w:tc>
          <w:tcPr>
            <w:tcW w:w="8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78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610"/>
        </w:trPr>
        <w:tc>
          <w:tcPr>
            <w:tcW w:w="82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20" w:type="dxa"/>
            <w:vAlign w:val="bottom"/>
          </w:tcPr>
          <w:p>
            <w:pPr>
              <w:spacing w:after="0"/>
              <w:rPr>
                <w:sz w:val="24"/>
                <w:szCs w:val="24"/>
                <w:color w:val="auto"/>
              </w:rPr>
            </w:pPr>
          </w:p>
        </w:tc>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0"/>
        </w:trPr>
        <w:tc>
          <w:tcPr>
            <w:tcW w:w="820" w:type="dxa"/>
            <w:vAlign w:val="bottom"/>
          </w:tcPr>
          <w:p>
            <w:pPr>
              <w:jc w:val="right"/>
              <w:ind w:right="214"/>
              <w:spacing w:after="0" w:line="160" w:lineRule="exact"/>
              <w:rPr>
                <w:sz w:val="20"/>
                <w:szCs w:val="20"/>
                <w:color w:val="auto"/>
              </w:rPr>
            </w:pPr>
            <w:r>
              <w:rPr>
                <w:rFonts w:ascii="Times New Roman" w:cs="Times New Roman" w:eastAsia="Times New Roman" w:hAnsi="Times New Roman"/>
                <w:sz w:val="14"/>
                <w:szCs w:val="14"/>
                <w:b w:val="1"/>
                <w:bCs w:val="1"/>
                <w:color w:val="auto"/>
              </w:rPr>
              <w:t>No.</w:t>
            </w:r>
          </w:p>
        </w:tc>
        <w:tc>
          <w:tcPr>
            <w:tcW w:w="3620" w:type="dxa"/>
            <w:vAlign w:val="bottom"/>
          </w:tcPr>
          <w:p>
            <w:pPr>
              <w:spacing w:after="0"/>
              <w:rPr>
                <w:sz w:val="13"/>
                <w:szCs w:val="13"/>
                <w:color w:val="auto"/>
              </w:rPr>
            </w:pPr>
          </w:p>
        </w:tc>
        <w:tc>
          <w:tcPr>
            <w:tcW w:w="6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10400" w:type="dxa"/>
            <w:vAlign w:val="bottom"/>
            <w:gridSpan w:val="3"/>
            <w:vMerge w:val="restart"/>
          </w:tcPr>
          <w:p>
            <w:pPr>
              <w:ind w:left="940"/>
              <w:spacing w:after="0"/>
              <w:rPr>
                <w:sz w:val="20"/>
                <w:szCs w:val="20"/>
                <w:color w:val="auto"/>
              </w:rPr>
            </w:pPr>
            <w:r>
              <w:rPr>
                <w:rFonts w:ascii="Times New Roman" w:cs="Times New Roman" w:eastAsia="Times New Roman" w:hAnsi="Times New Roman"/>
                <w:sz w:val="18"/>
                <w:szCs w:val="18"/>
                <w:color w:val="auto"/>
              </w:rPr>
              <w:t>Third Amended and Restated Articles of Organization of Wynn Las Vegas, LLC. (Incorporated by reference from the Quarterly</w:t>
            </w:r>
          </w:p>
        </w:tc>
        <w:tc>
          <w:tcPr>
            <w:tcW w:w="0" w:type="dxa"/>
            <w:vAlign w:val="bottom"/>
          </w:tcPr>
          <w:p>
            <w:pPr>
              <w:spacing w:after="0"/>
              <w:rPr>
                <w:sz w:val="1"/>
                <w:szCs w:val="1"/>
                <w:color w:val="auto"/>
              </w:rPr>
            </w:pPr>
          </w:p>
        </w:tc>
      </w:tr>
      <w:tr>
        <w:trPr>
          <w:trHeight w:val="340"/>
        </w:trPr>
        <w:tc>
          <w:tcPr>
            <w:tcW w:w="820" w:type="dxa"/>
            <w:vAlign w:val="bottom"/>
          </w:tcPr>
          <w:p>
            <w:pPr>
              <w:spacing w:after="0"/>
              <w:rPr>
                <w:sz w:val="24"/>
                <w:szCs w:val="24"/>
                <w:color w:val="auto"/>
              </w:rPr>
            </w:pPr>
          </w:p>
        </w:tc>
        <w:tc>
          <w:tcPr>
            <w:tcW w:w="1040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4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Report on Form 10-Q filed by the Registrant on November 7, 2014.)</w:t>
            </w:r>
          </w:p>
        </w:tc>
        <w:tc>
          <w:tcPr>
            <w:tcW w:w="0" w:type="dxa"/>
            <w:vAlign w:val="bottom"/>
          </w:tcPr>
          <w:p>
            <w:pPr>
              <w:spacing w:after="0"/>
              <w:rPr>
                <w:sz w:val="1"/>
                <w:szCs w:val="1"/>
                <w:color w:val="auto"/>
              </w:rPr>
            </w:pPr>
          </w:p>
        </w:tc>
      </w:tr>
      <w:tr>
        <w:trPr>
          <w:trHeight w:val="252"/>
        </w:trPr>
        <w:tc>
          <w:tcPr>
            <w:tcW w:w="820" w:type="dxa"/>
            <w:vAlign w:val="bottom"/>
          </w:tcPr>
          <w:p>
            <w:pPr>
              <w:spacing w:after="0"/>
              <w:rPr>
                <w:sz w:val="21"/>
                <w:szCs w:val="21"/>
                <w:color w:val="auto"/>
              </w:rPr>
            </w:pPr>
          </w:p>
        </w:tc>
        <w:tc>
          <w:tcPr>
            <w:tcW w:w="104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Second Amended and Restated Operating Agreement of Wynn Las Vegas, LLC. (Incorporated by reference from the Registration</w:t>
            </w:r>
          </w:p>
        </w:tc>
        <w:tc>
          <w:tcPr>
            <w:tcW w:w="0" w:type="dxa"/>
            <w:vAlign w:val="bottom"/>
          </w:tcPr>
          <w:p>
            <w:pPr>
              <w:spacing w:after="0"/>
              <w:rPr>
                <w:sz w:val="1"/>
                <w:szCs w:val="1"/>
                <w:color w:val="auto"/>
              </w:rPr>
            </w:pPr>
          </w:p>
        </w:tc>
      </w:tr>
      <w:tr>
        <w:trPr>
          <w:trHeight w:val="234"/>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4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Statement on Form S-4 (File No. 333-124052) filed by the Registrant on April 13, 2005.)</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4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Certification of Principal Executive Officer of Periodic Report Pursuant to Rule 13a – 14(a) and Rule 15d – 14(a).</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4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Certification of Principal Financial Officer of Periodic Report Pursuant to Rule 13a – 14(a) and Rule 15d – 14(a).</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4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Certification of CEO and CFO Pursuant to 18 U.S.C. Section 1350.</w:t>
            </w:r>
          </w:p>
        </w:tc>
        <w:tc>
          <w:tcPr>
            <w:tcW w:w="0" w:type="dxa"/>
            <w:vAlign w:val="bottom"/>
          </w:tcPr>
          <w:p>
            <w:pPr>
              <w:spacing w:after="0"/>
              <w:rPr>
                <w:sz w:val="1"/>
                <w:szCs w:val="1"/>
                <w:color w:val="auto"/>
              </w:rPr>
            </w:pPr>
          </w:p>
        </w:tc>
      </w:tr>
      <w:tr>
        <w:trPr>
          <w:trHeight w:val="252"/>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4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w w:val="99"/>
              </w:rPr>
              <w:t>The following financial information from the Company's Quarterly Report on Form 10-Q for the quarter ended June 30, 2015, filed</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4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with the SEC on August 7, 2015 formatted in Extensible Business Reporting Language (XBRL): (i) the Condensed Consolidated</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4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Balance Sheets at June 30, 2015 and December 31, 2014, (ii) the Condensed Consolidated Statements of Comprehensive Income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4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(Loss) for the three and six months ended June 30, 2015 and 2014, (iii) the Condensed Consolidated Statements of Cash Flows for</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104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the six months ended June 30, 2015 and 2014, and (iv) Notes to Condensed Consolidated Financial Statements.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543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86"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20"/>
          </w:cols>
          <w:pgMar w:left="240" w:top="277" w:right="439" w:bottom="1440" w:gutter="0" w:footer="0" w:header="0"/>
        </w:sectPr>
      </w:pPr>
    </w:p>
    <w:bookmarkStart w:id="31" w:name="page32"/>
    <w:bookmarkEnd w:id="31"/>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47"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b w:val="1"/>
          <w:bCs w:val="1"/>
          <w:color w:val="auto"/>
        </w:rPr>
        <w:t>WYNN LAS VEGAS, LLC</w:t>
      </w:r>
    </w:p>
    <w:p>
      <w:pPr>
        <w:spacing w:after="0" w:line="391" w:lineRule="exact"/>
        <w:rPr>
          <w:sz w:val="20"/>
          <w:szCs w:val="20"/>
          <w:color w:val="auto"/>
        </w:rPr>
      </w:pPr>
    </w:p>
    <w:p>
      <w:pPr>
        <w:ind w:left="40"/>
        <w:spacing w:after="0"/>
        <w:tabs>
          <w:tab w:leader="none" w:pos="6080" w:val="left"/>
          <w:tab w:leader="none" w:pos="6640" w:val="left"/>
        </w:tabs>
        <w:rPr>
          <w:sz w:val="20"/>
          <w:szCs w:val="20"/>
          <w:color w:val="auto"/>
        </w:rPr>
      </w:pPr>
      <w:r>
        <w:rPr>
          <w:rFonts w:ascii="Times New Roman" w:cs="Times New Roman" w:eastAsia="Times New Roman" w:hAnsi="Times New Roman"/>
          <w:sz w:val="18"/>
          <w:szCs w:val="18"/>
          <w:color w:val="auto"/>
        </w:rPr>
        <w:t>Dated: August 7,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Dean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34290</wp:posOffset>
            </wp:positionV>
            <wp:extent cx="30359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Dean Lawrence</w:t>
      </w:r>
    </w:p>
    <w:p>
      <w:pPr>
        <w:spacing w:after="0" w:line="6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Senior Vice President and</w:t>
      </w:r>
    </w:p>
    <w:p>
      <w:pPr>
        <w:spacing w:after="0" w:line="6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780"/>
          </w:cols>
          <w:pgMar w:left="240" w:top="277" w:right="87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and Rule 15d-14(a)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Maurice Wooden, certify that:</w:t>
      </w:r>
    </w:p>
    <w:p>
      <w:pPr>
        <w:spacing w:after="0" w:line="171"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Las Vegas, LLC;</w:t>
      </w:r>
    </w:p>
    <w:p>
      <w:pPr>
        <w:spacing w:after="0" w:line="171"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460" w:right="140" w:hanging="480"/>
        <w:spacing w:after="0" w:line="266" w:lineRule="auto"/>
        <w:tabs>
          <w:tab w:leader="none" w:pos="14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460" w:right="60" w:hanging="480"/>
        <w:spacing w:after="0" w:line="266" w:lineRule="auto"/>
        <w:tabs>
          <w:tab w:leader="none" w:pos="14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460" w:right="220" w:hanging="480"/>
        <w:spacing w:after="0" w:line="282" w:lineRule="auto"/>
        <w:tabs>
          <w:tab w:leader="none" w:pos="14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460" w:right="220" w:hanging="480"/>
        <w:spacing w:after="0" w:line="266" w:lineRule="auto"/>
        <w:tabs>
          <w:tab w:leader="none" w:pos="14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460" w:right="460" w:hanging="480"/>
        <w:spacing w:after="0" w:line="282" w:lineRule="auto"/>
        <w:tabs>
          <w:tab w:leader="none" w:pos="14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460" w:right="160" w:hanging="480"/>
        <w:spacing w:after="0" w:line="282" w:lineRule="auto"/>
        <w:tabs>
          <w:tab w:leader="none" w:pos="14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2015</w:t>
      </w:r>
    </w:p>
    <w:p>
      <w:pPr>
        <w:spacing w:after="0" w:line="17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 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34734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Maurice Wooden</w:t>
      </w:r>
    </w:p>
    <w:p>
      <w:pPr>
        <w:spacing w:after="0" w:line="6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President</w:t>
      </w:r>
    </w:p>
    <w:p>
      <w:pPr>
        <w:spacing w:after="0" w:line="6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and Rule 15d-14(a)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Dean Lawrence, certify that:</w:t>
      </w:r>
    </w:p>
    <w:p>
      <w:pPr>
        <w:spacing w:after="0" w:line="171"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Las Vegas, LLC;</w:t>
      </w:r>
    </w:p>
    <w:p>
      <w:pPr>
        <w:spacing w:after="0" w:line="171"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460" w:right="140" w:hanging="480"/>
        <w:spacing w:after="0" w:line="266" w:lineRule="auto"/>
        <w:tabs>
          <w:tab w:leader="none" w:pos="1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460" w:right="60" w:hanging="480"/>
        <w:spacing w:after="0" w:line="266" w:lineRule="auto"/>
        <w:tabs>
          <w:tab w:leader="none" w:pos="1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460" w:right="220" w:hanging="480"/>
        <w:spacing w:after="0" w:line="282" w:lineRule="auto"/>
        <w:tabs>
          <w:tab w:leader="none" w:pos="1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460" w:right="220" w:hanging="480"/>
        <w:spacing w:after="0" w:line="266" w:lineRule="auto"/>
        <w:tabs>
          <w:tab w:leader="none" w:pos="1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460" w:right="460" w:hanging="480"/>
        <w:spacing w:after="0" w:line="282" w:lineRule="auto"/>
        <w:tabs>
          <w:tab w:leader="none" w:pos="1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460" w:right="160" w:hanging="480"/>
        <w:spacing w:after="0" w:line="282" w:lineRule="auto"/>
        <w:tabs>
          <w:tab w:leader="none" w:pos="1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2015</w:t>
      </w:r>
    </w:p>
    <w:p>
      <w:pPr>
        <w:spacing w:after="0" w:line="17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 Dean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34734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Dean Lawrence</w:t>
      </w:r>
    </w:p>
    <w:p>
      <w:pPr>
        <w:spacing w:after="0" w:line="6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Senior Vice President and</w:t>
      </w:r>
    </w:p>
    <w:p>
      <w:pPr>
        <w:spacing w:after="0" w:line="6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576"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Wynn Las Vegas, LLC (the “Company”) for the quarter ended June 30, 2015 as filed with the Securities and Exchange Commission on the date hereof (the “Report”), Maurice Wooden, as President of the Company and Dean Lawrence, as Chief Financial Officer of the Company, each hereby certifies, pursuant to 18 U.S.C. Section 1350, as adopted pursuant to Section 906 of the Sarbanes-Oxley Act of 2002, that, to the best of their knowledge:</w:t>
      </w:r>
    </w:p>
    <w:p>
      <w:pPr>
        <w:spacing w:after="0" w:line="126"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 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9192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Maurice Wooden</w:t>
            </w:r>
          </w:p>
        </w:tc>
      </w:tr>
      <w:tr>
        <w:trPr>
          <w:trHeight w:val="270"/>
        </w:trPr>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President</w:t>
            </w:r>
          </w:p>
        </w:tc>
      </w:tr>
      <w:tr>
        <w:trPr>
          <w:trHeight w:val="270"/>
        </w:trPr>
        <w:tc>
          <w:tcPr>
            <w:tcW w:w="740" w:type="dxa"/>
            <w:vAlign w:val="bottom"/>
          </w:tcPr>
          <w:p>
            <w:pPr>
              <w:spacing w:after="0"/>
              <w:rPr>
                <w:sz w:val="23"/>
                <w:szCs w:val="23"/>
                <w:color w:val="auto"/>
              </w:rPr>
            </w:pPr>
          </w:p>
        </w:tc>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70"/>
        </w:trPr>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w:t>
            </w:r>
          </w:p>
        </w:tc>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August 7, 2015</w:t>
            </w:r>
          </w:p>
        </w:tc>
      </w:tr>
      <w:tr>
        <w:trPr>
          <w:trHeight w:val="405"/>
        </w:trPr>
        <w:tc>
          <w:tcPr>
            <w:tcW w:w="61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 Dean Lawrence</w:t>
            </w:r>
          </w:p>
        </w:tc>
      </w:tr>
      <w:tr>
        <w:trPr>
          <w:trHeight w:val="27"/>
        </w:trPr>
        <w:tc>
          <w:tcPr>
            <w:tcW w:w="74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Dean Lawrence</w:t>
            </w:r>
          </w:p>
        </w:tc>
      </w:tr>
      <w:tr>
        <w:trPr>
          <w:trHeight w:val="270"/>
        </w:trPr>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70"/>
        </w:trPr>
        <w:tc>
          <w:tcPr>
            <w:tcW w:w="740" w:type="dxa"/>
            <w:vAlign w:val="bottom"/>
          </w:tcPr>
          <w:p>
            <w:pPr>
              <w:spacing w:after="0"/>
              <w:rPr>
                <w:sz w:val="23"/>
                <w:szCs w:val="23"/>
                <w:color w:val="auto"/>
              </w:rPr>
            </w:pPr>
          </w:p>
        </w:tc>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270"/>
        </w:trPr>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w:t>
            </w:r>
          </w:p>
        </w:tc>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August 7, 2015</w:t>
            </w:r>
          </w:p>
        </w:tc>
      </w:tr>
    </w:tbl>
    <w:p>
      <w:pPr>
        <w:spacing w:after="0" w:line="17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3"/>
    </w:lvl>
  </w:abstractNum>
  <w:abstractNum w:abstractNumId="3">
    <w:nsid w:val="515F007C"/>
    <w:multiLevelType w:val="hybridMultilevel"/>
    <w:lvl w:ilvl="0">
      <w:lvlJc w:val="left"/>
      <w:lvlText w:val="(%1)"/>
      <w:numFmt w:val="decimal"/>
      <w:start w:val="3"/>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2019-12-29T15:10:35Z</dcterms:created>
  <dcterms:modified xsi:type="dcterms:W3CDTF">2019-12-29T15:10:35Z</dcterms:modified>
</cp:coreProperties>
</file>