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8" w:lineRule="exact"/>
        <w:rPr>
          <w:sz w:val="24"/>
          <w:szCs w:val="24"/>
          <w:color w:val="auto"/>
        </w:rPr>
      </w:pPr>
    </w:p>
    <w:p>
      <w:pPr>
        <w:ind w:left="700" w:right="40" w:hanging="674"/>
        <w:spacing w:after="0" w:line="256" w:lineRule="auto"/>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700" w:right="380" w:hanging="674"/>
        <w:spacing w:after="0" w:line="256"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0" w:lineRule="exact"/>
        <w:rPr>
          <w:sz w:val="24"/>
          <w:szCs w:val="24"/>
          <w:color w:val="auto"/>
        </w:rPr>
      </w:pPr>
    </w:p>
    <w:p>
      <w:pPr>
        <w:ind w:left="356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3762375</wp:posOffset>
            </wp:positionH>
            <wp:positionV relativeFrom="paragraph">
              <wp:posOffset>-7620</wp:posOffset>
            </wp:positionV>
            <wp:extent cx="11233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68580</wp:posOffset>
            </wp:positionV>
            <wp:extent cx="2631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80"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Nevada</w:t>
            </w: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46-0484987</w:t>
            </w:r>
          </w:p>
        </w:tc>
      </w:tr>
      <w:tr>
        <w:trPr>
          <w:trHeight w:val="180"/>
        </w:trPr>
        <w:tc>
          <w:tcPr>
            <w:tcW w:w="860" w:type="dxa"/>
            <w:vAlign w:val="bottom"/>
          </w:tcPr>
          <w:p>
            <w:pPr>
              <w:spacing w:after="0"/>
              <w:rPr>
                <w:sz w:val="15"/>
                <w:szCs w:val="15"/>
                <w:color w:val="auto"/>
              </w:rPr>
            </w:pPr>
          </w:p>
        </w:tc>
        <w:tc>
          <w:tcPr>
            <w:tcW w:w="2920" w:type="dxa"/>
            <w:vAlign w:val="bottom"/>
            <w:gridSpan w:val="3"/>
          </w:tcPr>
          <w:p>
            <w:pPr>
              <w:jc w:val="center"/>
              <w:ind w:left="842"/>
              <w:spacing w:after="0"/>
              <w:rPr>
                <w:sz w:val="20"/>
                <w:szCs w:val="20"/>
                <w:color w:val="auto"/>
              </w:rPr>
            </w:pPr>
            <w:r>
              <w:rPr>
                <w:rFonts w:ascii="Arial" w:cs="Arial" w:eastAsia="Arial" w:hAnsi="Arial"/>
                <w:sz w:val="14"/>
                <w:szCs w:val="14"/>
                <w:b w:val="1"/>
                <w:bCs w:val="1"/>
                <w:color w:val="auto"/>
                <w:w w:val="93"/>
              </w:rPr>
              <w:t>(State or other jurisdiction of</w:t>
            </w: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40" w:type="dxa"/>
            <w:vAlign w:val="bottom"/>
          </w:tcPr>
          <w:p>
            <w:pPr>
              <w:jc w:val="center"/>
              <w:ind w:right="104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860" w:type="dxa"/>
            <w:vAlign w:val="bottom"/>
          </w:tcPr>
          <w:p>
            <w:pPr>
              <w:spacing w:after="0"/>
              <w:rPr>
                <w:sz w:val="16"/>
                <w:szCs w:val="16"/>
                <w:color w:val="auto"/>
              </w:rPr>
            </w:pPr>
          </w:p>
        </w:tc>
        <w:tc>
          <w:tcPr>
            <w:tcW w:w="2920" w:type="dxa"/>
            <w:vAlign w:val="bottom"/>
            <w:gridSpan w:val="3"/>
          </w:tcPr>
          <w:p>
            <w:pPr>
              <w:jc w:val="center"/>
              <w:ind w:left="842"/>
              <w:spacing w:after="0"/>
              <w:rPr>
                <w:sz w:val="20"/>
                <w:szCs w:val="20"/>
                <w:color w:val="auto"/>
              </w:rPr>
            </w:pPr>
            <w:r>
              <w:rPr>
                <w:rFonts w:ascii="Arial" w:cs="Arial" w:eastAsia="Arial" w:hAnsi="Arial"/>
                <w:sz w:val="14"/>
                <w:szCs w:val="14"/>
                <w:b w:val="1"/>
                <w:bCs w:val="1"/>
                <w:color w:val="auto"/>
                <w:w w:val="94"/>
              </w:rPr>
              <w:t>incorporation or organization)</w:t>
            </w: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40" w:type="dxa"/>
            <w:vAlign w:val="bottom"/>
          </w:tcPr>
          <w:p>
            <w:pPr>
              <w:jc w:val="center"/>
              <w:ind w:right="1048"/>
              <w:spacing w:after="0"/>
              <w:rPr>
                <w:sz w:val="20"/>
                <w:szCs w:val="20"/>
                <w:color w:val="auto"/>
              </w:rPr>
            </w:pPr>
            <w:r>
              <w:rPr>
                <w:rFonts w:ascii="Arial" w:cs="Arial" w:eastAsia="Arial" w:hAnsi="Arial"/>
                <w:sz w:val="14"/>
                <w:szCs w:val="14"/>
                <w:b w:val="1"/>
                <w:bCs w:val="1"/>
                <w:color w:val="auto"/>
                <w:w w:val="94"/>
              </w:rPr>
              <w:t>Identification No.)</w:t>
            </w:r>
          </w:p>
        </w:tc>
      </w:tr>
      <w:tr>
        <w:trPr>
          <w:trHeight w:val="313"/>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140" w:type="dxa"/>
            <w:vAlign w:val="bottom"/>
            <w:gridSpan w:val="8"/>
          </w:tcPr>
          <w:p>
            <w:pPr>
              <w:jc w:val="center"/>
              <w:ind w:right="1228"/>
              <w:spacing w:after="0"/>
              <w:rPr>
                <w:sz w:val="20"/>
                <w:szCs w:val="20"/>
                <w:color w:val="auto"/>
              </w:rPr>
            </w:pPr>
            <w:r>
              <w:rPr>
                <w:rFonts w:ascii="Arial" w:cs="Arial" w:eastAsia="Arial" w:hAnsi="Arial"/>
                <w:sz w:val="18"/>
                <w:szCs w:val="18"/>
                <w:b w:val="1"/>
                <w:bCs w:val="1"/>
                <w:color w:val="auto"/>
                <w:w w:val="88"/>
              </w:rPr>
              <w:t>3131 Las Vegas Boulevard South - Las Vegas, Nevada 89109</w:t>
            </w:r>
          </w:p>
        </w:tc>
      </w:tr>
      <w:tr>
        <w:trPr>
          <w:trHeight w:val="186"/>
        </w:trPr>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80" w:type="dxa"/>
            <w:vAlign w:val="bottom"/>
            <w:gridSpan w:val="5"/>
          </w:tcPr>
          <w:p>
            <w:pPr>
              <w:jc w:val="center"/>
              <w:ind w:right="2888"/>
              <w:spacing w:after="0"/>
              <w:rPr>
                <w:sz w:val="20"/>
                <w:szCs w:val="20"/>
                <w:color w:val="auto"/>
              </w:rPr>
            </w:pPr>
            <w:r>
              <w:rPr>
                <w:rFonts w:ascii="Arial" w:cs="Arial" w:eastAsia="Arial" w:hAnsi="Arial"/>
                <w:sz w:val="14"/>
                <w:szCs w:val="14"/>
                <w:b w:val="1"/>
                <w:bCs w:val="1"/>
                <w:color w:val="auto"/>
                <w:w w:val="92"/>
              </w:rPr>
              <w:t>(Address of principal executive offices) (Zip Code)</w:t>
            </w:r>
          </w:p>
        </w:tc>
      </w:tr>
      <w:tr>
        <w:trPr>
          <w:trHeight w:val="246"/>
        </w:trPr>
        <w:tc>
          <w:tcPr>
            <w:tcW w:w="8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90"/>
              </w:rPr>
              <w:t>(702) 770-7555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40" w:type="dxa"/>
            <w:vAlign w:val="bottom"/>
          </w:tcPr>
          <w:p>
            <w:pPr>
              <w:spacing w:after="0"/>
              <w:rPr>
                <w:sz w:val="21"/>
                <w:szCs w:val="21"/>
                <w:color w:val="auto"/>
              </w:rPr>
            </w:pPr>
          </w:p>
        </w:tc>
      </w:tr>
      <w:tr>
        <w:trPr>
          <w:trHeight w:val="186"/>
        </w:trPr>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80" w:type="dxa"/>
            <w:vAlign w:val="bottom"/>
            <w:gridSpan w:val="5"/>
          </w:tcPr>
          <w:p>
            <w:pPr>
              <w:jc w:val="center"/>
              <w:ind w:right="2888"/>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80"/>
        </w:trPr>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640" w:type="dxa"/>
            <w:vAlign w:val="bottom"/>
          </w:tcPr>
          <w:p>
            <w:pPr>
              <w:spacing w:after="0"/>
              <w:rPr>
                <w:sz w:val="6"/>
                <w:szCs w:val="6"/>
                <w:color w:val="auto"/>
              </w:rPr>
            </w:pPr>
          </w:p>
        </w:tc>
      </w:tr>
      <w:tr>
        <w:trPr>
          <w:trHeight w:val="295"/>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jc w:val="center"/>
              <w:ind w:right="530"/>
              <w:spacing w:after="0"/>
              <w:rPr>
                <w:sz w:val="20"/>
                <w:szCs w:val="20"/>
                <w:color w:val="auto"/>
              </w:rPr>
            </w:pPr>
            <w:r>
              <w:rPr>
                <w:rFonts w:ascii="Arial" w:cs="Arial" w:eastAsia="Arial" w:hAnsi="Arial"/>
                <w:sz w:val="18"/>
                <w:szCs w:val="18"/>
                <w:b w:val="1"/>
                <w:bCs w:val="1"/>
                <w:color w:val="auto"/>
              </w:rPr>
              <w:t>N/A</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186"/>
        </w:trPr>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140" w:type="dxa"/>
            <w:vAlign w:val="bottom"/>
            <w:gridSpan w:val="8"/>
          </w:tcPr>
          <w:p>
            <w:pPr>
              <w:jc w:val="center"/>
              <w:ind w:right="1208"/>
              <w:spacing w:after="0"/>
              <w:rPr>
                <w:sz w:val="20"/>
                <w:szCs w:val="20"/>
                <w:color w:val="auto"/>
              </w:rPr>
            </w:pPr>
            <w:r>
              <w:rPr>
                <w:rFonts w:ascii="Arial" w:cs="Arial" w:eastAsia="Arial" w:hAnsi="Arial"/>
                <w:sz w:val="14"/>
                <w:szCs w:val="14"/>
                <w:b w:val="1"/>
                <w:bCs w:val="1"/>
                <w:color w:val="auto"/>
                <w:w w:val="92"/>
              </w:rPr>
              <w:t>(Former name, former address and former fiscal year, if changed since last report)</w:t>
            </w:r>
          </w:p>
        </w:tc>
      </w:tr>
      <w:tr>
        <w:trPr>
          <w:trHeight w:val="458"/>
        </w:trPr>
        <w:tc>
          <w:tcPr>
            <w:tcW w:w="6580" w:type="dxa"/>
            <w:vAlign w:val="bottom"/>
            <w:gridSpan w:val="7"/>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30"/>
        </w:trPr>
        <w:tc>
          <w:tcPr>
            <w:tcW w:w="860" w:type="dxa"/>
            <w:vAlign w:val="bottom"/>
          </w:tcPr>
          <w:p>
            <w:pPr>
              <w:spacing w:after="0"/>
              <w:rPr>
                <w:sz w:val="19"/>
                <w:szCs w:val="19"/>
                <w:color w:val="auto"/>
              </w:rPr>
            </w:pPr>
          </w:p>
        </w:tc>
        <w:tc>
          <w:tcPr>
            <w:tcW w:w="2920" w:type="dxa"/>
            <w:vAlign w:val="bottom"/>
            <w:gridSpan w:val="3"/>
          </w:tcPr>
          <w:p>
            <w:pPr>
              <w:jc w:val="center"/>
              <w:ind w:right="1580"/>
              <w:spacing w:after="0"/>
              <w:rPr>
                <w:sz w:val="20"/>
                <w:szCs w:val="20"/>
                <w:color w:val="auto"/>
              </w:rPr>
            </w:pPr>
            <w:r>
              <w:rPr>
                <w:rFonts w:ascii="Arial" w:cs="Arial" w:eastAsia="Arial" w:hAnsi="Arial"/>
                <w:sz w:val="18"/>
                <w:szCs w:val="18"/>
                <w:b w:val="1"/>
                <w:bCs w:val="1"/>
                <w:color w:val="auto"/>
                <w:w w:val="86"/>
              </w:rPr>
              <w:t>Title of each class</w:t>
            </w:r>
          </w:p>
        </w:tc>
        <w:tc>
          <w:tcPr>
            <w:tcW w:w="2800" w:type="dxa"/>
            <w:vAlign w:val="bottom"/>
            <w:gridSpan w:val="3"/>
          </w:tcPr>
          <w:p>
            <w:pPr>
              <w:jc w:val="center"/>
              <w:ind w:right="1130"/>
              <w:spacing w:after="0"/>
              <w:rPr>
                <w:sz w:val="20"/>
                <w:szCs w:val="20"/>
                <w:color w:val="auto"/>
              </w:rPr>
            </w:pPr>
            <w:r>
              <w:rPr>
                <w:rFonts w:ascii="Arial" w:cs="Arial" w:eastAsia="Arial" w:hAnsi="Arial"/>
                <w:sz w:val="18"/>
                <w:szCs w:val="18"/>
                <w:b w:val="1"/>
                <w:bCs w:val="1"/>
                <w:color w:val="auto"/>
                <w:w w:val="89"/>
              </w:rPr>
              <w:t>Trading Symbol(s)</w:t>
            </w:r>
          </w:p>
        </w:tc>
        <w:tc>
          <w:tcPr>
            <w:tcW w:w="376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40" w:type="dxa"/>
            <w:vAlign w:val="bottom"/>
            <w:gridSpan w:val="2"/>
            <w:shd w:val="clear" w:color="auto" w:fill="000000"/>
          </w:tcPr>
          <w:p>
            <w:pPr>
              <w:spacing w:after="0" w:line="20" w:lineRule="exact"/>
              <w:rPr>
                <w:sz w:val="1"/>
                <w:szCs w:val="1"/>
                <w:color w:val="auto"/>
              </w:rPr>
            </w:pPr>
          </w:p>
        </w:tc>
      </w:tr>
      <w:tr>
        <w:trPr>
          <w:trHeight w:val="290"/>
        </w:trPr>
        <w:tc>
          <w:tcPr>
            <w:tcW w:w="3780" w:type="dxa"/>
            <w:vAlign w:val="bottom"/>
            <w:gridSpan w:val="4"/>
          </w:tcPr>
          <w:p>
            <w:pPr>
              <w:jc w:val="center"/>
              <w:ind w:right="720"/>
              <w:spacing w:after="0"/>
              <w:rPr>
                <w:sz w:val="20"/>
                <w:szCs w:val="20"/>
                <w:color w:val="auto"/>
              </w:rPr>
            </w:pPr>
            <w:r>
              <w:rPr>
                <w:rFonts w:ascii="Arial" w:cs="Arial" w:eastAsia="Arial" w:hAnsi="Arial"/>
                <w:sz w:val="18"/>
                <w:szCs w:val="18"/>
                <w:color w:val="auto"/>
                <w:w w:val="90"/>
              </w:rPr>
              <w:t>Common stock, par value $0.01</w:t>
            </w:r>
          </w:p>
        </w:tc>
        <w:tc>
          <w:tcPr>
            <w:tcW w:w="80" w:type="dxa"/>
            <w:vAlign w:val="bottom"/>
          </w:tcPr>
          <w:p>
            <w:pPr>
              <w:spacing w:after="0"/>
              <w:rPr>
                <w:sz w:val="24"/>
                <w:szCs w:val="24"/>
                <w:color w:val="auto"/>
              </w:rPr>
            </w:pPr>
          </w:p>
        </w:tc>
        <w:tc>
          <w:tcPr>
            <w:tcW w:w="2720" w:type="dxa"/>
            <w:vAlign w:val="bottom"/>
            <w:gridSpan w:val="2"/>
          </w:tcPr>
          <w:p>
            <w:pPr>
              <w:jc w:val="center"/>
              <w:ind w:right="1190"/>
              <w:spacing w:after="0"/>
              <w:rPr>
                <w:sz w:val="20"/>
                <w:szCs w:val="20"/>
                <w:color w:val="auto"/>
              </w:rPr>
            </w:pPr>
            <w:r>
              <w:rPr>
                <w:rFonts w:ascii="Arial" w:cs="Arial" w:eastAsia="Arial" w:hAnsi="Arial"/>
                <w:sz w:val="18"/>
                <w:szCs w:val="18"/>
                <w:color w:val="auto"/>
              </w:rPr>
              <w:t>WYNN</w:t>
            </w:r>
          </w:p>
        </w:tc>
        <w:tc>
          <w:tcPr>
            <w:tcW w:w="420" w:type="dxa"/>
            <w:vAlign w:val="bottom"/>
          </w:tcPr>
          <w:p>
            <w:pPr>
              <w:spacing w:after="0"/>
              <w:rPr>
                <w:sz w:val="24"/>
                <w:szCs w:val="24"/>
                <w:color w:val="auto"/>
              </w:rPr>
            </w:pPr>
          </w:p>
        </w:tc>
        <w:tc>
          <w:tcPr>
            <w:tcW w:w="3340" w:type="dxa"/>
            <w:vAlign w:val="bottom"/>
            <w:gridSpan w:val="2"/>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36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jc w:val="both"/>
        <w:spacing w:after="0" w:line="217"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445"/>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445"/>
        <w:spacing w:after="0" w:line="28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company" in Rule 12b-2 of the Exchange Act.</w:t>
            </w:r>
          </w:p>
        </w:tc>
        <w:tc>
          <w:tcPr>
            <w:tcW w:w="47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76"/>
        </w:trPr>
        <w:tc>
          <w:tcPr>
            <w:tcW w:w="196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37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40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96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37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40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740" w:type="dxa"/>
            <w:vAlign w:val="bottom"/>
          </w:tcPr>
          <w:p>
            <w:pPr>
              <w:ind w:left="240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7" w:lineRule="exact"/>
        <w:rPr>
          <w:sz w:val="24"/>
          <w:szCs w:val="24"/>
          <w:color w:val="auto"/>
        </w:rPr>
      </w:pPr>
    </w:p>
    <w:p>
      <w:pPr>
        <w:ind w:firstLine="44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460" w:right="1360"/>
        <w:spacing w:after="0" w:line="23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w:t>
            </w:r>
          </w:p>
        </w:tc>
        <w:tc>
          <w:tcPr>
            <w:tcW w:w="38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Outstanding at April 27, 2020</w:t>
            </w:r>
          </w:p>
        </w:tc>
        <w:tc>
          <w:tcPr>
            <w:tcW w:w="940" w:type="dxa"/>
            <w:vAlign w:val="bottom"/>
          </w:tcPr>
          <w:p>
            <w:pPr>
              <w:spacing w:after="0"/>
              <w:rPr>
                <w:sz w:val="14"/>
                <w:szCs w:val="14"/>
                <w:color w:val="auto"/>
              </w:rPr>
            </w:pPr>
          </w:p>
        </w:tc>
      </w:tr>
      <w:tr>
        <w:trPr>
          <w:trHeight w:val="264"/>
        </w:trPr>
        <w:tc>
          <w:tcPr>
            <w:tcW w:w="5560" w:type="dxa"/>
            <w:vAlign w:val="bottom"/>
            <w:gridSpan w:val="3"/>
          </w:tcPr>
          <w:p>
            <w:pPr>
              <w:jc w:val="center"/>
              <w:ind w:right="2540"/>
              <w:spacing w:after="0"/>
              <w:rPr>
                <w:sz w:val="20"/>
                <w:szCs w:val="20"/>
                <w:color w:val="auto"/>
              </w:rPr>
            </w:pPr>
            <w:r>
              <w:rPr>
                <w:rFonts w:ascii="Arial" w:cs="Arial" w:eastAsia="Arial" w:hAnsi="Arial"/>
                <w:sz w:val="18"/>
                <w:szCs w:val="18"/>
                <w:color w:val="auto"/>
                <w:w w:val="90"/>
              </w:rPr>
              <w:t>Common stock, par value $0.01</w:t>
            </w:r>
          </w:p>
        </w:tc>
        <w:tc>
          <w:tcPr>
            <w:tcW w:w="4740" w:type="dxa"/>
            <w:vAlign w:val="bottom"/>
            <w:gridSpan w:val="2"/>
          </w:tcPr>
          <w:p>
            <w:pPr>
              <w:jc w:val="right"/>
              <w:ind w:right="408"/>
              <w:spacing w:after="0"/>
              <w:rPr>
                <w:sz w:val="20"/>
                <w:szCs w:val="20"/>
                <w:color w:val="auto"/>
              </w:rPr>
            </w:pPr>
            <w:r>
              <w:rPr>
                <w:rFonts w:ascii="Arial" w:cs="Arial" w:eastAsia="Arial" w:hAnsi="Arial"/>
                <w:sz w:val="18"/>
                <w:szCs w:val="18"/>
                <w:color w:val="auto"/>
              </w:rPr>
              <w:t>107,868,264</w:t>
            </w:r>
          </w:p>
        </w:tc>
        <w:tc>
          <w:tcPr>
            <w:tcW w:w="940" w:type="dxa"/>
            <w:vAlign w:val="bottom"/>
          </w:tcPr>
          <w:p>
            <w:pPr>
              <w:spacing w:after="0"/>
              <w:rPr>
                <w:sz w:val="22"/>
                <w:szCs w:val="22"/>
                <w:color w:val="auto"/>
              </w:rPr>
            </w:pPr>
          </w:p>
        </w:tc>
      </w:tr>
      <w:tr>
        <w:trPr>
          <w:trHeight w:val="817"/>
        </w:trPr>
        <w:tc>
          <w:tcPr>
            <w:tcW w:w="1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480" w:type="dxa"/>
            <w:vAlign w:val="bottom"/>
            <w:gridSpan w:val="18"/>
          </w:tcPr>
          <w:p>
            <w:pPr>
              <w:ind w:left="400"/>
              <w:spacing w:after="0"/>
              <w:rPr>
                <w:sz w:val="20"/>
                <w:szCs w:val="20"/>
                <w:color w:val="auto"/>
              </w:rPr>
            </w:pPr>
            <w:r>
              <w:rPr>
                <w:rFonts w:ascii="Arial" w:cs="Arial" w:eastAsia="Arial" w:hAnsi="Arial"/>
                <w:sz w:val="18"/>
                <w:szCs w:val="18"/>
                <w:b w:val="1"/>
                <w:bCs w:val="1"/>
                <w:color w:val="auto"/>
              </w:rPr>
              <w:t>Financial Information</w:t>
            </w:r>
          </w:p>
        </w:tc>
        <w:tc>
          <w:tcPr>
            <w:tcW w:w="480" w:type="dxa"/>
            <w:vAlign w:val="bottom"/>
          </w:tcPr>
          <w:p>
            <w:pPr>
              <w:spacing w:after="0"/>
              <w:rPr>
                <w:sz w:val="20"/>
                <w:szCs w:val="20"/>
                <w:color w:val="auto"/>
              </w:rPr>
            </w:pPr>
          </w:p>
        </w:tc>
      </w:tr>
      <w:tr>
        <w:trPr>
          <w:trHeight w:val="256"/>
        </w:trPr>
        <w:tc>
          <w:tcPr>
            <w:tcW w:w="1240" w:type="dxa"/>
            <w:vAlign w:val="bottom"/>
          </w:tcPr>
          <w:p>
            <w:pPr>
              <w:ind w:left="3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w:t>
              </w:r>
            </w:hyperlink>
          </w:p>
        </w:tc>
        <w:tc>
          <w:tcPr>
            <w:tcW w:w="9480" w:type="dxa"/>
            <w:vAlign w:val="bottom"/>
            <w:gridSpan w:val="18"/>
          </w:tcPr>
          <w:p>
            <w:pPr>
              <w:ind w:left="4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w:t>
              </w:r>
            </w:hyperlink>
          </w:p>
        </w:tc>
        <w:tc>
          <w:tcPr>
            <w:tcW w:w="480" w:type="dxa"/>
            <w:vAlign w:val="bottom"/>
          </w:tcPr>
          <w:p>
            <w:pPr>
              <w:spacing w:after="0"/>
              <w:rPr>
                <w:sz w:val="22"/>
                <w:szCs w:val="22"/>
                <w:color w:val="auto"/>
              </w:rPr>
            </w:pPr>
          </w:p>
        </w:tc>
      </w:tr>
      <w:tr>
        <w:trPr>
          <w:trHeight w:val="190"/>
        </w:trPr>
        <w:tc>
          <w:tcPr>
            <w:tcW w:w="1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720" w:type="dxa"/>
            <w:vAlign w:val="bottom"/>
            <w:gridSpan w:val="17"/>
          </w:tcPr>
          <w:p>
            <w:pPr>
              <w:spacing w:after="0" w:line="190" w:lineRule="exact"/>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Balance Sheets - March </w:t>
              </w:r>
            </w:hyperlink>
            <w:r>
              <w:rPr>
                <w:rFonts w:ascii="Arial" w:cs="Arial" w:eastAsia="Arial" w:hAnsi="Arial"/>
                <w:sz w:val="18"/>
                <w:szCs w:val="18"/>
                <w:color w:val="0000FF"/>
              </w:rPr>
              <w:t>31</w:t>
            </w:r>
            <w:hyperlink w:anchor="page3">
              <w:r>
                <w:rPr>
                  <w:rFonts w:ascii="Arial" w:cs="Arial" w:eastAsia="Arial" w:hAnsi="Arial"/>
                  <w:sz w:val="18"/>
                  <w:szCs w:val="18"/>
                  <w:color w:val="0000FF"/>
                </w:rPr>
                <w:t xml:space="preserve">, </w:t>
              </w:r>
            </w:hyperlink>
            <w:r>
              <w:rPr>
                <w:rFonts w:ascii="Arial" w:cs="Arial" w:eastAsia="Arial" w:hAnsi="Arial"/>
                <w:sz w:val="18"/>
                <w:szCs w:val="18"/>
                <w:u w:val="single" w:color="auto"/>
                <w:color w:val="0000FF"/>
              </w:rPr>
              <w:t>2020</w:t>
            </w:r>
            <w:r>
              <w:rPr>
                <w:rFonts w:ascii="Arial" w:cs="Arial" w:eastAsia="Arial" w:hAnsi="Arial"/>
                <w:sz w:val="18"/>
                <w:szCs w:val="18"/>
                <w:color w:val="0000FF"/>
              </w:rPr>
              <w:t xml:space="preserve"> </w:t>
            </w:r>
            <w:hyperlink w:anchor="page3">
              <w:r>
                <w:rPr>
                  <w:rFonts w:ascii="Arial" w:cs="Arial" w:eastAsia="Arial" w:hAnsi="Arial"/>
                  <w:sz w:val="18"/>
                  <w:szCs w:val="18"/>
                  <w:u w:val="single" w:color="auto"/>
                  <w:color w:val="0000FF"/>
                </w:rPr>
                <w:t>(unaudited) and December 31, 2019</w:t>
              </w:r>
            </w:hyperlink>
          </w:p>
        </w:tc>
        <w:tc>
          <w:tcPr>
            <w:tcW w:w="480" w:type="dxa"/>
            <w:vAlign w:val="bottom"/>
          </w:tcPr>
          <w:p>
            <w:pPr>
              <w:jc w:val="right"/>
              <w:spacing w:after="0" w:line="190" w:lineRule="exact"/>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r>
      <w:tr>
        <w:trPr>
          <w:trHeight w:val="20"/>
        </w:trPr>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0"/>
        </w:trPr>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720" w:type="dxa"/>
            <w:vAlign w:val="bottom"/>
            <w:gridSpan w:val="17"/>
          </w:tcPr>
          <w:p>
            <w:pPr>
              <w:spacing w:after="0"/>
              <w:rPr>
                <w:rFonts w:ascii="Arial" w:cs="Arial" w:eastAsia="Arial" w:hAnsi="Arial"/>
                <w:sz w:val="18"/>
                <w:szCs w:val="18"/>
                <w:color w:val="0000FF"/>
                <w:w w:val="96"/>
              </w:rPr>
            </w:pPr>
            <w:hyperlink w:anchor="page3">
              <w:r>
                <w:rPr>
                  <w:rFonts w:ascii="Arial" w:cs="Arial" w:eastAsia="Arial" w:hAnsi="Arial"/>
                  <w:sz w:val="18"/>
                  <w:szCs w:val="18"/>
                  <w:u w:val="single" w:color="auto"/>
                  <w:color w:val="0000FF"/>
                  <w:w w:val="96"/>
                </w:rPr>
                <w:t>Condensed Consolidated Statements of Operations (unaudited) - Three</w:t>
              </w:r>
              <w:r>
                <w:rPr>
                  <w:rFonts w:ascii="Arial" w:cs="Arial" w:eastAsia="Arial" w:hAnsi="Arial"/>
                  <w:sz w:val="18"/>
                  <w:szCs w:val="18"/>
                  <w:color w:val="0000FF"/>
                  <w:w w:val="96"/>
                </w:rPr>
                <w:t xml:space="preserve"> Months Ended March </w:t>
              </w:r>
            </w:hyperlink>
            <w:r>
              <w:rPr>
                <w:rFonts w:ascii="Arial" w:cs="Arial" w:eastAsia="Arial" w:hAnsi="Arial"/>
                <w:sz w:val="18"/>
                <w:szCs w:val="18"/>
                <w:color w:val="0000FF"/>
                <w:w w:val="96"/>
              </w:rPr>
              <w:t>31</w:t>
            </w:r>
            <w:hyperlink w:anchor="page3">
              <w:r>
                <w:rPr>
                  <w:rFonts w:ascii="Arial" w:cs="Arial" w:eastAsia="Arial" w:hAnsi="Arial"/>
                  <w:sz w:val="18"/>
                  <w:szCs w:val="18"/>
                  <w:color w:val="0000FF"/>
                  <w:w w:val="96"/>
                </w:rPr>
                <w:t xml:space="preserve">, 2020 and </w:t>
              </w:r>
            </w:hyperlink>
            <w:r>
              <w:rPr>
                <w:rFonts w:ascii="Arial" w:cs="Arial" w:eastAsia="Arial" w:hAnsi="Arial"/>
                <w:sz w:val="18"/>
                <w:szCs w:val="18"/>
                <w:color w:val="0000FF"/>
                <w:w w:val="96"/>
              </w:rPr>
              <w:t>2019</w:t>
            </w:r>
          </w:p>
        </w:tc>
        <w:tc>
          <w:tcPr>
            <w:tcW w:w="48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4</w:t>
              </w:r>
            </w:hyperlink>
          </w:p>
        </w:tc>
      </w:tr>
      <w:tr>
        <w:trPr>
          <w:trHeight w:val="20"/>
        </w:trPr>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9"/>
        </w:trPr>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720" w:type="dxa"/>
            <w:vAlign w:val="bottom"/>
            <w:gridSpan w:val="17"/>
          </w:tcPr>
          <w:p>
            <w:pPr>
              <w:spacing w:after="0"/>
              <w:rPr>
                <w:rFonts w:ascii="Arial" w:cs="Arial" w:eastAsia="Arial" w:hAnsi="Arial"/>
                <w:sz w:val="18"/>
                <w:szCs w:val="18"/>
                <w:color w:val="0000FF"/>
                <w:w w:val="93"/>
              </w:rPr>
            </w:pPr>
            <w:hyperlink w:anchor="page4">
              <w:r>
                <w:rPr>
                  <w:rFonts w:ascii="Arial" w:cs="Arial" w:eastAsia="Arial" w:hAnsi="Arial"/>
                  <w:sz w:val="18"/>
                  <w:szCs w:val="18"/>
                  <w:u w:val="single" w:color="auto"/>
                  <w:color w:val="0000FF"/>
                  <w:w w:val="93"/>
                </w:rPr>
                <w:t>Condensed Consolidated Statements of Comprehensive Income (Loss) (unaudited) - Three</w:t>
              </w:r>
              <w:r>
                <w:rPr>
                  <w:rFonts w:ascii="Arial" w:cs="Arial" w:eastAsia="Arial" w:hAnsi="Arial"/>
                  <w:sz w:val="18"/>
                  <w:szCs w:val="18"/>
                  <w:color w:val="0000FF"/>
                  <w:w w:val="93"/>
                </w:rPr>
                <w:t xml:space="preserve"> Months Ended March 31,</w:t>
              </w:r>
            </w:hyperlink>
          </w:p>
        </w:tc>
        <w:tc>
          <w:tcPr>
            <w:tcW w:w="480" w:type="dxa"/>
            <w:vAlign w:val="bottom"/>
          </w:tcPr>
          <w:p>
            <w:pPr>
              <w:spacing w:after="0"/>
              <w:rPr>
                <w:sz w:val="18"/>
                <w:szCs w:val="18"/>
                <w:color w:val="auto"/>
              </w:rPr>
            </w:pPr>
          </w:p>
        </w:tc>
      </w:tr>
      <w:tr>
        <w:trPr>
          <w:trHeight w:val="156"/>
        </w:trPr>
        <w:tc>
          <w:tcPr>
            <w:tcW w:w="1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Borders>
              <w:bottom w:val="single" w:sz="8" w:color="0000FF"/>
            </w:tcBorders>
            <w:gridSpan w:val="2"/>
          </w:tcPr>
          <w:p>
            <w:pPr>
              <w:spacing w:after="0" w:line="156" w:lineRule="exact"/>
              <w:rPr>
                <w:rFonts w:ascii="Arial" w:cs="Arial" w:eastAsia="Arial" w:hAnsi="Arial"/>
                <w:sz w:val="18"/>
                <w:szCs w:val="18"/>
                <w:color w:val="0000FF"/>
                <w:w w:val="86"/>
              </w:rPr>
            </w:pPr>
            <w:hyperlink w:anchor="page4">
              <w:r>
                <w:rPr>
                  <w:rFonts w:ascii="Arial" w:cs="Arial" w:eastAsia="Arial" w:hAnsi="Arial"/>
                  <w:sz w:val="18"/>
                  <w:szCs w:val="18"/>
                  <w:color w:val="0000FF"/>
                  <w:w w:val="86"/>
                </w:rPr>
                <w:t>2020 and 2019</w:t>
              </w:r>
            </w:hyperlink>
          </w:p>
        </w:tc>
        <w:tc>
          <w:tcPr>
            <w:tcW w:w="5500" w:type="dxa"/>
            <w:vAlign w:val="bottom"/>
            <w:gridSpan w:val="5"/>
          </w:tcPr>
          <w:p>
            <w:pPr>
              <w:spacing w:after="0"/>
              <w:rPr>
                <w:sz w:val="13"/>
                <w:szCs w:val="13"/>
                <w:color w:val="auto"/>
              </w:rPr>
            </w:pPr>
          </w:p>
        </w:tc>
        <w:tc>
          <w:tcPr>
            <w:tcW w:w="420" w:type="dxa"/>
            <w:vAlign w:val="bottom"/>
            <w:tcBorders>
              <w:top w:val="single" w:sz="8" w:color="0000FF"/>
            </w:tcBorders>
            <w:gridSpan w:val="2"/>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gridSpan w:val="2"/>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jc w:val="right"/>
              <w:spacing w:after="0" w:line="156" w:lineRule="exact"/>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r>
      <w:tr>
        <w:trPr>
          <w:trHeight w:val="209"/>
        </w:trPr>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720" w:type="dxa"/>
            <w:vAlign w:val="bottom"/>
            <w:gridSpan w:val="17"/>
          </w:tcPr>
          <w:p>
            <w:pPr>
              <w:spacing w:after="0"/>
              <w:rPr>
                <w:rFonts w:ascii="Arial" w:cs="Arial" w:eastAsia="Arial" w:hAnsi="Arial"/>
                <w:sz w:val="18"/>
                <w:szCs w:val="18"/>
                <w:color w:val="0000FF"/>
                <w:w w:val="93"/>
              </w:rPr>
            </w:pPr>
            <w:hyperlink w:anchor="page5">
              <w:r>
                <w:rPr>
                  <w:rFonts w:ascii="Arial" w:cs="Arial" w:eastAsia="Arial" w:hAnsi="Arial"/>
                  <w:sz w:val="18"/>
                  <w:szCs w:val="18"/>
                  <w:u w:val="single" w:color="auto"/>
                  <w:color w:val="0000FF"/>
                  <w:w w:val="93"/>
                </w:rPr>
                <w:t>Condensed Consolidated Statements of Stockholders’ Equity (unaudited) - Three</w:t>
              </w:r>
              <w:r>
                <w:rPr>
                  <w:rFonts w:ascii="Arial" w:cs="Arial" w:eastAsia="Arial" w:hAnsi="Arial"/>
                  <w:sz w:val="18"/>
                  <w:szCs w:val="18"/>
                  <w:color w:val="0000FF"/>
                  <w:w w:val="93"/>
                </w:rPr>
                <w:t xml:space="preserve"> Months Ended March 31, 2020 and</w:t>
              </w:r>
            </w:hyperlink>
          </w:p>
        </w:tc>
        <w:tc>
          <w:tcPr>
            <w:tcW w:w="480" w:type="dxa"/>
            <w:vAlign w:val="bottom"/>
          </w:tcPr>
          <w:p>
            <w:pPr>
              <w:spacing w:after="0"/>
              <w:rPr>
                <w:sz w:val="18"/>
                <w:szCs w:val="18"/>
                <w:color w:val="auto"/>
              </w:rPr>
            </w:pPr>
          </w:p>
        </w:tc>
      </w:tr>
      <w:tr>
        <w:trPr>
          <w:trHeight w:val="155"/>
        </w:trPr>
        <w:tc>
          <w:tcPr>
            <w:tcW w:w="1240" w:type="dxa"/>
            <w:vAlign w:val="bottom"/>
          </w:tcPr>
          <w:p>
            <w:pPr>
              <w:spacing w:after="0"/>
              <w:rPr>
                <w:sz w:val="13"/>
                <w:szCs w:val="13"/>
                <w:color w:val="auto"/>
              </w:rPr>
            </w:pPr>
          </w:p>
        </w:tc>
        <w:tc>
          <w:tcPr>
            <w:tcW w:w="1820" w:type="dxa"/>
            <w:vAlign w:val="bottom"/>
            <w:gridSpan w:val="3"/>
          </w:tcPr>
          <w:p>
            <w:pPr>
              <w:ind w:left="760"/>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2019</w:t>
              </w:r>
            </w:hyperlink>
          </w:p>
        </w:tc>
        <w:tc>
          <w:tcPr>
            <w:tcW w:w="2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jc w:val="right"/>
              <w:spacing w:after="0" w:line="156" w:lineRule="exact"/>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tc>
      </w:tr>
      <w:tr>
        <w:trPr>
          <w:trHeight w:val="20"/>
        </w:trPr>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0"/>
        </w:trPr>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720" w:type="dxa"/>
            <w:vAlign w:val="bottom"/>
            <w:gridSpan w:val="17"/>
          </w:tcPr>
          <w:p>
            <w:pPr>
              <w:spacing w:after="0"/>
              <w:rPr>
                <w:rFonts w:ascii="Arial" w:cs="Arial" w:eastAsia="Arial" w:hAnsi="Arial"/>
                <w:sz w:val="18"/>
                <w:szCs w:val="18"/>
                <w:color w:val="0000FF"/>
                <w:w w:val="95"/>
              </w:rPr>
            </w:pPr>
            <w:hyperlink w:anchor="page6">
              <w:r>
                <w:rPr>
                  <w:rFonts w:ascii="Arial" w:cs="Arial" w:eastAsia="Arial" w:hAnsi="Arial"/>
                  <w:sz w:val="18"/>
                  <w:szCs w:val="18"/>
                  <w:u w:val="single" w:color="auto"/>
                  <w:color w:val="0000FF"/>
                  <w:w w:val="95"/>
                </w:rPr>
                <w:t>Condensed Consolidated Statements of Cash Flows (unaudited) -</w:t>
              </w:r>
              <w:r>
                <w:rPr>
                  <w:rFonts w:ascii="Arial" w:cs="Arial" w:eastAsia="Arial" w:hAnsi="Arial"/>
                  <w:sz w:val="18"/>
                  <w:szCs w:val="18"/>
                  <w:color w:val="0000FF"/>
                  <w:w w:val="95"/>
                </w:rPr>
                <w:t xml:space="preserve"> Three Months Ended March </w:t>
              </w:r>
            </w:hyperlink>
            <w:r>
              <w:rPr>
                <w:rFonts w:ascii="Arial" w:cs="Arial" w:eastAsia="Arial" w:hAnsi="Arial"/>
                <w:sz w:val="18"/>
                <w:szCs w:val="18"/>
                <w:color w:val="0000FF"/>
                <w:w w:val="95"/>
              </w:rPr>
              <w:t>31</w:t>
            </w:r>
            <w:hyperlink w:anchor="page6">
              <w:r>
                <w:rPr>
                  <w:rFonts w:ascii="Arial" w:cs="Arial" w:eastAsia="Arial" w:hAnsi="Arial"/>
                  <w:sz w:val="18"/>
                  <w:szCs w:val="18"/>
                  <w:color w:val="0000FF"/>
                  <w:w w:val="95"/>
                </w:rPr>
                <w:t xml:space="preserve">, 2020 and </w:t>
              </w:r>
            </w:hyperlink>
            <w:r>
              <w:rPr>
                <w:rFonts w:ascii="Arial" w:cs="Arial" w:eastAsia="Arial" w:hAnsi="Arial"/>
                <w:sz w:val="18"/>
                <w:szCs w:val="18"/>
                <w:color w:val="0000FF"/>
                <w:w w:val="95"/>
              </w:rPr>
              <w:t>2019</w:t>
            </w:r>
          </w:p>
        </w:tc>
        <w:tc>
          <w:tcPr>
            <w:tcW w:w="48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r>
      <w:tr>
        <w:trPr>
          <w:trHeight w:val="20"/>
        </w:trPr>
        <w:tc>
          <w:tcPr>
            <w:tcW w:w="1240" w:type="dxa"/>
            <w:vAlign w:val="bottom"/>
          </w:tcPr>
          <w:p>
            <w:pPr>
              <w:spacing w:after="0" w:line="20" w:lineRule="exact"/>
              <w:rPr>
                <w:sz w:val="1"/>
                <w:szCs w:val="1"/>
                <w:color w:val="auto"/>
              </w:rPr>
            </w:pPr>
          </w:p>
        </w:tc>
        <w:tc>
          <w:tcPr>
            <w:tcW w:w="5480" w:type="dxa"/>
            <w:vAlign w:val="bottom"/>
            <w:gridSpan w:val="5"/>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49"/>
        </w:trPr>
        <w:tc>
          <w:tcPr>
            <w:tcW w:w="1240" w:type="dxa"/>
            <w:vAlign w:val="bottom"/>
          </w:tcPr>
          <w:p>
            <w:pPr>
              <w:spacing w:after="0"/>
              <w:rPr>
                <w:sz w:val="21"/>
                <w:szCs w:val="21"/>
                <w:color w:val="auto"/>
              </w:rPr>
            </w:pPr>
          </w:p>
        </w:tc>
        <w:tc>
          <w:tcPr>
            <w:tcW w:w="9480" w:type="dxa"/>
            <w:vAlign w:val="bottom"/>
            <w:gridSpan w:val="18"/>
          </w:tcPr>
          <w:p>
            <w:pPr>
              <w:ind w:left="74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Condensed Consolidated Financial Statements (unaudited)</w:t>
              </w:r>
            </w:hyperlink>
          </w:p>
        </w:tc>
        <w:tc>
          <w:tcPr>
            <w:tcW w:w="48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8</w:t>
              </w:r>
            </w:hyperlink>
          </w:p>
        </w:tc>
      </w:tr>
      <w:tr>
        <w:trPr>
          <w:trHeight w:val="229"/>
        </w:trPr>
        <w:tc>
          <w:tcPr>
            <w:tcW w:w="1240" w:type="dxa"/>
            <w:vAlign w:val="bottom"/>
          </w:tcPr>
          <w:p>
            <w:pPr>
              <w:ind w:left="34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Item 2.</w:t>
              </w:r>
            </w:hyperlink>
          </w:p>
        </w:tc>
        <w:tc>
          <w:tcPr>
            <w:tcW w:w="9480" w:type="dxa"/>
            <w:vAlign w:val="bottom"/>
            <w:gridSpan w:val="18"/>
          </w:tcPr>
          <w:p>
            <w:pPr>
              <w:ind w:left="42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Management's Discussion and Analysis of Financial Condition and Results of Operations</w:t>
              </w:r>
            </w:hyperlink>
          </w:p>
        </w:tc>
        <w:tc>
          <w:tcPr>
            <w:tcW w:w="480" w:type="dxa"/>
            <w:vAlign w:val="bottom"/>
          </w:tcPr>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23</w:t>
              </w:r>
            </w:hyperlink>
          </w:p>
        </w:tc>
      </w:tr>
      <w:tr>
        <w:trPr>
          <w:trHeight w:val="230"/>
        </w:trPr>
        <w:tc>
          <w:tcPr>
            <w:tcW w:w="1240" w:type="dxa"/>
            <w:vAlign w:val="bottom"/>
          </w:tcPr>
          <w:p>
            <w:pPr>
              <w:ind w:left="34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3.</w:t>
              </w:r>
            </w:hyperlink>
          </w:p>
        </w:tc>
        <w:tc>
          <w:tcPr>
            <w:tcW w:w="9480" w:type="dxa"/>
            <w:vAlign w:val="bottom"/>
            <w:gridSpan w:val="18"/>
          </w:tcPr>
          <w:p>
            <w:pPr>
              <w:ind w:left="42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Quantitative and Qualitative Disclosures About Market Risk</w:t>
              </w:r>
            </w:hyperlink>
          </w:p>
        </w:tc>
        <w:tc>
          <w:tcPr>
            <w:tcW w:w="48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38</w:t>
              </w:r>
            </w:hyperlink>
          </w:p>
        </w:tc>
      </w:tr>
      <w:tr>
        <w:trPr>
          <w:trHeight w:val="230"/>
        </w:trPr>
        <w:tc>
          <w:tcPr>
            <w:tcW w:w="1240" w:type="dxa"/>
            <w:vAlign w:val="bottom"/>
          </w:tcPr>
          <w:p>
            <w:pPr>
              <w:ind w:left="34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4.</w:t>
              </w:r>
            </w:hyperlink>
          </w:p>
        </w:tc>
        <w:tc>
          <w:tcPr>
            <w:tcW w:w="9480" w:type="dxa"/>
            <w:vAlign w:val="bottom"/>
            <w:gridSpan w:val="18"/>
          </w:tcPr>
          <w:p>
            <w:pPr>
              <w:ind w:left="42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Controls and Procedures</w:t>
              </w:r>
            </w:hyperlink>
          </w:p>
        </w:tc>
        <w:tc>
          <w:tcPr>
            <w:tcW w:w="48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39</w:t>
              </w:r>
            </w:hyperlink>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7180" w:type="dxa"/>
            <w:vAlign w:val="bottom"/>
          </w:tcPr>
          <w:p>
            <w:pPr>
              <w:ind w:left="300"/>
              <w:spacing w:after="0"/>
              <w:rPr>
                <w:sz w:val="20"/>
                <w:szCs w:val="20"/>
                <w:color w:val="auto"/>
              </w:rPr>
            </w:pPr>
            <w:r>
              <w:rPr>
                <w:rFonts w:ascii="Arial" w:cs="Arial" w:eastAsia="Arial" w:hAnsi="Arial"/>
                <w:sz w:val="18"/>
                <w:szCs w:val="18"/>
                <w:b w:val="1"/>
                <w:bCs w:val="1"/>
                <w:color w:val="auto"/>
              </w:rPr>
              <w:t>Other Information</w:t>
            </w:r>
          </w:p>
        </w:tc>
        <w:tc>
          <w:tcPr>
            <w:tcW w:w="2700" w:type="dxa"/>
            <w:vAlign w:val="bottom"/>
          </w:tcPr>
          <w:p>
            <w:pPr>
              <w:spacing w:after="0"/>
              <w:rPr>
                <w:sz w:val="20"/>
                <w:szCs w:val="20"/>
                <w:color w:val="auto"/>
              </w:rPr>
            </w:pPr>
          </w:p>
        </w:tc>
      </w:tr>
      <w:tr>
        <w:trPr>
          <w:trHeight w:val="256"/>
        </w:trPr>
        <w:tc>
          <w:tcPr>
            <w:tcW w:w="1360" w:type="dxa"/>
            <w:vAlign w:val="bottom"/>
          </w:tcPr>
          <w:p>
            <w:pPr>
              <w:ind w:left="36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1.</w:t>
              </w:r>
            </w:hyperlink>
          </w:p>
        </w:tc>
        <w:tc>
          <w:tcPr>
            <w:tcW w:w="7180" w:type="dxa"/>
            <w:vAlign w:val="bottom"/>
          </w:tcPr>
          <w:p>
            <w:pPr>
              <w:ind w:left="32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Legal Proceedings</w:t>
              </w:r>
            </w:hyperlink>
          </w:p>
        </w:tc>
        <w:tc>
          <w:tcPr>
            <w:tcW w:w="270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40</w:t>
              </w:r>
            </w:hyperlink>
          </w:p>
        </w:tc>
      </w:tr>
      <w:tr>
        <w:trPr>
          <w:trHeight w:val="230"/>
        </w:trPr>
        <w:tc>
          <w:tcPr>
            <w:tcW w:w="1360" w:type="dxa"/>
            <w:vAlign w:val="bottom"/>
          </w:tcPr>
          <w:p>
            <w:pPr>
              <w:ind w:left="36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1A.</w:t>
              </w:r>
            </w:hyperlink>
          </w:p>
        </w:tc>
        <w:tc>
          <w:tcPr>
            <w:tcW w:w="7180" w:type="dxa"/>
            <w:vAlign w:val="bottom"/>
          </w:tcPr>
          <w:p>
            <w:pPr>
              <w:ind w:left="32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Risk Factors</w:t>
              </w:r>
            </w:hyperlink>
          </w:p>
        </w:tc>
        <w:tc>
          <w:tcPr>
            <w:tcW w:w="270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40</w:t>
              </w:r>
            </w:hyperlink>
          </w:p>
        </w:tc>
      </w:tr>
      <w:tr>
        <w:trPr>
          <w:trHeight w:val="229"/>
        </w:trPr>
        <w:tc>
          <w:tcPr>
            <w:tcW w:w="1360" w:type="dxa"/>
            <w:vAlign w:val="bottom"/>
          </w:tcPr>
          <w:p>
            <w:pPr>
              <w:ind w:left="36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Item 2.</w:t>
              </w:r>
            </w:hyperlink>
          </w:p>
        </w:tc>
        <w:tc>
          <w:tcPr>
            <w:tcW w:w="7180" w:type="dxa"/>
            <w:vAlign w:val="bottom"/>
          </w:tcPr>
          <w:p>
            <w:pPr>
              <w:ind w:left="32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Unregistered Sales of Equity Securities and Use of Proceeds</w:t>
              </w:r>
            </w:hyperlink>
          </w:p>
        </w:tc>
        <w:tc>
          <w:tcPr>
            <w:tcW w:w="270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41</w:t>
              </w:r>
            </w:hyperlink>
          </w:p>
        </w:tc>
      </w:tr>
      <w:tr>
        <w:trPr>
          <w:trHeight w:val="229"/>
        </w:trPr>
        <w:tc>
          <w:tcPr>
            <w:tcW w:w="1360" w:type="dxa"/>
            <w:vAlign w:val="bottom"/>
          </w:tcPr>
          <w:p>
            <w:pPr>
              <w:ind w:left="36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Item 5.</w:t>
              </w:r>
            </w:hyperlink>
          </w:p>
        </w:tc>
        <w:tc>
          <w:tcPr>
            <w:tcW w:w="7180" w:type="dxa"/>
            <w:vAlign w:val="bottom"/>
          </w:tcPr>
          <w:p>
            <w:pPr>
              <w:ind w:left="32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Other Information</w:t>
              </w:r>
            </w:hyperlink>
          </w:p>
        </w:tc>
        <w:tc>
          <w:tcPr>
            <w:tcW w:w="270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41</w:t>
              </w:r>
            </w:hyperlink>
          </w:p>
        </w:tc>
      </w:tr>
      <w:tr>
        <w:trPr>
          <w:trHeight w:val="230"/>
        </w:trPr>
        <w:tc>
          <w:tcPr>
            <w:tcW w:w="1360" w:type="dxa"/>
            <w:vAlign w:val="bottom"/>
          </w:tcPr>
          <w:p>
            <w:pPr>
              <w:ind w:left="36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Item 6.</w:t>
              </w:r>
            </w:hyperlink>
          </w:p>
        </w:tc>
        <w:tc>
          <w:tcPr>
            <w:tcW w:w="7180" w:type="dxa"/>
            <w:vAlign w:val="bottom"/>
          </w:tcPr>
          <w:p>
            <w:pPr>
              <w:ind w:left="32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Exhibits</w:t>
              </w:r>
            </w:hyperlink>
          </w:p>
        </w:tc>
        <w:tc>
          <w:tcPr>
            <w:tcW w:w="270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42</w:t>
              </w:r>
            </w:hyperlink>
          </w:p>
        </w:tc>
      </w:tr>
      <w:tr>
        <w:trPr>
          <w:trHeight w:val="230"/>
        </w:trPr>
        <w:tc>
          <w:tcPr>
            <w:tcW w:w="1360" w:type="dxa"/>
            <w:vAlign w:val="bottom"/>
          </w:tcPr>
          <w:p>
            <w:pPr>
              <w:ind w:left="36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Signature</w:t>
              </w:r>
            </w:hyperlink>
          </w:p>
        </w:tc>
        <w:tc>
          <w:tcPr>
            <w:tcW w:w="7180" w:type="dxa"/>
            <w:vAlign w:val="bottom"/>
          </w:tcPr>
          <w:p>
            <w:pPr>
              <w:spacing w:after="0"/>
              <w:rPr>
                <w:sz w:val="20"/>
                <w:szCs w:val="20"/>
                <w:color w:val="auto"/>
              </w:rPr>
            </w:pPr>
          </w:p>
        </w:tc>
        <w:tc>
          <w:tcPr>
            <w:tcW w:w="2700" w:type="dxa"/>
            <w:vAlign w:val="bottom"/>
          </w:tcPr>
          <w:p>
            <w:pPr>
              <w:jc w:val="right"/>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43</w:t>
              </w:r>
            </w:hyperlink>
          </w:p>
        </w:tc>
      </w:tr>
      <w:tr>
        <w:trPr>
          <w:trHeight w:val="1161"/>
        </w:trPr>
        <w:tc>
          <w:tcPr>
            <w:tcW w:w="1360" w:type="dxa"/>
            <w:vAlign w:val="bottom"/>
          </w:tcPr>
          <w:p>
            <w:pPr>
              <w:spacing w:after="0"/>
              <w:rPr>
                <w:sz w:val="24"/>
                <w:szCs w:val="24"/>
                <w:color w:val="auto"/>
              </w:rPr>
            </w:pPr>
          </w:p>
        </w:tc>
        <w:tc>
          <w:tcPr>
            <w:tcW w:w="7180" w:type="dxa"/>
            <w:vAlign w:val="bottom"/>
          </w:tcPr>
          <w:p>
            <w:pPr>
              <w:ind w:left="4220"/>
              <w:spacing w:after="0"/>
              <w:rPr>
                <w:sz w:val="20"/>
                <w:szCs w:val="20"/>
                <w:color w:val="auto"/>
              </w:rPr>
            </w:pPr>
            <w:r>
              <w:rPr>
                <w:rFonts w:ascii="Arial" w:cs="Arial" w:eastAsia="Arial" w:hAnsi="Arial"/>
                <w:sz w:val="18"/>
                <w:szCs w:val="18"/>
                <w:color w:val="auto"/>
              </w:rPr>
              <w:t>2</w:t>
            </w:r>
          </w:p>
        </w:tc>
        <w:tc>
          <w:tcPr>
            <w:tcW w:w="2700" w:type="dxa"/>
            <w:vAlign w:val="bottom"/>
          </w:tcPr>
          <w:p>
            <w:pPr>
              <w:spacing w:after="0"/>
              <w:rPr>
                <w:sz w:val="24"/>
                <w:szCs w:val="24"/>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718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1240" w:type="dxa"/>
            <w:vAlign w:val="bottom"/>
          </w:tcPr>
          <w:p>
            <w:pPr>
              <w:jc w:val="right"/>
              <w:ind w:right="22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2"/>
        </w:trPr>
        <w:tc>
          <w:tcPr>
            <w:tcW w:w="8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8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2,880,971</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2,351,904</w:t>
            </w:r>
          </w:p>
        </w:tc>
        <w:tc>
          <w:tcPr>
            <w:tcW w:w="0" w:type="dxa"/>
            <w:vAlign w:val="bottom"/>
          </w:tcPr>
          <w:p>
            <w:pPr>
              <w:spacing w:after="0"/>
              <w:rPr>
                <w:sz w:val="1"/>
                <w:szCs w:val="1"/>
                <w:color w:val="auto"/>
              </w:rPr>
            </w:pPr>
          </w:p>
        </w:tc>
      </w:tr>
      <w:tr>
        <w:trPr>
          <w:trHeight w:val="22"/>
        </w:trPr>
        <w:tc>
          <w:tcPr>
            <w:tcW w:w="8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Accounts receivable, net of allowance for credit losses of $59,971 and $39,317</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380,771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346,429</w:t>
            </w: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8"/>
                <w:szCs w:val="18"/>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86,182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88,519</w:t>
            </w:r>
          </w:p>
        </w:tc>
        <w:tc>
          <w:tcPr>
            <w:tcW w:w="0" w:type="dxa"/>
            <w:vAlign w:val="bottom"/>
          </w:tcPr>
          <w:p>
            <w:pPr>
              <w:spacing w:after="0"/>
              <w:rPr>
                <w:sz w:val="1"/>
                <w:szCs w:val="1"/>
                <w:color w:val="auto"/>
              </w:rPr>
            </w:pPr>
          </w:p>
        </w:tc>
      </w:tr>
      <w:tr>
        <w:trPr>
          <w:trHeight w:val="22"/>
        </w:trPr>
        <w:tc>
          <w:tcPr>
            <w:tcW w:w="8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Prepaid expenses and other</w:t>
            </w: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67,440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69,485</w:t>
            </w:r>
          </w:p>
        </w:tc>
        <w:tc>
          <w:tcPr>
            <w:tcW w:w="0" w:type="dxa"/>
            <w:vAlign w:val="bottom"/>
          </w:tcPr>
          <w:p>
            <w:pPr>
              <w:spacing w:after="0"/>
              <w:rPr>
                <w:sz w:val="1"/>
                <w:szCs w:val="1"/>
                <w:color w:val="auto"/>
              </w:rPr>
            </w:pPr>
          </w:p>
        </w:tc>
      </w:tr>
      <w:tr>
        <w:trPr>
          <w:trHeight w:val="201"/>
        </w:trPr>
        <w:tc>
          <w:tcPr>
            <w:tcW w:w="8260" w:type="dxa"/>
            <w:vAlign w:val="bottom"/>
          </w:tcPr>
          <w:p>
            <w:pPr>
              <w:ind w:left="66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3,415,364</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2,856,337</w:t>
            </w:r>
          </w:p>
        </w:tc>
        <w:tc>
          <w:tcPr>
            <w:tcW w:w="0" w:type="dxa"/>
            <w:vAlign w:val="bottom"/>
          </w:tcPr>
          <w:p>
            <w:pPr>
              <w:spacing w:after="0"/>
              <w:rPr>
                <w:sz w:val="1"/>
                <w:szCs w:val="1"/>
                <w:color w:val="auto"/>
              </w:rPr>
            </w:pPr>
          </w:p>
        </w:tc>
      </w:tr>
      <w:tr>
        <w:trPr>
          <w:trHeight w:val="22"/>
        </w:trPr>
        <w:tc>
          <w:tcPr>
            <w:tcW w:w="8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9,539,407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9,623,832</w:t>
            </w:r>
          </w:p>
        </w:tc>
        <w:tc>
          <w:tcPr>
            <w:tcW w:w="0" w:type="dxa"/>
            <w:vAlign w:val="bottom"/>
          </w:tcPr>
          <w:p>
            <w:pPr>
              <w:spacing w:after="0"/>
              <w:rPr>
                <w:sz w:val="1"/>
                <w:szCs w:val="1"/>
                <w:color w:val="auto"/>
              </w:rPr>
            </w:pP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18"/>
                <w:szCs w:val="18"/>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4,930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6,388</w:t>
            </w:r>
          </w:p>
        </w:tc>
        <w:tc>
          <w:tcPr>
            <w:tcW w:w="0" w:type="dxa"/>
            <w:vAlign w:val="bottom"/>
          </w:tcPr>
          <w:p>
            <w:pPr>
              <w:spacing w:after="0"/>
              <w:rPr>
                <w:sz w:val="1"/>
                <w:szCs w:val="1"/>
                <w:color w:val="auto"/>
              </w:rPr>
            </w:pPr>
          </w:p>
        </w:tc>
      </w:tr>
      <w:tr>
        <w:trPr>
          <w:trHeight w:val="22"/>
        </w:trPr>
        <w:tc>
          <w:tcPr>
            <w:tcW w:w="8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143,857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146,414</w:t>
            </w:r>
          </w:p>
        </w:tc>
        <w:tc>
          <w:tcPr>
            <w:tcW w:w="0" w:type="dxa"/>
            <w:vAlign w:val="bottom"/>
          </w:tcPr>
          <w:p>
            <w:pPr>
              <w:spacing w:after="0"/>
              <w:rPr>
                <w:sz w:val="1"/>
                <w:szCs w:val="1"/>
                <w:color w:val="auto"/>
              </w:rPr>
            </w:pP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240" w:type="dxa"/>
            <w:vAlign w:val="bottom"/>
          </w:tcPr>
          <w:p>
            <w:pPr>
              <w:spacing w:after="0"/>
              <w:rPr>
                <w:sz w:val="18"/>
                <w:szCs w:val="18"/>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446,564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452,919</w:t>
            </w:r>
          </w:p>
        </w:tc>
        <w:tc>
          <w:tcPr>
            <w:tcW w:w="0" w:type="dxa"/>
            <w:vAlign w:val="bottom"/>
          </w:tcPr>
          <w:p>
            <w:pPr>
              <w:spacing w:after="0"/>
              <w:rPr>
                <w:sz w:val="1"/>
                <w:szCs w:val="1"/>
                <w:color w:val="auto"/>
              </w:rPr>
            </w:pPr>
          </w:p>
        </w:tc>
      </w:tr>
      <w:tr>
        <w:trPr>
          <w:trHeight w:val="22"/>
        </w:trPr>
        <w:tc>
          <w:tcPr>
            <w:tcW w:w="8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 net</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487,402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562,262</w:t>
            </w:r>
          </w:p>
        </w:tc>
        <w:tc>
          <w:tcPr>
            <w:tcW w:w="0" w:type="dxa"/>
            <w:vAlign w:val="bottom"/>
          </w:tcPr>
          <w:p>
            <w:pPr>
              <w:spacing w:after="0"/>
              <w:rPr>
                <w:sz w:val="1"/>
                <w:szCs w:val="1"/>
                <w:color w:val="auto"/>
              </w:rPr>
            </w:pP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8"/>
                <w:szCs w:val="18"/>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235,823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223,129</w:t>
            </w:r>
          </w:p>
        </w:tc>
        <w:tc>
          <w:tcPr>
            <w:tcW w:w="0" w:type="dxa"/>
            <w:vAlign w:val="bottom"/>
          </w:tcPr>
          <w:p>
            <w:pPr>
              <w:spacing w:after="0"/>
              <w:rPr>
                <w:sz w:val="1"/>
                <w:szCs w:val="1"/>
                <w:color w:val="auto"/>
              </w:rPr>
            </w:pPr>
          </w:p>
        </w:tc>
      </w:tr>
      <w:tr>
        <w:trPr>
          <w:trHeight w:val="22"/>
        </w:trPr>
        <w:tc>
          <w:tcPr>
            <w:tcW w:w="8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14,273,347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13,871,281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2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8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Accounts and construction payables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194,226</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262,437</w:t>
            </w:r>
          </w:p>
        </w:tc>
        <w:tc>
          <w:tcPr>
            <w:tcW w:w="0" w:type="dxa"/>
            <w:vAlign w:val="bottom"/>
          </w:tcPr>
          <w:p>
            <w:pPr>
              <w:spacing w:after="0"/>
              <w:rPr>
                <w:sz w:val="1"/>
                <w:szCs w:val="1"/>
                <w:color w:val="auto"/>
              </w:rPr>
            </w:pPr>
          </w:p>
        </w:tc>
      </w:tr>
      <w:tr>
        <w:trPr>
          <w:trHeight w:val="22"/>
        </w:trPr>
        <w:tc>
          <w:tcPr>
            <w:tcW w:w="8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Customer deposits</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913,395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824,269</w:t>
            </w: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Gaming taxes payable</w:t>
            </w:r>
          </w:p>
        </w:tc>
        <w:tc>
          <w:tcPr>
            <w:tcW w:w="240" w:type="dxa"/>
            <w:vAlign w:val="bottom"/>
          </w:tcPr>
          <w:p>
            <w:pPr>
              <w:spacing w:after="0"/>
              <w:rPr>
                <w:sz w:val="18"/>
                <w:szCs w:val="18"/>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48,348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168,043</w:t>
            </w:r>
          </w:p>
        </w:tc>
        <w:tc>
          <w:tcPr>
            <w:tcW w:w="0" w:type="dxa"/>
            <w:vAlign w:val="bottom"/>
          </w:tcPr>
          <w:p>
            <w:pPr>
              <w:spacing w:after="0"/>
              <w:rPr>
                <w:sz w:val="1"/>
                <w:szCs w:val="1"/>
                <w:color w:val="auto"/>
              </w:rPr>
            </w:pPr>
          </w:p>
        </w:tc>
      </w:tr>
      <w:tr>
        <w:trPr>
          <w:trHeight w:val="22"/>
        </w:trPr>
        <w:tc>
          <w:tcPr>
            <w:tcW w:w="8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Accrued compensation and benefits</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249,092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180,140</w:t>
            </w: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Accrued interest</w:t>
            </w:r>
          </w:p>
        </w:tc>
        <w:tc>
          <w:tcPr>
            <w:tcW w:w="240" w:type="dxa"/>
            <w:vAlign w:val="bottom"/>
          </w:tcPr>
          <w:p>
            <w:pPr>
              <w:spacing w:after="0"/>
              <w:rPr>
                <w:sz w:val="18"/>
                <w:szCs w:val="18"/>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106,344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73,136</w:t>
            </w:r>
          </w:p>
        </w:tc>
        <w:tc>
          <w:tcPr>
            <w:tcW w:w="0" w:type="dxa"/>
            <w:vAlign w:val="bottom"/>
          </w:tcPr>
          <w:p>
            <w:pPr>
              <w:spacing w:after="0"/>
              <w:rPr>
                <w:sz w:val="1"/>
                <w:szCs w:val="1"/>
                <w:color w:val="auto"/>
              </w:rPr>
            </w:pPr>
          </w:p>
        </w:tc>
      </w:tr>
      <w:tr>
        <w:trPr>
          <w:trHeight w:val="22"/>
        </w:trPr>
        <w:tc>
          <w:tcPr>
            <w:tcW w:w="8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235,997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323,876</w:t>
            </w: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Other accrued liabilities</w:t>
            </w:r>
          </w:p>
        </w:tc>
        <w:tc>
          <w:tcPr>
            <w:tcW w:w="240" w:type="dxa"/>
            <w:vAlign w:val="bottom"/>
          </w:tcPr>
          <w:p>
            <w:pPr>
              <w:spacing w:after="0"/>
              <w:rPr>
                <w:sz w:val="18"/>
                <w:szCs w:val="18"/>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137,435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150,983</w:t>
            </w:r>
          </w:p>
        </w:tc>
        <w:tc>
          <w:tcPr>
            <w:tcW w:w="0" w:type="dxa"/>
            <w:vAlign w:val="bottom"/>
          </w:tcPr>
          <w:p>
            <w:pPr>
              <w:spacing w:after="0"/>
              <w:rPr>
                <w:sz w:val="1"/>
                <w:szCs w:val="1"/>
                <w:color w:val="auto"/>
              </w:rPr>
            </w:pPr>
          </w:p>
        </w:tc>
      </w:tr>
      <w:tr>
        <w:trPr>
          <w:trHeight w:val="22"/>
        </w:trPr>
        <w:tc>
          <w:tcPr>
            <w:tcW w:w="8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2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b w:val="1"/>
                <w:bCs w:val="1"/>
                <w:color w:val="auto"/>
              </w:rPr>
              <w:t>Total current liabilities</w:t>
            </w: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1,884,837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1,982,884</w:t>
            </w:r>
          </w:p>
        </w:tc>
        <w:tc>
          <w:tcPr>
            <w:tcW w:w="0" w:type="dxa"/>
            <w:vAlign w:val="bottom"/>
          </w:tcPr>
          <w:p>
            <w:pPr>
              <w:spacing w:after="0"/>
              <w:rPr>
                <w:sz w:val="1"/>
                <w:szCs w:val="1"/>
                <w:color w:val="auto"/>
              </w:rPr>
            </w:pP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18"/>
                <w:szCs w:val="18"/>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11,133,048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10,079,983</w:t>
            </w:r>
          </w:p>
        </w:tc>
        <w:tc>
          <w:tcPr>
            <w:tcW w:w="0" w:type="dxa"/>
            <w:vAlign w:val="bottom"/>
          </w:tcPr>
          <w:p>
            <w:pPr>
              <w:spacing w:after="0"/>
              <w:rPr>
                <w:sz w:val="1"/>
                <w:szCs w:val="1"/>
                <w:color w:val="auto"/>
              </w:rPr>
            </w:pPr>
          </w:p>
        </w:tc>
      </w:tr>
      <w:tr>
        <w:trPr>
          <w:trHeight w:val="22"/>
        </w:trPr>
        <w:tc>
          <w:tcPr>
            <w:tcW w:w="8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156,120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159,182</w:t>
            </w:r>
          </w:p>
        </w:tc>
        <w:tc>
          <w:tcPr>
            <w:tcW w:w="0" w:type="dxa"/>
            <w:vAlign w:val="bottom"/>
          </w:tcPr>
          <w:p>
            <w:pPr>
              <w:spacing w:after="0"/>
              <w:rPr>
                <w:sz w:val="1"/>
                <w:szCs w:val="1"/>
                <w:color w:val="auto"/>
              </w:rPr>
            </w:pP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240" w:type="dxa"/>
            <w:vAlign w:val="bottom"/>
          </w:tcPr>
          <w:p>
            <w:pPr>
              <w:spacing w:after="0"/>
              <w:rPr>
                <w:sz w:val="18"/>
                <w:szCs w:val="18"/>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106,862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107,760</w:t>
            </w:r>
          </w:p>
        </w:tc>
        <w:tc>
          <w:tcPr>
            <w:tcW w:w="0" w:type="dxa"/>
            <w:vAlign w:val="bottom"/>
          </w:tcPr>
          <w:p>
            <w:pPr>
              <w:spacing w:after="0"/>
              <w:rPr>
                <w:sz w:val="1"/>
                <w:szCs w:val="1"/>
                <w:color w:val="auto"/>
              </w:rPr>
            </w:pPr>
          </w:p>
        </w:tc>
      </w:tr>
      <w:tr>
        <w:trPr>
          <w:trHeight w:val="22"/>
        </w:trPr>
        <w:tc>
          <w:tcPr>
            <w:tcW w:w="8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13,280,867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12,329,809</w:t>
            </w:r>
          </w:p>
        </w:tc>
        <w:tc>
          <w:tcPr>
            <w:tcW w:w="0" w:type="dxa"/>
            <w:vAlign w:val="bottom"/>
          </w:tcPr>
          <w:p>
            <w:pPr>
              <w:spacing w:after="0"/>
              <w:rPr>
                <w:sz w:val="1"/>
                <w:szCs w:val="1"/>
                <w:color w:val="auto"/>
              </w:rPr>
            </w:pPr>
          </w:p>
        </w:tc>
      </w:tr>
      <w:tr>
        <w:trPr>
          <w:trHeight w:val="188"/>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Commitments and contingencies (Note 14)</w:t>
            </w: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360"/>
              <w:spacing w:after="0"/>
              <w:rPr>
                <w:sz w:val="20"/>
                <w:szCs w:val="20"/>
                <w:color w:val="auto"/>
              </w:rPr>
            </w:pPr>
            <w:r>
              <w:rPr>
                <w:rFonts w:ascii="Arial" w:cs="Arial" w:eastAsia="Arial" w:hAnsi="Arial"/>
                <w:sz w:val="16"/>
                <w:szCs w:val="16"/>
                <w:color w:val="auto"/>
              </w:rPr>
              <w:t>Preferred stock, par value $0.01; 40,000,000 shares authorized; zero shares issued and outstanding</w:t>
            </w:r>
          </w:p>
        </w:tc>
        <w:tc>
          <w:tcPr>
            <w:tcW w:w="24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
        </w:trPr>
        <w:tc>
          <w:tcPr>
            <w:tcW w:w="8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260" w:type="dxa"/>
            <w:vAlign w:val="bottom"/>
            <w:shd w:val="clear" w:color="auto" w:fill="CCEEFF"/>
          </w:tcPr>
          <w:p>
            <w:pPr>
              <w:ind w:left="360"/>
              <w:spacing w:after="0" w:line="148" w:lineRule="exact"/>
              <w:rPr>
                <w:sz w:val="20"/>
                <w:szCs w:val="20"/>
                <w:color w:val="auto"/>
              </w:rPr>
            </w:pPr>
            <w:r>
              <w:rPr>
                <w:rFonts w:ascii="Arial" w:cs="Arial" w:eastAsia="Arial" w:hAnsi="Arial"/>
                <w:sz w:val="16"/>
                <w:szCs w:val="16"/>
                <w:color w:val="auto"/>
                <w:w w:val="89"/>
              </w:rPr>
              <w:t>Common stock, par value $0.01; 400,000,000 shares authorized; 123,403,105 and 122,837,930 shares issued; 107,884,163</w:t>
            </w:r>
          </w:p>
        </w:tc>
        <w:tc>
          <w:tcPr>
            <w:tcW w:w="24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1,234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1,228</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and 107,363,943 shares outstanding, respectively</w:t>
            </w:r>
          </w:p>
        </w:tc>
        <w:tc>
          <w:tcPr>
            <w:tcW w:w="24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360"/>
              <w:spacing w:after="0"/>
              <w:rPr>
                <w:sz w:val="20"/>
                <w:szCs w:val="20"/>
                <w:color w:val="auto"/>
              </w:rPr>
            </w:pPr>
            <w:r>
              <w:rPr>
                <w:rFonts w:ascii="Arial" w:cs="Arial" w:eastAsia="Arial" w:hAnsi="Arial"/>
                <w:sz w:val="16"/>
                <w:szCs w:val="16"/>
                <w:color w:val="auto"/>
              </w:rPr>
              <w:t>Treasury stock, at cost; 15,518,942 and 15,473,987 shares, respectively</w:t>
            </w:r>
          </w:p>
        </w:tc>
        <w:tc>
          <w:tcPr>
            <w:tcW w:w="240" w:type="dxa"/>
            <w:vAlign w:val="bottom"/>
          </w:tcPr>
          <w:p>
            <w:pPr>
              <w:spacing w:after="0"/>
              <w:rPr>
                <w:sz w:val="18"/>
                <w:szCs w:val="18"/>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(1,416,525)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(1,410,998)</w:t>
            </w:r>
          </w:p>
        </w:tc>
        <w:tc>
          <w:tcPr>
            <w:tcW w:w="0" w:type="dxa"/>
            <w:vAlign w:val="bottom"/>
          </w:tcPr>
          <w:p>
            <w:pPr>
              <w:spacing w:after="0"/>
              <w:rPr>
                <w:sz w:val="1"/>
                <w:szCs w:val="1"/>
                <w:color w:val="auto"/>
              </w:rPr>
            </w:pPr>
          </w:p>
        </w:tc>
      </w:tr>
      <w:tr>
        <w:trPr>
          <w:trHeight w:val="22"/>
        </w:trPr>
        <w:tc>
          <w:tcPr>
            <w:tcW w:w="8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Additional paid-in capital</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2,526,062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2,512,676</w:t>
            </w: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18"/>
                <w:szCs w:val="18"/>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(947)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(1,679)</w:t>
            </w:r>
          </w:p>
        </w:tc>
        <w:tc>
          <w:tcPr>
            <w:tcW w:w="0" w:type="dxa"/>
            <w:vAlign w:val="bottom"/>
          </w:tcPr>
          <w:p>
            <w:pPr>
              <w:spacing w:after="0"/>
              <w:rPr>
                <w:sz w:val="1"/>
                <w:szCs w:val="1"/>
                <w:color w:val="auto"/>
              </w:rPr>
            </w:pPr>
          </w:p>
        </w:tc>
      </w:tr>
      <w:tr>
        <w:trPr>
          <w:trHeight w:val="22"/>
        </w:trPr>
        <w:tc>
          <w:tcPr>
            <w:tcW w:w="8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Retained earnings</w:t>
            </w: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132,266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641,818</w:t>
            </w:r>
          </w:p>
        </w:tc>
        <w:tc>
          <w:tcPr>
            <w:tcW w:w="0" w:type="dxa"/>
            <w:vAlign w:val="bottom"/>
          </w:tcPr>
          <w:p>
            <w:pPr>
              <w:spacing w:after="0"/>
              <w:rPr>
                <w:sz w:val="1"/>
                <w:szCs w:val="1"/>
                <w:color w:val="auto"/>
              </w:rPr>
            </w:pPr>
          </w:p>
        </w:tc>
      </w:tr>
      <w:tr>
        <w:trPr>
          <w:trHeight w:val="202"/>
        </w:trPr>
        <w:tc>
          <w:tcPr>
            <w:tcW w:w="8260" w:type="dxa"/>
            <w:vAlign w:val="bottom"/>
          </w:tcPr>
          <w:p>
            <w:pPr>
              <w:ind w:left="660"/>
              <w:spacing w:after="0"/>
              <w:rPr>
                <w:sz w:val="20"/>
                <w:szCs w:val="20"/>
                <w:color w:val="auto"/>
              </w:rPr>
            </w:pPr>
            <w:r>
              <w:rPr>
                <w:rFonts w:ascii="Arial" w:cs="Arial" w:eastAsia="Arial" w:hAnsi="Arial"/>
                <w:sz w:val="16"/>
                <w:szCs w:val="16"/>
                <w:b w:val="1"/>
                <w:bCs w:val="1"/>
                <w:color w:val="auto"/>
              </w:rPr>
              <w:t>Total Wynn Resorts, Limited stockholders' equity</w:t>
            </w: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1,242,090</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1,743,045</w:t>
            </w:r>
          </w:p>
        </w:tc>
        <w:tc>
          <w:tcPr>
            <w:tcW w:w="0" w:type="dxa"/>
            <w:vAlign w:val="bottom"/>
          </w:tcPr>
          <w:p>
            <w:pPr>
              <w:spacing w:after="0"/>
              <w:rPr>
                <w:sz w:val="1"/>
                <w:szCs w:val="1"/>
                <w:color w:val="auto"/>
              </w:rPr>
            </w:pPr>
          </w:p>
        </w:tc>
      </w:tr>
      <w:tr>
        <w:trPr>
          <w:trHeight w:val="22"/>
        </w:trPr>
        <w:tc>
          <w:tcPr>
            <w:tcW w:w="8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Noncontrolling interests</w:t>
            </w: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(249,610)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(201,573)</w:t>
            </w:r>
          </w:p>
        </w:tc>
        <w:tc>
          <w:tcPr>
            <w:tcW w:w="0" w:type="dxa"/>
            <w:vAlign w:val="bottom"/>
          </w:tcPr>
          <w:p>
            <w:pPr>
              <w:spacing w:after="0"/>
              <w:rPr>
                <w:sz w:val="1"/>
                <w:szCs w:val="1"/>
                <w:color w:val="auto"/>
              </w:rPr>
            </w:pPr>
          </w:p>
        </w:tc>
      </w:tr>
      <w:tr>
        <w:trPr>
          <w:trHeight w:val="201"/>
        </w:trPr>
        <w:tc>
          <w:tcPr>
            <w:tcW w:w="8260" w:type="dxa"/>
            <w:vAlign w:val="bottom"/>
          </w:tcPr>
          <w:p>
            <w:pPr>
              <w:ind w:left="660"/>
              <w:spacing w:after="0"/>
              <w:rPr>
                <w:sz w:val="20"/>
                <w:szCs w:val="20"/>
                <w:color w:val="auto"/>
              </w:rPr>
            </w:pPr>
            <w:r>
              <w:rPr>
                <w:rFonts w:ascii="Arial" w:cs="Arial" w:eastAsia="Arial" w:hAnsi="Arial"/>
                <w:sz w:val="16"/>
                <w:szCs w:val="16"/>
                <w:b w:val="1"/>
                <w:bCs w:val="1"/>
                <w:color w:val="auto"/>
              </w:rPr>
              <w:t>Total stockholders' equity</w:t>
            </w: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992,480</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1,541,472</w:t>
            </w:r>
          </w:p>
        </w:tc>
        <w:tc>
          <w:tcPr>
            <w:tcW w:w="0" w:type="dxa"/>
            <w:vAlign w:val="bottom"/>
          </w:tcPr>
          <w:p>
            <w:pPr>
              <w:spacing w:after="0"/>
              <w:rPr>
                <w:sz w:val="1"/>
                <w:szCs w:val="1"/>
                <w:color w:val="auto"/>
              </w:rPr>
            </w:pPr>
          </w:p>
        </w:tc>
      </w:tr>
      <w:tr>
        <w:trPr>
          <w:trHeight w:val="21"/>
        </w:trPr>
        <w:tc>
          <w:tcPr>
            <w:tcW w:w="8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b w:val="1"/>
                <w:bCs w:val="1"/>
                <w:color w:val="auto"/>
              </w:rPr>
              <w:t>Total liabilities and stockholders' equity</w:t>
            </w: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14,273,347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13,871,281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2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3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Casino</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570,789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1,185,101</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152,681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191,270</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3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149,414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173,219</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Entertainment, retail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80,832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101,956</w:t>
            </w:r>
          </w:p>
        </w:tc>
      </w:tr>
      <w:tr>
        <w:trPr>
          <w:trHeight w:val="237"/>
        </w:trPr>
        <w:tc>
          <w:tcPr>
            <w:tcW w:w="8260" w:type="dxa"/>
            <w:vAlign w:val="bottom"/>
          </w:tcPr>
          <w:p>
            <w:pPr>
              <w:ind w:left="660"/>
              <w:spacing w:after="0"/>
              <w:rPr>
                <w:sz w:val="20"/>
                <w:szCs w:val="20"/>
                <w:color w:val="auto"/>
              </w:rPr>
            </w:pPr>
            <w:r>
              <w:rPr>
                <w:rFonts w:ascii="Arial" w:cs="Arial" w:eastAsia="Arial" w:hAnsi="Arial"/>
                <w:sz w:val="18"/>
                <w:szCs w:val="18"/>
                <w:b w:val="1"/>
                <w:bCs w:val="1"/>
                <w:color w:val="auto"/>
              </w:rPr>
              <w:t>Total operating revenues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953,716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1,651,546</w:t>
            </w:r>
          </w:p>
        </w:tc>
      </w:tr>
      <w:tr>
        <w:trPr>
          <w:trHeight w:val="27"/>
        </w:trPr>
        <w:tc>
          <w:tcPr>
            <w:tcW w:w="8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Casino</w:t>
            </w:r>
          </w:p>
        </w:tc>
        <w:tc>
          <w:tcPr>
            <w:tcW w:w="3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442,690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750,071</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73,480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63,706</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3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175,910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148,761</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Entertainment, retail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45,580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44,044</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234,328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217,322</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Provision for credit losses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20,613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5,422</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Pre-opening</w:t>
            </w:r>
          </w:p>
        </w:tc>
        <w:tc>
          <w:tcPr>
            <w:tcW w:w="3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2,551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27,713</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178,746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136,557</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Property charges and other</w:t>
            </w:r>
          </w:p>
        </w:tc>
        <w:tc>
          <w:tcPr>
            <w:tcW w:w="3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27,229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2,774</w:t>
            </w:r>
          </w:p>
        </w:tc>
      </w:tr>
      <w:tr>
        <w:trPr>
          <w:trHeight w:val="27"/>
        </w:trPr>
        <w:tc>
          <w:tcPr>
            <w:tcW w:w="8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82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1,201,127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1,396,370</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(247,411)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255,176</w:t>
            </w:r>
          </w:p>
        </w:tc>
      </w:tr>
      <w:tr>
        <w:trPr>
          <w:trHeight w:val="27"/>
        </w:trPr>
        <w:tc>
          <w:tcPr>
            <w:tcW w:w="8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7,953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7,287</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expense, net of amounts capitalized</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(128,827)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(93,180)</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Change in derivatives fair value</w:t>
            </w:r>
          </w:p>
        </w:tc>
        <w:tc>
          <w:tcPr>
            <w:tcW w:w="3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(15,660)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(1,509)</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10,335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(6,358)</w:t>
            </w:r>
          </w:p>
        </w:tc>
      </w:tr>
      <w:tr>
        <w:trPr>
          <w:trHeight w:val="27"/>
        </w:trPr>
        <w:tc>
          <w:tcPr>
            <w:tcW w:w="8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2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Other income (expense), net</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(127,042)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(93,760)</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(374,453)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161,416</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(1,685)</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(450,253)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159,731</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Less: net (income) loss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48,216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(54,859)</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(402,037)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104,872</w:t>
            </w:r>
          </w:p>
        </w:tc>
      </w:tr>
      <w:tr>
        <w:trPr>
          <w:trHeight w:val="27"/>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 net income (loss) per common share:</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Net income (loss) attributable to Wynn Resorts, Limited:</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0.98</w:t>
            </w:r>
          </w:p>
        </w:tc>
      </w:tr>
      <w:tr>
        <w:trPr>
          <w:trHeight w:val="243"/>
        </w:trPr>
        <w:tc>
          <w:tcPr>
            <w:tcW w:w="8260" w:type="dxa"/>
            <w:vAlign w:val="bottom"/>
          </w:tcPr>
          <w:p>
            <w:pPr>
              <w:ind w:left="66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0.98</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tcPr>
          <w:p>
            <w:pPr>
              <w:ind w:left="66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106,663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106,792</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106,663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107,073</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Dividends declared per common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0.75</w:t>
            </w: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2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(450,253)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159,731</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 before and after tax</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(888)</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 (loss)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(449,238)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158,843</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47,933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(54,612)</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 attributable to Wynn Resorts, Limited</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(401,305)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104,231</w:t>
            </w:r>
          </w:p>
        </w:tc>
      </w:tr>
      <w:tr>
        <w:trPr>
          <w:trHeight w:val="27"/>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8"/>
          </w:tcPr>
          <w:p>
            <w:pPr>
              <w:ind w:left="540"/>
              <w:spacing w:after="0"/>
              <w:rPr>
                <w:sz w:val="20"/>
                <w:szCs w:val="20"/>
                <w:color w:val="auto"/>
              </w:rPr>
            </w:pPr>
            <w:r>
              <w:rPr>
                <w:rFonts w:ascii="Arial" w:cs="Arial" w:eastAsia="Arial" w:hAnsi="Arial"/>
                <w:sz w:val="13"/>
                <w:szCs w:val="13"/>
                <w:b w:val="1"/>
                <w:bCs w:val="1"/>
                <w:color w:val="auto"/>
                <w:w w:val="89"/>
              </w:rPr>
              <w:t>For the Three Months Ended March 31, 2020</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83"/>
        </w:trPr>
        <w:tc>
          <w:tcPr>
            <w:tcW w:w="2200" w:type="dxa"/>
            <w:vAlign w:val="bottom"/>
          </w:tcPr>
          <w:p>
            <w:pPr>
              <w:spacing w:after="0"/>
              <w:rPr>
                <w:sz w:val="15"/>
                <w:szCs w:val="15"/>
                <w:color w:val="auto"/>
              </w:rPr>
            </w:pPr>
          </w:p>
        </w:tc>
        <w:tc>
          <w:tcPr>
            <w:tcW w:w="1700" w:type="dxa"/>
            <w:vAlign w:val="bottom"/>
            <w:gridSpan w:val="5"/>
          </w:tcPr>
          <w:p>
            <w:pPr>
              <w:ind w:left="40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30"/>
        </w:trPr>
        <w:tc>
          <w:tcPr>
            <w:tcW w:w="22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91"/>
              </w:rPr>
              <w:t>Total Wynn</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2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other</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Resorts, Ltd.</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2200" w:type="dxa"/>
            <w:vAlign w:val="bottom"/>
          </w:tcPr>
          <w:p>
            <w:pPr>
              <w:spacing w:after="0"/>
              <w:rPr>
                <w:sz w:val="11"/>
                <w:szCs w:val="11"/>
                <w:color w:val="auto"/>
              </w:rPr>
            </w:pPr>
          </w:p>
        </w:tc>
        <w:tc>
          <w:tcPr>
            <w:tcW w:w="9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1"/>
                <w:szCs w:val="11"/>
                <w:color w:val="auto"/>
              </w:rPr>
            </w:pPr>
          </w:p>
        </w:tc>
        <w:tc>
          <w:tcPr>
            <w:tcW w:w="6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Par</w:t>
            </w: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Treasury</w:t>
            </w:r>
          </w:p>
        </w:tc>
        <w:tc>
          <w:tcPr>
            <w:tcW w:w="10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3"/>
              </w:rPr>
              <w:t>paid-in</w:t>
            </w: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stockholders'</w:t>
            </w:r>
          </w:p>
        </w:tc>
        <w:tc>
          <w:tcPr>
            <w:tcW w:w="100" w:type="dxa"/>
            <w:vAlign w:val="bottom"/>
          </w:tcPr>
          <w:p>
            <w:pPr>
              <w:spacing w:after="0"/>
              <w:rPr>
                <w:sz w:val="11"/>
                <w:szCs w:val="11"/>
                <w:color w:val="auto"/>
              </w:rPr>
            </w:pPr>
          </w:p>
        </w:tc>
        <w:tc>
          <w:tcPr>
            <w:tcW w:w="10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00" w:type="dxa"/>
            <w:vAlign w:val="bottom"/>
          </w:tcPr>
          <w:p>
            <w:pPr>
              <w:spacing w:after="0"/>
              <w:rPr>
                <w:sz w:val="11"/>
                <w:szCs w:val="11"/>
                <w:color w:val="auto"/>
              </w:rPr>
            </w:pPr>
          </w:p>
        </w:tc>
        <w:tc>
          <w:tcPr>
            <w:tcW w:w="8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5"/>
              </w:rPr>
              <w:t>stockholders'</w:t>
            </w:r>
          </w:p>
        </w:tc>
      </w:tr>
      <w:tr>
        <w:trPr>
          <w:trHeight w:val="174"/>
        </w:trPr>
        <w:tc>
          <w:tcPr>
            <w:tcW w:w="2200" w:type="dxa"/>
            <w:vAlign w:val="bottom"/>
          </w:tcPr>
          <w:p>
            <w:pPr>
              <w:spacing w:after="0"/>
              <w:rPr>
                <w:sz w:val="15"/>
                <w:szCs w:val="15"/>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outstanding</w:t>
            </w:r>
          </w:p>
        </w:tc>
        <w:tc>
          <w:tcPr>
            <w:tcW w:w="120" w:type="dxa"/>
            <w:vAlign w:val="bottom"/>
          </w:tcPr>
          <w:p>
            <w:pPr>
              <w:spacing w:after="0"/>
              <w:rPr>
                <w:sz w:val="15"/>
                <w:szCs w:val="15"/>
                <w:color w:val="auto"/>
              </w:rPr>
            </w:pPr>
          </w:p>
        </w:tc>
        <w:tc>
          <w:tcPr>
            <w:tcW w:w="6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value</w:t>
            </w:r>
          </w:p>
        </w:tc>
        <w:tc>
          <w:tcPr>
            <w:tcW w:w="12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stock</w:t>
            </w:r>
          </w:p>
        </w:tc>
        <w:tc>
          <w:tcPr>
            <w:tcW w:w="10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capital</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76"/>
              </w:rPr>
              <w:t>loss</w:t>
            </w:r>
          </w:p>
        </w:tc>
        <w:tc>
          <w:tcPr>
            <w:tcW w:w="14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equity</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interests</w:t>
            </w:r>
          </w:p>
        </w:tc>
        <w:tc>
          <w:tcPr>
            <w:tcW w:w="100" w:type="dxa"/>
            <w:vAlign w:val="bottom"/>
          </w:tcPr>
          <w:p>
            <w:pPr>
              <w:spacing w:after="0"/>
              <w:rPr>
                <w:sz w:val="15"/>
                <w:szCs w:val="15"/>
                <w:color w:val="auto"/>
              </w:rPr>
            </w:pPr>
          </w:p>
        </w:tc>
        <w:tc>
          <w:tcPr>
            <w:tcW w:w="840" w:type="dxa"/>
            <w:vAlign w:val="bottom"/>
          </w:tcPr>
          <w:p>
            <w:pPr>
              <w:jc w:val="center"/>
              <w:ind w:right="37"/>
              <w:spacing w:after="0"/>
              <w:rPr>
                <w:sz w:val="20"/>
                <w:szCs w:val="20"/>
                <w:color w:val="auto"/>
              </w:rPr>
            </w:pPr>
            <w:r>
              <w:rPr>
                <w:rFonts w:ascii="Arial" w:cs="Arial" w:eastAsia="Arial" w:hAnsi="Arial"/>
                <w:sz w:val="13"/>
                <w:szCs w:val="13"/>
                <w:b w:val="1"/>
                <w:bCs w:val="1"/>
                <w:color w:val="auto"/>
                <w:w w:val="88"/>
              </w:rPr>
              <w:t>equity</w:t>
            </w:r>
          </w:p>
        </w:tc>
      </w:tr>
      <w:tr>
        <w:trPr>
          <w:trHeight w:val="189"/>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January 1, 2020</w:t>
            </w:r>
          </w:p>
        </w:tc>
        <w:tc>
          <w:tcPr>
            <w:tcW w:w="88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99"/>
              </w:rPr>
              <w:t>107,363,943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98"/>
              </w:rPr>
              <w:t>1,228</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90"/>
              </w:rPr>
              <w:t>(1,410,998)</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93"/>
              </w:rPr>
              <w:t>2,512,676</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(1,679)</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641,818</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1,743,045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(201,573)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1,541,472</w:t>
            </w:r>
          </w:p>
        </w:tc>
      </w:tr>
      <w:tr>
        <w:trPr>
          <w:trHeight w:val="181"/>
        </w:trPr>
        <w:tc>
          <w:tcPr>
            <w:tcW w:w="2200" w:type="dxa"/>
            <w:vAlign w:val="bottom"/>
          </w:tcPr>
          <w:p>
            <w:pPr>
              <w:ind w:left="20"/>
              <w:spacing w:after="0"/>
              <w:rPr>
                <w:sz w:val="20"/>
                <w:szCs w:val="20"/>
                <w:color w:val="auto"/>
              </w:rPr>
            </w:pPr>
            <w:r>
              <w:rPr>
                <w:rFonts w:ascii="Arial" w:cs="Arial" w:eastAsia="Arial" w:hAnsi="Arial"/>
                <w:sz w:val="13"/>
                <w:szCs w:val="13"/>
                <w:color w:val="auto"/>
              </w:rPr>
              <w:t>Net loss</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(402,037)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(402,037)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(48,216)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(450,253)</w:t>
            </w:r>
          </w:p>
        </w:tc>
      </w:tr>
      <w:tr>
        <w:trPr>
          <w:trHeight w:val="197"/>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Currency translation adjustment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732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732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1,015</w:t>
            </w:r>
          </w:p>
        </w:tc>
      </w:tr>
      <w:tr>
        <w:trPr>
          <w:trHeight w:val="181"/>
        </w:trPr>
        <w:tc>
          <w:tcPr>
            <w:tcW w:w="2200" w:type="dxa"/>
            <w:vAlign w:val="bottom"/>
          </w:tcPr>
          <w:p>
            <w:pPr>
              <w:ind w:left="20"/>
              <w:spacing w:after="0"/>
              <w:rPr>
                <w:sz w:val="20"/>
                <w:szCs w:val="20"/>
                <w:color w:val="auto"/>
              </w:rPr>
            </w:pPr>
            <w:r>
              <w:rPr>
                <w:rFonts w:ascii="Arial" w:cs="Arial" w:eastAsia="Arial" w:hAnsi="Arial"/>
                <w:sz w:val="13"/>
                <w:szCs w:val="13"/>
                <w:color w:val="auto"/>
              </w:rPr>
              <w:t>Issuance of restricted stock</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620,745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7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6,086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6,092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629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6,721</w:t>
            </w:r>
          </w:p>
        </w:tc>
      </w:tr>
      <w:tr>
        <w:trPr>
          <w:trHeight w:val="197"/>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Cancellation of restricted stock</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(55,570)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2200" w:type="dxa"/>
            <w:vAlign w:val="bottom"/>
          </w:tcPr>
          <w:p>
            <w:pPr>
              <w:ind w:left="20"/>
              <w:spacing w:after="0" w:line="148" w:lineRule="exact"/>
              <w:rPr>
                <w:sz w:val="20"/>
                <w:szCs w:val="20"/>
                <w:color w:val="auto"/>
              </w:rPr>
            </w:pPr>
            <w:r>
              <w:rPr>
                <w:rFonts w:ascii="Arial" w:cs="Arial" w:eastAsia="Arial" w:hAnsi="Arial"/>
                <w:sz w:val="13"/>
                <w:szCs w:val="13"/>
                <w:color w:val="auto"/>
                <w:w w:val="89"/>
              </w:rPr>
              <w:t>Shares repurchased by the Company and</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68"/>
        </w:trPr>
        <w:tc>
          <w:tcPr>
            <w:tcW w:w="2200" w:type="dxa"/>
            <w:vAlign w:val="bottom"/>
          </w:tcPr>
          <w:p>
            <w:pPr>
              <w:ind w:left="20"/>
              <w:spacing w:after="0"/>
              <w:rPr>
                <w:sz w:val="20"/>
                <w:szCs w:val="20"/>
                <w:color w:val="auto"/>
              </w:rPr>
            </w:pPr>
            <w:r>
              <w:rPr>
                <w:rFonts w:ascii="Arial" w:cs="Arial" w:eastAsia="Arial" w:hAnsi="Arial"/>
                <w:sz w:val="13"/>
                <w:szCs w:val="13"/>
                <w:color w:val="auto"/>
              </w:rPr>
              <w:t>held as treasury shares</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(44,955)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(5,527)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(5,527)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(5,527)</w:t>
            </w:r>
          </w:p>
        </w:tc>
      </w:tr>
      <w:tr>
        <w:trPr>
          <w:trHeight w:val="197"/>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dividends declared</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(107,515)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(107,515)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(107,501)</w:t>
            </w:r>
          </w:p>
        </w:tc>
      </w:tr>
      <w:tr>
        <w:trPr>
          <w:trHeight w:val="181"/>
        </w:trPr>
        <w:tc>
          <w:tcPr>
            <w:tcW w:w="2200" w:type="dxa"/>
            <w:vAlign w:val="bottom"/>
          </w:tcPr>
          <w:p>
            <w:pPr>
              <w:ind w:left="20"/>
              <w:spacing w:after="0"/>
              <w:rPr>
                <w:sz w:val="20"/>
                <w:szCs w:val="20"/>
                <w:color w:val="auto"/>
              </w:rPr>
            </w:pPr>
            <w:r>
              <w:rPr>
                <w:rFonts w:ascii="Arial" w:cs="Arial" w:eastAsia="Arial" w:hAnsi="Arial"/>
                <w:sz w:val="13"/>
                <w:szCs w:val="13"/>
                <w:color w:val="auto"/>
              </w:rPr>
              <w:t>Distribution to non-controlling interest</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(998)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(998)</w:t>
            </w:r>
          </w:p>
        </w:tc>
      </w:tr>
      <w:tr>
        <w:trPr>
          <w:trHeight w:val="190"/>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7,300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7,300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251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7,551</w:t>
            </w:r>
          </w:p>
        </w:tc>
      </w:tr>
      <w:tr>
        <w:trPr>
          <w:trHeight w:val="189"/>
        </w:trPr>
        <w:tc>
          <w:tcPr>
            <w:tcW w:w="2200" w:type="dxa"/>
            <w:vAlign w:val="bottom"/>
          </w:tcPr>
          <w:p>
            <w:pPr>
              <w:ind w:left="20"/>
              <w:spacing w:after="0"/>
              <w:rPr>
                <w:sz w:val="20"/>
                <w:szCs w:val="20"/>
                <w:color w:val="auto"/>
              </w:rPr>
            </w:pPr>
            <w:r>
              <w:rPr>
                <w:rFonts w:ascii="Arial" w:cs="Arial" w:eastAsia="Arial" w:hAnsi="Arial"/>
                <w:sz w:val="13"/>
                <w:szCs w:val="13"/>
                <w:b w:val="1"/>
                <w:bCs w:val="1"/>
                <w:color w:val="auto"/>
              </w:rPr>
              <w:t>Balances, March 31, 2020</w:t>
            </w:r>
          </w:p>
        </w:tc>
        <w:tc>
          <w:tcPr>
            <w:tcW w:w="8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9"/>
              </w:rPr>
              <w:t>107,884,163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8"/>
              </w:rPr>
              <w:t>1,234</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0"/>
              </w:rPr>
              <w:t>(1,416,525)</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3"/>
              </w:rPr>
              <w:t>2,526,062</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(947)</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132,266</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1,242,090</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(249,610)</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992,480</w:t>
            </w:r>
          </w:p>
        </w:tc>
      </w:tr>
      <w:tr>
        <w:trPr>
          <w:trHeight w:val="20"/>
        </w:trPr>
        <w:tc>
          <w:tcPr>
            <w:tcW w:w="2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797"/>
        </w:trPr>
        <w:tc>
          <w:tcPr>
            <w:tcW w:w="22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8"/>
          </w:tcPr>
          <w:p>
            <w:pPr>
              <w:ind w:left="540"/>
              <w:spacing w:after="0"/>
              <w:rPr>
                <w:sz w:val="20"/>
                <w:szCs w:val="20"/>
                <w:color w:val="auto"/>
              </w:rPr>
            </w:pPr>
            <w:r>
              <w:rPr>
                <w:rFonts w:ascii="Arial" w:cs="Arial" w:eastAsia="Arial" w:hAnsi="Arial"/>
                <w:sz w:val="13"/>
                <w:szCs w:val="13"/>
                <w:b w:val="1"/>
                <w:bCs w:val="1"/>
                <w:color w:val="auto"/>
                <w:w w:val="89"/>
              </w:rPr>
              <w:t>For the Three Months Ended March 31, 2019</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83"/>
        </w:trPr>
        <w:tc>
          <w:tcPr>
            <w:tcW w:w="2200" w:type="dxa"/>
            <w:vAlign w:val="bottom"/>
          </w:tcPr>
          <w:p>
            <w:pPr>
              <w:spacing w:after="0"/>
              <w:rPr>
                <w:sz w:val="15"/>
                <w:szCs w:val="15"/>
                <w:color w:val="auto"/>
              </w:rPr>
            </w:pPr>
          </w:p>
        </w:tc>
        <w:tc>
          <w:tcPr>
            <w:tcW w:w="1700" w:type="dxa"/>
            <w:vAlign w:val="bottom"/>
            <w:gridSpan w:val="5"/>
          </w:tcPr>
          <w:p>
            <w:pPr>
              <w:ind w:left="40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30"/>
        </w:trPr>
        <w:tc>
          <w:tcPr>
            <w:tcW w:w="22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91"/>
              </w:rPr>
              <w:t>Total Wynn</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2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other</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Resorts, Ltd.</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2200" w:type="dxa"/>
            <w:vAlign w:val="bottom"/>
          </w:tcPr>
          <w:p>
            <w:pPr>
              <w:spacing w:after="0"/>
              <w:rPr>
                <w:sz w:val="11"/>
                <w:szCs w:val="11"/>
                <w:color w:val="auto"/>
              </w:rPr>
            </w:pPr>
          </w:p>
        </w:tc>
        <w:tc>
          <w:tcPr>
            <w:tcW w:w="9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1"/>
                <w:szCs w:val="11"/>
                <w:color w:val="auto"/>
              </w:rPr>
            </w:pPr>
          </w:p>
        </w:tc>
        <w:tc>
          <w:tcPr>
            <w:tcW w:w="6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Par</w:t>
            </w: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Treasury</w:t>
            </w:r>
          </w:p>
        </w:tc>
        <w:tc>
          <w:tcPr>
            <w:tcW w:w="10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3"/>
              </w:rPr>
              <w:t>paid-in</w:t>
            </w: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stockholders'</w:t>
            </w:r>
          </w:p>
        </w:tc>
        <w:tc>
          <w:tcPr>
            <w:tcW w:w="100" w:type="dxa"/>
            <w:vAlign w:val="bottom"/>
          </w:tcPr>
          <w:p>
            <w:pPr>
              <w:spacing w:after="0"/>
              <w:rPr>
                <w:sz w:val="11"/>
                <w:szCs w:val="11"/>
                <w:color w:val="auto"/>
              </w:rPr>
            </w:pPr>
          </w:p>
        </w:tc>
        <w:tc>
          <w:tcPr>
            <w:tcW w:w="10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00" w:type="dxa"/>
            <w:vAlign w:val="bottom"/>
          </w:tcPr>
          <w:p>
            <w:pPr>
              <w:spacing w:after="0"/>
              <w:rPr>
                <w:sz w:val="11"/>
                <w:szCs w:val="11"/>
                <w:color w:val="auto"/>
              </w:rPr>
            </w:pPr>
          </w:p>
        </w:tc>
        <w:tc>
          <w:tcPr>
            <w:tcW w:w="8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5"/>
              </w:rPr>
              <w:t>stockholders'</w:t>
            </w:r>
          </w:p>
        </w:tc>
      </w:tr>
      <w:tr>
        <w:trPr>
          <w:trHeight w:val="174"/>
        </w:trPr>
        <w:tc>
          <w:tcPr>
            <w:tcW w:w="2200" w:type="dxa"/>
            <w:vAlign w:val="bottom"/>
          </w:tcPr>
          <w:p>
            <w:pPr>
              <w:spacing w:after="0"/>
              <w:rPr>
                <w:sz w:val="15"/>
                <w:szCs w:val="15"/>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outstanding</w:t>
            </w:r>
          </w:p>
        </w:tc>
        <w:tc>
          <w:tcPr>
            <w:tcW w:w="120" w:type="dxa"/>
            <w:vAlign w:val="bottom"/>
          </w:tcPr>
          <w:p>
            <w:pPr>
              <w:spacing w:after="0"/>
              <w:rPr>
                <w:sz w:val="15"/>
                <w:szCs w:val="15"/>
                <w:color w:val="auto"/>
              </w:rPr>
            </w:pPr>
          </w:p>
        </w:tc>
        <w:tc>
          <w:tcPr>
            <w:tcW w:w="6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value</w:t>
            </w:r>
          </w:p>
        </w:tc>
        <w:tc>
          <w:tcPr>
            <w:tcW w:w="12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stock</w:t>
            </w:r>
          </w:p>
        </w:tc>
        <w:tc>
          <w:tcPr>
            <w:tcW w:w="10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capital</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76"/>
              </w:rPr>
              <w:t>loss</w:t>
            </w:r>
          </w:p>
        </w:tc>
        <w:tc>
          <w:tcPr>
            <w:tcW w:w="14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equity</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interests</w:t>
            </w:r>
          </w:p>
        </w:tc>
        <w:tc>
          <w:tcPr>
            <w:tcW w:w="100" w:type="dxa"/>
            <w:vAlign w:val="bottom"/>
          </w:tcPr>
          <w:p>
            <w:pPr>
              <w:spacing w:after="0"/>
              <w:rPr>
                <w:sz w:val="15"/>
                <w:szCs w:val="15"/>
                <w:color w:val="auto"/>
              </w:rPr>
            </w:pPr>
          </w:p>
        </w:tc>
        <w:tc>
          <w:tcPr>
            <w:tcW w:w="840" w:type="dxa"/>
            <w:vAlign w:val="bottom"/>
          </w:tcPr>
          <w:p>
            <w:pPr>
              <w:jc w:val="center"/>
              <w:ind w:right="37"/>
              <w:spacing w:after="0"/>
              <w:rPr>
                <w:sz w:val="20"/>
                <w:szCs w:val="20"/>
                <w:color w:val="auto"/>
              </w:rPr>
            </w:pPr>
            <w:r>
              <w:rPr>
                <w:rFonts w:ascii="Arial" w:cs="Arial" w:eastAsia="Arial" w:hAnsi="Arial"/>
                <w:sz w:val="13"/>
                <w:szCs w:val="13"/>
                <w:b w:val="1"/>
                <w:bCs w:val="1"/>
                <w:color w:val="auto"/>
                <w:w w:val="88"/>
              </w:rPr>
              <w:t>equity</w:t>
            </w:r>
          </w:p>
        </w:tc>
      </w:tr>
      <w:tr>
        <w:trPr>
          <w:trHeight w:val="189"/>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January 1, 2019</w:t>
            </w:r>
          </w:p>
        </w:tc>
        <w:tc>
          <w:tcPr>
            <w:tcW w:w="88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99"/>
              </w:rPr>
              <w:t>107,232,026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98"/>
              </w:rPr>
              <w:t>1,221</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90"/>
              </w:rPr>
              <w:t>(1,344,012)</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93"/>
              </w:rPr>
              <w:t>2,457,079</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(1,950)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921,785</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2,034,123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(219,334)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1,814,789</w:t>
            </w:r>
          </w:p>
        </w:tc>
      </w:tr>
      <w:tr>
        <w:trPr>
          <w:trHeight w:val="181"/>
        </w:trPr>
        <w:tc>
          <w:tcPr>
            <w:tcW w:w="22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104,872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104,872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54,859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159,731</w:t>
            </w:r>
          </w:p>
        </w:tc>
      </w:tr>
      <w:tr>
        <w:trPr>
          <w:trHeight w:val="197"/>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Currency translation adjustment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(641)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(641)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(888)</w:t>
            </w:r>
          </w:p>
        </w:tc>
      </w:tr>
      <w:tr>
        <w:trPr>
          <w:trHeight w:val="181"/>
        </w:trPr>
        <w:tc>
          <w:tcPr>
            <w:tcW w:w="220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77,690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4,063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4,064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4,064</w:t>
            </w:r>
          </w:p>
        </w:tc>
      </w:tr>
      <w:tr>
        <w:trPr>
          <w:trHeight w:val="197"/>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restricted stock</w:t>
            </w: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396,596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14,344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14,348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785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15,133</w:t>
            </w:r>
          </w:p>
        </w:tc>
      </w:tr>
      <w:tr>
        <w:trPr>
          <w:trHeight w:val="181"/>
        </w:trPr>
        <w:tc>
          <w:tcPr>
            <w:tcW w:w="2200" w:type="dxa"/>
            <w:vAlign w:val="bottom"/>
          </w:tcPr>
          <w:p>
            <w:pPr>
              <w:ind w:left="20"/>
              <w:spacing w:after="0"/>
              <w:rPr>
                <w:sz w:val="20"/>
                <w:szCs w:val="20"/>
                <w:color w:val="auto"/>
              </w:rPr>
            </w:pPr>
            <w:r>
              <w:rPr>
                <w:rFonts w:ascii="Arial" w:cs="Arial" w:eastAsia="Arial" w:hAnsi="Arial"/>
                <w:sz w:val="13"/>
                <w:szCs w:val="13"/>
                <w:color w:val="auto"/>
              </w:rPr>
              <w:t>Cancellation of restricted stock</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(1,045)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56"/>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9"/>
              </w:rPr>
              <w:t>Shares repurchased by the Company and</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76"/>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held as treasury shares</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(44,818)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(5,401)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(5,401)</w:t>
            </w:r>
          </w:p>
        </w:tc>
      </w:tr>
      <w:tr>
        <w:trPr>
          <w:trHeight w:val="181"/>
        </w:trPr>
        <w:tc>
          <w:tcPr>
            <w:tcW w:w="2200" w:type="dxa"/>
            <w:vAlign w:val="bottom"/>
          </w:tcPr>
          <w:p>
            <w:pPr>
              <w:ind w:left="20"/>
              <w:spacing w:after="0"/>
              <w:rPr>
                <w:sz w:val="20"/>
                <w:szCs w:val="20"/>
                <w:color w:val="auto"/>
              </w:rPr>
            </w:pPr>
            <w:r>
              <w:rPr>
                <w:rFonts w:ascii="Arial" w:cs="Arial" w:eastAsia="Arial" w:hAnsi="Arial"/>
                <w:sz w:val="13"/>
                <w:szCs w:val="13"/>
                <w:color w:val="auto"/>
              </w:rPr>
              <w:t>Cash dividends declared</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(80,685)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(80,685)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(80,668)</w:t>
            </w:r>
          </w:p>
        </w:tc>
      </w:tr>
      <w:tr>
        <w:trPr>
          <w:trHeight w:val="190"/>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7,540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7,540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943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8,483</w:t>
            </w:r>
          </w:p>
        </w:tc>
      </w:tr>
      <w:tr>
        <w:trPr>
          <w:trHeight w:val="189"/>
        </w:trPr>
        <w:tc>
          <w:tcPr>
            <w:tcW w:w="2200" w:type="dxa"/>
            <w:vAlign w:val="bottom"/>
          </w:tcPr>
          <w:p>
            <w:pPr>
              <w:ind w:left="20"/>
              <w:spacing w:after="0"/>
              <w:rPr>
                <w:sz w:val="20"/>
                <w:szCs w:val="20"/>
                <w:color w:val="auto"/>
              </w:rPr>
            </w:pPr>
            <w:r>
              <w:rPr>
                <w:rFonts w:ascii="Arial" w:cs="Arial" w:eastAsia="Arial" w:hAnsi="Arial"/>
                <w:sz w:val="13"/>
                <w:szCs w:val="13"/>
                <w:b w:val="1"/>
                <w:bCs w:val="1"/>
                <w:color w:val="auto"/>
              </w:rPr>
              <w:t>Balances, March 31, 2019</w:t>
            </w:r>
          </w:p>
        </w:tc>
        <w:tc>
          <w:tcPr>
            <w:tcW w:w="8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9"/>
              </w:rPr>
              <w:t>107,660,449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8"/>
              </w:rPr>
              <w:t>1,226</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0"/>
              </w:rPr>
              <w:t>(1,349,413)</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3"/>
              </w:rPr>
              <w:t>2,483,026</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(2,591)</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945,972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2,078,220</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(162,977)</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1,915,243</w:t>
            </w:r>
          </w:p>
        </w:tc>
      </w:tr>
      <w:tr>
        <w:trPr>
          <w:trHeight w:val="20"/>
        </w:trPr>
        <w:tc>
          <w:tcPr>
            <w:tcW w:w="2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Three Months Ended March 31,</w:t>
            </w:r>
          </w:p>
        </w:tc>
      </w:tr>
      <w:tr>
        <w:trPr>
          <w:trHeight w:val="237"/>
        </w:trPr>
        <w:tc>
          <w:tcPr>
            <w:tcW w:w="82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222"/>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24"/>
        </w:trPr>
        <w:tc>
          <w:tcPr>
            <w:tcW w:w="8260" w:type="dxa"/>
            <w:vAlign w:val="bottom"/>
          </w:tcPr>
          <w:p>
            <w:pPr>
              <w:ind w:left="34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(450,253)</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159,731</w:t>
            </w: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4"/>
        </w:trPr>
        <w:tc>
          <w:tcPr>
            <w:tcW w:w="826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9"/>
                <w:szCs w:val="19"/>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178,746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136,557</w:t>
            </w: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Deferred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74,860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r>
      <w:tr>
        <w:trPr>
          <w:trHeight w:val="223"/>
        </w:trPr>
        <w:tc>
          <w:tcPr>
            <w:tcW w:w="8260" w:type="dxa"/>
            <w:vAlign w:val="bottom"/>
          </w:tcPr>
          <w:p>
            <w:pPr>
              <w:ind w:left="34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19"/>
                <w:szCs w:val="19"/>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9,364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10,338</w:t>
            </w: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Amortization of debt issuance costs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6,944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7,594</w:t>
            </w:r>
          </w:p>
        </w:tc>
      </w:tr>
      <w:tr>
        <w:trPr>
          <w:trHeight w:val="224"/>
        </w:trPr>
        <w:tc>
          <w:tcPr>
            <w:tcW w:w="8260" w:type="dxa"/>
            <w:vAlign w:val="bottom"/>
          </w:tcPr>
          <w:p>
            <w:pPr>
              <w:ind w:left="340"/>
              <w:spacing w:after="0"/>
              <w:rPr>
                <w:sz w:val="20"/>
                <w:szCs w:val="20"/>
                <w:color w:val="auto"/>
              </w:rPr>
            </w:pPr>
            <w:r>
              <w:rPr>
                <w:rFonts w:ascii="Arial" w:cs="Arial" w:eastAsia="Arial" w:hAnsi="Arial"/>
                <w:sz w:val="16"/>
                <w:szCs w:val="16"/>
                <w:color w:val="auto"/>
              </w:rPr>
              <w:t>Loss on extinguishment of debt</w:t>
            </w:r>
          </w:p>
        </w:tc>
        <w:tc>
          <w:tcPr>
            <w:tcW w:w="300" w:type="dxa"/>
            <w:vAlign w:val="bottom"/>
          </w:tcPr>
          <w:p>
            <w:pPr>
              <w:spacing w:after="0"/>
              <w:rPr>
                <w:sz w:val="19"/>
                <w:szCs w:val="19"/>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843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Provision for credit losses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20,613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5,422</w:t>
            </w:r>
          </w:p>
        </w:tc>
      </w:tr>
      <w:tr>
        <w:trPr>
          <w:trHeight w:val="223"/>
        </w:trPr>
        <w:tc>
          <w:tcPr>
            <w:tcW w:w="8260" w:type="dxa"/>
            <w:vAlign w:val="bottom"/>
          </w:tcPr>
          <w:p>
            <w:pPr>
              <w:ind w:left="340"/>
              <w:spacing w:after="0"/>
              <w:rPr>
                <w:sz w:val="20"/>
                <w:szCs w:val="20"/>
                <w:color w:val="auto"/>
              </w:rPr>
            </w:pPr>
            <w:r>
              <w:rPr>
                <w:rFonts w:ascii="Arial" w:cs="Arial" w:eastAsia="Arial" w:hAnsi="Arial"/>
                <w:sz w:val="16"/>
                <w:szCs w:val="16"/>
                <w:color w:val="auto"/>
              </w:rPr>
              <w:t>Change in derivatives fair value</w:t>
            </w:r>
          </w:p>
        </w:tc>
        <w:tc>
          <w:tcPr>
            <w:tcW w:w="300" w:type="dxa"/>
            <w:vAlign w:val="bottom"/>
          </w:tcPr>
          <w:p>
            <w:pPr>
              <w:spacing w:after="0"/>
              <w:rPr>
                <w:sz w:val="19"/>
                <w:szCs w:val="19"/>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15,660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1,509</w:t>
            </w: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Property charges and other</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16,894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9,133</w:t>
            </w:r>
          </w:p>
        </w:tc>
      </w:tr>
      <w:tr>
        <w:trPr>
          <w:trHeight w:val="224"/>
        </w:trPr>
        <w:tc>
          <w:tcPr>
            <w:tcW w:w="8260" w:type="dxa"/>
            <w:vAlign w:val="bottom"/>
          </w:tcPr>
          <w:p>
            <w:pPr>
              <w:ind w:left="340"/>
              <w:spacing w:after="0"/>
              <w:rPr>
                <w:sz w:val="20"/>
                <w:szCs w:val="20"/>
                <w:color w:val="auto"/>
              </w:rPr>
            </w:pPr>
            <w:r>
              <w:rPr>
                <w:rFonts w:ascii="Arial" w:cs="Arial" w:eastAsia="Arial" w:hAnsi="Arial"/>
                <w:sz w:val="16"/>
                <w:szCs w:val="16"/>
                <w:color w:val="auto"/>
              </w:rPr>
              <w:t>Increase (decrease) in cash from changes in:</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Receivables, net</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(56,284)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11,088</w:t>
            </w:r>
          </w:p>
        </w:tc>
      </w:tr>
      <w:tr>
        <w:trPr>
          <w:trHeight w:val="223"/>
        </w:trPr>
        <w:tc>
          <w:tcPr>
            <w:tcW w:w="8260" w:type="dxa"/>
            <w:vAlign w:val="bottom"/>
          </w:tcPr>
          <w:p>
            <w:pPr>
              <w:ind w:left="660"/>
              <w:spacing w:after="0"/>
              <w:rPr>
                <w:sz w:val="20"/>
                <w:szCs w:val="20"/>
                <w:color w:val="auto"/>
              </w:rPr>
            </w:pPr>
            <w:r>
              <w:rPr>
                <w:rFonts w:ascii="Arial" w:cs="Arial" w:eastAsia="Arial" w:hAnsi="Arial"/>
                <w:sz w:val="16"/>
                <w:szCs w:val="16"/>
                <w:color w:val="auto"/>
              </w:rPr>
              <w:t>Inventories, prepaid expenses and other</w:t>
            </w:r>
          </w:p>
        </w:tc>
        <w:tc>
          <w:tcPr>
            <w:tcW w:w="300" w:type="dxa"/>
            <w:vAlign w:val="bottom"/>
          </w:tcPr>
          <w:p>
            <w:pPr>
              <w:spacing w:after="0"/>
              <w:rPr>
                <w:sz w:val="19"/>
                <w:szCs w:val="19"/>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5,135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(13,939)</w:t>
            </w: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2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Customer deposits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71,736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(37,398)</w:t>
            </w:r>
          </w:p>
        </w:tc>
      </w:tr>
      <w:tr>
        <w:trPr>
          <w:trHeight w:val="224"/>
        </w:trPr>
        <w:tc>
          <w:tcPr>
            <w:tcW w:w="8260" w:type="dxa"/>
            <w:vAlign w:val="bottom"/>
          </w:tcPr>
          <w:p>
            <w:pPr>
              <w:ind w:left="660"/>
              <w:spacing w:after="0"/>
              <w:rPr>
                <w:sz w:val="20"/>
                <w:szCs w:val="20"/>
                <w:color w:val="auto"/>
              </w:rPr>
            </w:pPr>
            <w:r>
              <w:rPr>
                <w:rFonts w:ascii="Arial" w:cs="Arial" w:eastAsia="Arial" w:hAnsi="Arial"/>
                <w:sz w:val="16"/>
                <w:szCs w:val="16"/>
                <w:color w:val="auto"/>
              </w:rPr>
              <w:t>Accounts payable and accrued expenses</w:t>
            </w:r>
          </w:p>
        </w:tc>
        <w:tc>
          <w:tcPr>
            <w:tcW w:w="300" w:type="dxa"/>
            <w:vAlign w:val="bottom"/>
          </w:tcPr>
          <w:p>
            <w:pPr>
              <w:spacing w:after="0"/>
              <w:rPr>
                <w:sz w:val="19"/>
                <w:szCs w:val="19"/>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(70,758)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(26,101)</w:t>
            </w:r>
          </w:p>
        </w:tc>
      </w:tr>
      <w:tr>
        <w:trPr>
          <w:trHeight w:val="33"/>
        </w:trPr>
        <w:tc>
          <w:tcPr>
            <w:tcW w:w="8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6"/>
                <w:szCs w:val="16"/>
                <w:b w:val="1"/>
                <w:bCs w:val="1"/>
                <w:color w:val="auto"/>
              </w:rPr>
              <w:t>Net cash (used in)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(176,500)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263,858</w:t>
            </w:r>
          </w:p>
        </w:tc>
      </w:tr>
      <w:tr>
        <w:trPr>
          <w:trHeight w:val="203"/>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Capital expenditures, net of construction payables and retention</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(139,316)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(310,279)</w:t>
            </w:r>
          </w:p>
        </w:tc>
      </w:tr>
      <w:tr>
        <w:trPr>
          <w:trHeight w:val="223"/>
        </w:trPr>
        <w:tc>
          <w:tcPr>
            <w:tcW w:w="8260" w:type="dxa"/>
            <w:vAlign w:val="bottom"/>
          </w:tcPr>
          <w:p>
            <w:pPr>
              <w:ind w:left="340"/>
              <w:spacing w:after="0"/>
              <w:rPr>
                <w:sz w:val="20"/>
                <w:szCs w:val="20"/>
                <w:color w:val="auto"/>
              </w:rPr>
            </w:pPr>
            <w:r>
              <w:rPr>
                <w:rFonts w:ascii="Arial" w:cs="Arial" w:eastAsia="Arial" w:hAnsi="Arial"/>
                <w:sz w:val="16"/>
                <w:szCs w:val="16"/>
                <w:color w:val="auto"/>
              </w:rPr>
              <w:t>Purchase of intangible and other assets</w:t>
            </w:r>
          </w:p>
        </w:tc>
        <w:tc>
          <w:tcPr>
            <w:tcW w:w="3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(1,000)</w:t>
            </w: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6"/>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Proceeds from sale of assets and other</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2,162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404</w:t>
            </w:r>
          </w:p>
        </w:tc>
      </w:tr>
      <w:tr>
        <w:trPr>
          <w:trHeight w:val="217"/>
        </w:trPr>
        <w:tc>
          <w:tcPr>
            <w:tcW w:w="8260" w:type="dxa"/>
            <w:vAlign w:val="bottom"/>
          </w:tcPr>
          <w:p>
            <w:pPr>
              <w:ind w:left="1100"/>
              <w:spacing w:after="0"/>
              <w:rPr>
                <w:sz w:val="20"/>
                <w:szCs w:val="20"/>
                <w:color w:val="auto"/>
              </w:rPr>
            </w:pPr>
            <w:r>
              <w:rPr>
                <w:rFonts w:ascii="Arial" w:cs="Arial" w:eastAsia="Arial" w:hAnsi="Arial"/>
                <w:sz w:val="16"/>
                <w:szCs w:val="16"/>
                <w:b w:val="1"/>
                <w:bCs w:val="1"/>
                <w:color w:val="auto"/>
              </w:rPr>
              <w:t>Net cash used in investing activities</w:t>
            </w: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(137,154)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(310,875)</w:t>
            </w:r>
          </w:p>
        </w:tc>
      </w:tr>
      <w:tr>
        <w:trPr>
          <w:trHeight w:val="33"/>
        </w:trPr>
        <w:tc>
          <w:tcPr>
            <w:tcW w:w="8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23"/>
        </w:trPr>
        <w:tc>
          <w:tcPr>
            <w:tcW w:w="8260" w:type="dxa"/>
            <w:vAlign w:val="bottom"/>
          </w:tcPr>
          <w:p>
            <w:pPr>
              <w:ind w:left="340"/>
              <w:spacing w:after="0"/>
              <w:rPr>
                <w:sz w:val="20"/>
                <w:szCs w:val="20"/>
                <w:color w:val="auto"/>
              </w:rPr>
            </w:pPr>
            <w:r>
              <w:rPr>
                <w:rFonts w:ascii="Arial" w:cs="Arial" w:eastAsia="Arial" w:hAnsi="Arial"/>
                <w:sz w:val="16"/>
                <w:szCs w:val="16"/>
                <w:color w:val="auto"/>
              </w:rPr>
              <w:t>Proceeds from issuance of long-term debt</w:t>
            </w:r>
          </w:p>
        </w:tc>
        <w:tc>
          <w:tcPr>
            <w:tcW w:w="300" w:type="dxa"/>
            <w:vAlign w:val="bottom"/>
          </w:tcPr>
          <w:p>
            <w:pPr>
              <w:spacing w:after="0"/>
              <w:rPr>
                <w:sz w:val="19"/>
                <w:szCs w:val="19"/>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1,469,028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250,000</w:t>
            </w: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Repayments of long-term debt</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(515,194)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(500,503)</w:t>
            </w:r>
          </w:p>
        </w:tc>
      </w:tr>
      <w:tr>
        <w:trPr>
          <w:trHeight w:val="223"/>
        </w:trPr>
        <w:tc>
          <w:tcPr>
            <w:tcW w:w="8260" w:type="dxa"/>
            <w:vAlign w:val="bottom"/>
          </w:tcPr>
          <w:p>
            <w:pPr>
              <w:ind w:left="340"/>
              <w:spacing w:after="0"/>
              <w:rPr>
                <w:sz w:val="20"/>
                <w:szCs w:val="20"/>
                <w:color w:val="auto"/>
              </w:rPr>
            </w:pPr>
            <w:r>
              <w:rPr>
                <w:rFonts w:ascii="Arial" w:cs="Arial" w:eastAsia="Arial" w:hAnsi="Arial"/>
                <w:sz w:val="16"/>
                <w:szCs w:val="16"/>
                <w:color w:val="auto"/>
              </w:rPr>
              <w:t>Repurchase of common stock</w:t>
            </w:r>
          </w:p>
        </w:tc>
        <w:tc>
          <w:tcPr>
            <w:tcW w:w="300" w:type="dxa"/>
            <w:vAlign w:val="bottom"/>
          </w:tcPr>
          <w:p>
            <w:pPr>
              <w:spacing w:after="0"/>
              <w:rPr>
                <w:sz w:val="19"/>
                <w:szCs w:val="19"/>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(5,527)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(5,401)</w:t>
            </w: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Finance lease payment</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8260" w:type="dxa"/>
            <w:vAlign w:val="bottom"/>
          </w:tcPr>
          <w:p>
            <w:pPr>
              <w:ind w:left="340"/>
              <w:spacing w:after="0"/>
              <w:rPr>
                <w:sz w:val="20"/>
                <w:szCs w:val="20"/>
                <w:color w:val="auto"/>
              </w:rPr>
            </w:pPr>
            <w:r>
              <w:rPr>
                <w:rFonts w:ascii="Arial" w:cs="Arial" w:eastAsia="Arial" w:hAnsi="Arial"/>
                <w:sz w:val="16"/>
                <w:szCs w:val="16"/>
                <w:color w:val="auto"/>
              </w:rPr>
              <w:t>Proceeds from exercise of stock options</w:t>
            </w:r>
          </w:p>
        </w:tc>
        <w:tc>
          <w:tcPr>
            <w:tcW w:w="300" w:type="dxa"/>
            <w:vAlign w:val="bottom"/>
          </w:tcPr>
          <w:p>
            <w:pPr>
              <w:spacing w:after="0"/>
              <w:rPr>
                <w:sz w:val="19"/>
                <w:szCs w:val="19"/>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4,064</w:t>
            </w: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Dividends paid</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(107,426)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(80,773)</w:t>
            </w:r>
          </w:p>
        </w:tc>
      </w:tr>
      <w:tr>
        <w:trPr>
          <w:trHeight w:val="223"/>
        </w:trPr>
        <w:tc>
          <w:tcPr>
            <w:tcW w:w="8260" w:type="dxa"/>
            <w:vAlign w:val="bottom"/>
          </w:tcPr>
          <w:p>
            <w:pPr>
              <w:ind w:left="340"/>
              <w:spacing w:after="0"/>
              <w:rPr>
                <w:sz w:val="20"/>
                <w:szCs w:val="20"/>
                <w:color w:val="auto"/>
              </w:rPr>
            </w:pPr>
            <w:r>
              <w:rPr>
                <w:rFonts w:ascii="Arial" w:cs="Arial" w:eastAsia="Arial" w:hAnsi="Arial"/>
                <w:sz w:val="16"/>
                <w:szCs w:val="16"/>
                <w:color w:val="auto"/>
              </w:rPr>
              <w:t>Distribution to noncontrolling interest</w:t>
            </w:r>
          </w:p>
        </w:tc>
        <w:tc>
          <w:tcPr>
            <w:tcW w:w="300" w:type="dxa"/>
            <w:vAlign w:val="bottom"/>
          </w:tcPr>
          <w:p>
            <w:pPr>
              <w:spacing w:after="0"/>
              <w:rPr>
                <w:sz w:val="19"/>
                <w:szCs w:val="19"/>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(998)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Payments for financing costs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(10,496)</w:t>
            </w:r>
          </w:p>
        </w:tc>
      </w:tr>
      <w:tr>
        <w:trPr>
          <w:trHeight w:val="20"/>
        </w:trPr>
        <w:tc>
          <w:tcPr>
            <w:tcW w:w="8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1100"/>
        <w:spacing w:after="0"/>
        <w:rPr>
          <w:sz w:val="20"/>
          <w:szCs w:val="20"/>
          <w:color w:val="auto"/>
        </w:rPr>
      </w:pPr>
      <w:r>
        <w:rPr>
          <w:rFonts w:ascii="Arial" w:cs="Arial" w:eastAsia="Arial" w:hAnsi="Arial"/>
          <w:sz w:val="15"/>
          <w:szCs w:val="15"/>
          <w:b w:val="1"/>
          <w:bCs w:val="1"/>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Effect of exchange rate on cash, cash equivalents and restricted cash</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Increase (decrease) in cash, cash equivalents and restricted cash</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8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837,997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(343,109)</w:t>
            </w:r>
          </w:p>
        </w:tc>
      </w:tr>
      <w:tr>
        <w:trPr>
          <w:trHeight w:val="33"/>
        </w:trPr>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3,266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(2,404)</w:t>
            </w:r>
          </w:p>
        </w:tc>
      </w:tr>
      <w:tr>
        <w:trPr>
          <w:trHeight w:val="33"/>
        </w:trPr>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460"/>
        </w:trPr>
        <w:tc>
          <w:tcPr>
            <w:tcW w:w="380" w:type="dxa"/>
            <w:vAlign w:val="bottom"/>
          </w:tcPr>
          <w:p>
            <w:pPr>
              <w:spacing w:after="0"/>
              <w:rPr>
                <w:sz w:val="24"/>
                <w:szCs w:val="24"/>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527,609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(392,530)</w:t>
            </w:r>
          </w:p>
        </w:tc>
      </w:tr>
      <w:tr>
        <w:trPr>
          <w:trHeight w:val="256"/>
        </w:trPr>
        <w:tc>
          <w:tcPr>
            <w:tcW w:w="380" w:type="dxa"/>
            <w:vAlign w:val="bottom"/>
          </w:tcPr>
          <w:p>
            <w:pPr>
              <w:spacing w:after="0"/>
              <w:rPr>
                <w:sz w:val="22"/>
                <w:szCs w:val="22"/>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2,358,292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2,219,323</w:t>
            </w:r>
          </w:p>
        </w:tc>
      </w:tr>
      <w:tr>
        <w:trPr>
          <w:trHeight w:val="33"/>
        </w:trPr>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2,885,901</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1,826,793</w:t>
            </w:r>
          </w:p>
        </w:tc>
      </w:tr>
      <w:tr>
        <w:trPr>
          <w:trHeight w:val="33"/>
        </w:trPr>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40" w:space="720"/>
            <w:col w:w="2980"/>
          </w:cols>
          <w:pgMar w:left="320" w:top="121" w:right="339" w:bottom="1440" w:gutter="0" w:footer="0" w:header="0"/>
          <w:type w:val="continuous"/>
        </w:sectPr>
      </w:pP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Supplemental cash flow disclosures: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600" w:type="dxa"/>
            <w:vAlign w:val="bottom"/>
          </w:tcPr>
          <w:p>
            <w:pPr>
              <w:ind w:left="340"/>
              <w:spacing w:after="0"/>
              <w:rPr>
                <w:sz w:val="20"/>
                <w:szCs w:val="20"/>
                <w:color w:val="auto"/>
              </w:rPr>
            </w:pPr>
            <w:r>
              <w:rPr>
                <w:rFonts w:ascii="Arial" w:cs="Arial" w:eastAsia="Arial" w:hAnsi="Arial"/>
                <w:sz w:val="16"/>
                <w:szCs w:val="16"/>
                <w:color w:val="auto"/>
              </w:rPr>
              <w:t>Cash paid for interest, net of amounts capitalized</w:t>
            </w:r>
          </w:p>
        </w:tc>
        <w:tc>
          <w:tcPr>
            <w:tcW w:w="21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88,438</w:t>
            </w:r>
          </w:p>
        </w:tc>
        <w:tc>
          <w:tcPr>
            <w:tcW w:w="5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71,343</w:t>
            </w:r>
          </w:p>
        </w:tc>
      </w:tr>
      <w:tr>
        <w:trPr>
          <w:trHeight w:val="33"/>
        </w:trPr>
        <w:tc>
          <w:tcPr>
            <w:tcW w:w="66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6"/>
        </w:trPr>
        <w:tc>
          <w:tcPr>
            <w:tcW w:w="6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Liability settled with shares of common stock</w:t>
            </w:r>
          </w:p>
        </w:tc>
        <w:tc>
          <w:tcPr>
            <w:tcW w:w="21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6,720</w:t>
            </w:r>
          </w:p>
        </w:tc>
        <w:tc>
          <w:tcPr>
            <w:tcW w:w="5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15,134</w:t>
            </w:r>
          </w:p>
        </w:tc>
      </w:tr>
      <w:tr>
        <w:trPr>
          <w:trHeight w:val="223"/>
        </w:trPr>
        <w:tc>
          <w:tcPr>
            <w:tcW w:w="6600" w:type="dxa"/>
            <w:vAlign w:val="bottom"/>
          </w:tcPr>
          <w:p>
            <w:pPr>
              <w:ind w:left="340"/>
              <w:spacing w:after="0"/>
              <w:rPr>
                <w:sz w:val="20"/>
                <w:szCs w:val="20"/>
                <w:color w:val="auto"/>
              </w:rPr>
            </w:pPr>
            <w:r>
              <w:rPr>
                <w:rFonts w:ascii="Arial" w:cs="Arial" w:eastAsia="Arial" w:hAnsi="Arial"/>
                <w:sz w:val="16"/>
                <w:szCs w:val="16"/>
                <w:color w:val="auto"/>
              </w:rPr>
              <w:t>Accounts and construction payables related to property and equipment</w:t>
            </w:r>
          </w:p>
        </w:tc>
        <w:tc>
          <w:tcPr>
            <w:tcW w:w="21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127,895</w:t>
            </w:r>
          </w:p>
        </w:tc>
        <w:tc>
          <w:tcPr>
            <w:tcW w:w="5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226,829</w:t>
            </w:r>
          </w:p>
        </w:tc>
      </w:tr>
    </w:tbl>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is a designer, developer, and operator of integrated resorts featuring luxury hotel rooms, high-end retail space, an array of dining and entertainment options, meeting and convention facilities, and gaming.</w:t>
      </w:r>
    </w:p>
    <w:p>
      <w:pPr>
        <w:spacing w:after="0" w:line="21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the Macau Special Administrative Region of the People's Republic of China ("Macau"), the Company owns approximately 72% of Wynn Macau, Limited ("WML"), which includes the operations of the Wynn Palace and Wynn Macau resorts. The Company refers to Wynn Palace and Wynn Macau as its Macau Operations. In Las Vegas, Nevada, the Company operates and, with the exception of certain retail space, owns 100% of Wynn Las Vegas. Additionally, the Company is a 50.1% owner and managing member of a joint venture that owns and leases certain retail space at Wynn Las Vegas (the "Retail Joint Venture"). The Company refers to Wynn Las Vegas and the Retail Joint Venture as its Las Vegas Operations. On June 23, 2019, the Company opened Encore Boston Harbor, an integrated resort in Everett, Massachusetts, that is owned 100% by the Company.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 Related to COVID-19</w:t>
      </w:r>
    </w:p>
    <w:p>
      <w:pPr>
        <w:spacing w:after="0" w:line="252"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As previously disclosed, in January 2020, an outbreak of a new strain of coronavirus, COVID-19 ("COVID-19"), was identified. Since then, COVID-19 has spread around the world, and steps have been taken by various countries, including those in which the Company operates, to advise citizens to avoid non-essential travel, to restrict inbound international travel, to implement closures of non-essential operations, and to implement quarantines and lockdowns to contain the spread of the virus. Currently, no fully effective treatments or vaccines have been developed, and there can be no assurance as to if or when an effective treatment or vaccine will be discovered.</w:t>
      </w:r>
    </w:p>
    <w:p>
      <w:pPr>
        <w:spacing w:after="0" w:line="21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response to the COVID-19 pandemic, the Macau government announced on February 4, 2020 the closure of all casino operations in Macau, including those at Wynn Palace and Wynn Macau, for a period of 15 days. On February 20, 2020, the Company's casino operations at Wynn Palace and Wynn Macau reopened on a reduced basis and have since been fully restored; however, certain health safeguards, such as traveler quarantines, limiting the number of seats per table game, slot machine spacing, temperature checks, mask protection, and health declarations remain in effect at the present time. The Company is currently unable to determine when these measures will be lifted.</w:t>
      </w:r>
    </w:p>
    <w:p>
      <w:pPr>
        <w:spacing w:after="0" w:line="21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Visitation to Macau has fallen meaningfully since the outbreak of COVID-19, driven by the outbreak's strong deterrent effect on travel and social activities, the Chinese government's suspension of its visa and group tour schemes that allow mainland Chinese residents to travel to Macau, quarantine measures, travel and entry restrictions in Macau, Hong Kong and certain cities and regions in mainland China, the suspension of ferry services and other modes of transportation with Macau and regionally, and the ban on entry or enhanced quarantine requirements for any residents of Greater China attempting to enter Macau. Persons who are not residents of Greater China are barred from entry to Macau at this time.</w:t>
      </w:r>
    </w:p>
    <w:p>
      <w:pPr>
        <w:spacing w:after="0" w:line="20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On March 14, 2020, the Massachusetts Gaming Commission temporarily suspended operations at all casinos in Massachusetts, including Encore Boston Harbor. On March 17, 2020, the Nevada government suspended all casino and non-essential operations, including all operations at Wynn Las Vegas. Accordingly, Encore Boston Harbor and Wynn Las Vegas ceased all operations and closed to the public on March 15, 2020 and March 17, 2020, respectively. Both resorts will remain closed until authorized to re-open under U.S. and state government directives. During the first quarter of 2020, the Company committed to pay salary, tips and benefits continuation for all U.S. employees, inclusive of part-time employees, through May 15, 2020. The Company has accrued $75.7 million of expense related to this commitment for the period from April 1 through May 15, 2020 within the accompanying Condensed Consolidated Financial Statements. In May 2020, the Company announced that it had extended its commitment through May 31, 2020.</w:t>
      </w:r>
    </w:p>
    <w:p>
      <w:pPr>
        <w:spacing w:after="0" w:line="19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COVID-19 outbreak has had and will continue to have an adverse effect on the Company's results of operations. Given the uncertainty around the extent and timing of the potential future spread or mitigation of COVID-19 and around the imposition or relaxation of protective measures, management cannot reasonably estimate the impact to the Company's future results of operations, cash flows, or financial condition.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As of March 31, 2020, the Company had total cash and cash equivalents, excluding restricted cash, of $2.88 billion, and had access to $40.9 million and $74.2 million of available borrowing capacity from the WRF Revolving Facility and Wynn Macau Revolving Facility, respectively. In addition, the Company has suspended its quarterly dividend program and has postponed major project capital expenditures. Given the Company's liquidity position at March 31, 2020 and the steps the Company has taken subsequent to March 31, 2020 as further described in Note 6, "Long-Term Debt," the Company believes it is able to support continuing operations and respond to the current COVID-19 pandemic challenges.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52"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U.S. generally accepted accounting principles ("GAAP") have been condensed or omitted pursuant to such rules and regulations, although the Company believes that the disclosures herein are adequate to make the information presented not misleading. In the opinion of management, the accompanying condensed consolidated financial statements reflect all adjustments, which are of a normal recurring nature, necessary to a fair presentation of the results for the interim periods presented. The results for the three months ended March 31, 2020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52"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accompanying condensed consolidated financial statements include the accounts of the Company, its majority-owned subsidiaries and entities the Company identifies as variable interest entities ("VIEs") of which the Company is determined to be the primary beneficiary. For information on the Company's VIEs, see Note 15, "Retail Joint Venture." All significant intercompany accounts and transactions have been eliminated.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5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Accounts receivable, including casino and hotel receivables, are typically non-interest bearing and are recorded at amortized cost. Casino receivables primarily consist of credit issued to patrons in the form of markers and advances paid to gaming promoters. The Company issues credit based on factors such as level of play and financial resources, following background and credit checks. The casino credit extended by the Company is generally unsecured and due on demand. Gaming promoter advances are settled shortly after each month end.</w:t>
      </w:r>
    </w:p>
    <w:p>
      <w:pPr>
        <w:spacing w:after="0" w:line="19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An estimated allowance for credit losses is maintained to reduce the Company's receivables to their carrying amount, which reflects the net amount the Company expects to collect. The allowance estimate reflects specific review of customer accounts and outstanding gaming promoter accounts with a balance over a specified dollar amount, based upon the age of the account, the customer's financial condition as well as management's experience with historical and current collection trends, current economic and business conditions, and management's expectations of future economic and business conditions and forecasts. Accounts are written off when management deems them to be uncollectible. Recoveries of accounts previously written off are recorded when received.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Taxes</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is subject to taxes based on gross gaming revenues in the jurisdictions in which it operates, subject to applicable jurisdictional adjustments. These gaming taxes are recorded as casino expenses in the accompanying Condensed Consolidated Statements of Operations. These taxes totaled $254.0 million and $589.0 million for the three months ended March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Instruments - Credit Losses</w:t>
      </w:r>
    </w:p>
    <w:p>
      <w:pPr>
        <w:spacing w:after="0" w:line="25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FASB issued ASU No. 2016-13, Financial Instruments - Credit Losses (Topic 326) in 2016. The new guidance replaces the incurred loss impairment methodology in current U.S. GAAP with a methodology that reflects expected credit losses and requires consideration of a broader range of reasonable and supportable information to inform credit loss estimates. For trade and other receivables, loans and other financial instruments, the Company is required to use a forward-looking expected loss model rather than the incurred loss model for recognizing credit losses which reflects losses that are probable. The Company adopted the guidance effective January 1, 2020, and this adoption did not have a material effect on its Condensed Consolidated Financial Statements.</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Cloud Computing Arrangement Implementation Costs</w:t>
      </w:r>
    </w:p>
    <w:p>
      <w:pPr>
        <w:spacing w:after="0" w:line="25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August 2018, the FASB issued ASU No. 2018-15, Customer's Accounting for Implementation Costs Incurred in a Cloud Computing Arrangement That Is a Service Contract. The ASU is intended to eliminate potential diversity in practice in accounting for costs incurred to implement cloud computing arrangements that are service contracts by requiring customers in such arrangements to follow internal-use software guidance with respect to such costs, with any resulting deferred implementation costs recognized over the term of the contract in the same income statement line item as the fees associated with the hosting element of the arrangement. The Company adopted the guidance effective January 1, 2020, and this adoption did not have a material effect on its Condensed Consolidated Financial Statements.</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Changes to the Disclosure Requirements for Fair Value Measurement</w:t>
      </w:r>
    </w:p>
    <w:p>
      <w:pPr>
        <w:spacing w:after="0" w:line="252"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 August 2018, the FASB issued ASU No. 2018-13, Fair Value Measurement (Topic 820): Disclosure Framework—Changes to the Disclosure Requirements for Fair Value Measurement. The new guidance amends the disclosure requirements for recurring and nonrecurring fair value measurements by removing, modifying, and adding certain disclosures on fair value measurements in ASC 820.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Company adopted the guidance effective January 1, 2020, and this adoption did not have a material effect on its Condensed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Cash, Cash Equivalents and Restricted Cash</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Cash, cash equivalents and restricted cash consisted of the following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2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3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8260" w:type="dxa"/>
            <w:vAlign w:val="bottom"/>
          </w:tcPr>
          <w:p>
            <w:pPr>
              <w:ind w:left="160"/>
              <w:spacing w:after="0"/>
              <w:rPr>
                <w:sz w:val="20"/>
                <w:szCs w:val="20"/>
                <w:color w:val="auto"/>
              </w:rPr>
            </w:pPr>
            <w:r>
              <w:rPr>
                <w:rFonts w:ascii="Arial" w:cs="Arial" w:eastAsia="Arial" w:hAnsi="Arial"/>
                <w:sz w:val="18"/>
                <w:szCs w:val="18"/>
                <w:color w:val="auto"/>
              </w:rPr>
              <w:t xml:space="preserve">Cash </w:t>
            </w:r>
            <w:r>
              <w:rPr>
                <w:rFonts w:ascii="Arial" w:cs="Arial" w:eastAsia="Arial" w:hAnsi="Arial"/>
                <w:sz w:val="14"/>
                <w:szCs w:val="14"/>
                <w:color w:val="auto"/>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1,722,706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1,265,502</w:t>
            </w:r>
          </w:p>
        </w:tc>
      </w:tr>
      <w:tr>
        <w:trPr>
          <w:trHeight w:val="27"/>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4"/>
                <w:szCs w:val="14"/>
                <w:color w:val="auto"/>
              </w:rPr>
              <w:t>(2)</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1,158,265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1,086,402</w:t>
            </w:r>
          </w:p>
        </w:tc>
      </w:tr>
      <w:tr>
        <w:trPr>
          <w:trHeight w:val="237"/>
        </w:trPr>
        <w:tc>
          <w:tcPr>
            <w:tcW w:w="8260" w:type="dxa"/>
            <w:vAlign w:val="bottom"/>
          </w:tcPr>
          <w:p>
            <w:pPr>
              <w:ind w:left="240"/>
              <w:spacing w:after="0"/>
              <w:rPr>
                <w:sz w:val="20"/>
                <w:szCs w:val="20"/>
                <w:color w:val="auto"/>
              </w:rPr>
            </w:pPr>
            <w:r>
              <w:rPr>
                <w:rFonts w:ascii="Arial" w:cs="Arial" w:eastAsia="Arial" w:hAnsi="Arial"/>
                <w:sz w:val="18"/>
                <w:szCs w:val="18"/>
                <w:b w:val="1"/>
                <w:bCs w:val="1"/>
                <w:color w:val="auto"/>
              </w:rPr>
              <w:t>Total cash and cash equivalents</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2,880,971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2,351,904</w:t>
            </w:r>
          </w:p>
        </w:tc>
      </w:tr>
      <w:tr>
        <w:trPr>
          <w:trHeight w:val="27"/>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4"/>
                <w:szCs w:val="14"/>
                <w:color w:val="auto"/>
              </w:rPr>
              <w:t>(3)</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4,930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6,388</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2,885,901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2,358,292</w:t>
            </w:r>
          </w:p>
        </w:tc>
      </w:tr>
      <w:tr>
        <w:trPr>
          <w:trHeight w:val="27"/>
        </w:trPr>
        <w:tc>
          <w:tcPr>
            <w:tcW w:w="8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Cash consists of cash on hand and bank deposits.</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Cash equivalents consist of bank time deposits and money market funds.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Restricted cash consists of cash collateral associated with obligations and cash held in a trust in accordance with WML's share award plan.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Receivables,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Credit Risk</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Receivables, net consisted of the following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2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4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Casino</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333,487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304,137</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Hotel</w:t>
            </w:r>
          </w:p>
        </w:tc>
        <w:tc>
          <w:tcPr>
            <w:tcW w:w="260" w:type="dxa"/>
            <w:vAlign w:val="bottom"/>
          </w:tcPr>
          <w:p>
            <w:pPr>
              <w:spacing w:after="0"/>
              <w:rPr>
                <w:sz w:val="21"/>
                <w:szCs w:val="21"/>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20,454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22,114</w:t>
            </w:r>
          </w:p>
        </w:tc>
      </w:tr>
      <w:tr>
        <w:trPr>
          <w:trHeight w:val="27"/>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86,801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59,495</w:t>
            </w:r>
          </w:p>
        </w:tc>
      </w:tr>
      <w:tr>
        <w:trPr>
          <w:trHeight w:val="237"/>
        </w:trPr>
        <w:tc>
          <w:tcPr>
            <w:tcW w:w="82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440,742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385,746</w:t>
            </w:r>
          </w:p>
        </w:tc>
      </w:tr>
      <w:tr>
        <w:trPr>
          <w:trHeight w:val="27"/>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allowance for credit losses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(59,971)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(39,317)</w:t>
            </w:r>
          </w:p>
        </w:tc>
      </w:tr>
      <w:tr>
        <w:trPr>
          <w:trHeight w:val="237"/>
        </w:trPr>
        <w:tc>
          <w:tcPr>
            <w:tcW w:w="82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380,771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346,429</w:t>
            </w:r>
          </w:p>
        </w:tc>
      </w:tr>
      <w:tr>
        <w:trPr>
          <w:trHeight w:val="27"/>
        </w:trPr>
        <w:tc>
          <w:tcPr>
            <w:tcW w:w="8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casino receivables. As of March 31, 2020 and December 31, 2019, approximately 82.9% and 79.0%, respectively, of the Company's markers were due from customers residing outside the United States, primarily in Asia. Business or economic conditions or other significant events in the countries in which our customers reside could affect the collectability of such receivables. The Company believes the concentration of its credit risk in casino receivables is mitigated substantially by its credit investigation process, credit policies and collection procedures.</w:t>
      </w:r>
    </w:p>
    <w:p>
      <w:pPr>
        <w:spacing w:after="0" w:line="21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Company’s allowance for casino credit losses was 17.2% and 12.4% of gross casino receivables as of March 31, 2020 and December 31, 2019, respectively. Although the Company believes that its allowance is adequate, it is possible the estimated amounts of cash collections with respect to receivables could change. The Company’s allowance for credit losses from its hotel and other receivables is not material.</w:t>
      </w:r>
    </w:p>
    <w:p>
      <w:pPr>
        <w:spacing w:after="0" w:line="192" w:lineRule="exact"/>
        <w:rPr>
          <w:sz w:val="20"/>
          <w:szCs w:val="20"/>
          <w:color w:val="auto"/>
        </w:rPr>
      </w:pPr>
    </w:p>
    <w:p>
      <w:pPr>
        <w:jc w:val="both"/>
        <w:ind w:firstLine="445"/>
        <w:spacing w:after="0" w:line="276" w:lineRule="auto"/>
        <w:rPr>
          <w:sz w:val="20"/>
          <w:szCs w:val="20"/>
          <w:color w:val="auto"/>
        </w:rPr>
      </w:pPr>
      <w:r>
        <w:rPr>
          <w:rFonts w:ascii="Arial" w:cs="Arial" w:eastAsia="Arial" w:hAnsi="Arial"/>
          <w:sz w:val="18"/>
          <w:szCs w:val="18"/>
          <w:color w:val="auto"/>
        </w:rPr>
        <w:t>The following table shows the movement in the Company's allowance for credit losses recognized for receivables that occurred during the period (in thousands):</w:t>
      </w:r>
    </w:p>
    <w:tbl>
      <w:tblPr>
        <w:tblLayout w:type="fixed"/>
        <w:tblInd w:w="0" w:type="dxa"/>
        <w:tblCellMar>
          <w:top w:w="0" w:type="dxa"/>
          <w:left w:w="0" w:type="dxa"/>
          <w:bottom w:w="0" w:type="dxa"/>
          <w:right w:w="0" w:type="dxa"/>
        </w:tblCellMar>
      </w:tblPr>
      <w:tr>
        <w:trPr>
          <w:trHeight w:val="150"/>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3"/>
          </w:tcPr>
          <w:p>
            <w:pPr>
              <w:jc w:val="center"/>
              <w:ind w:right="380"/>
              <w:spacing w:after="0" w:line="150" w:lineRule="exact"/>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3"/>
                <w:szCs w:val="13"/>
                <w:color w:val="auto"/>
              </w:rPr>
            </w:pPr>
          </w:p>
        </w:tc>
        <w:tc>
          <w:tcPr>
            <w:tcW w:w="1220" w:type="dxa"/>
            <w:vAlign w:val="bottom"/>
          </w:tcPr>
          <w:p>
            <w:pPr>
              <w:jc w:val="center"/>
              <w:ind w:right="114"/>
              <w:spacing w:after="0" w:line="150"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92"/>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4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39,317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32,694</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26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20,613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5,422</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(2,975)</w:t>
            </w:r>
          </w:p>
        </w:tc>
        <w:tc>
          <w:tcPr>
            <w:tcW w:w="0" w:type="dxa"/>
            <w:vAlign w:val="bottom"/>
          </w:tcPr>
          <w:p>
            <w:pPr>
              <w:spacing w:after="0"/>
              <w:rPr>
                <w:sz w:val="1"/>
                <w:szCs w:val="1"/>
                <w:color w:val="auto"/>
              </w:rPr>
            </w:pPr>
          </w:p>
        </w:tc>
      </w:tr>
      <w:tr>
        <w:trPr>
          <w:trHeight w:val="29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w:t>
            </w:r>
          </w:p>
        </w:tc>
        <w:tc>
          <w:tcPr>
            <w:tcW w:w="2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111</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59,971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35,094</w:t>
            </w:r>
          </w:p>
        </w:tc>
        <w:tc>
          <w:tcPr>
            <w:tcW w:w="0" w:type="dxa"/>
            <w:vAlign w:val="bottom"/>
          </w:tcPr>
          <w:p>
            <w:pPr>
              <w:spacing w:after="0"/>
              <w:rPr>
                <w:sz w:val="1"/>
                <w:szCs w:val="1"/>
                <w:color w:val="auto"/>
              </w:rPr>
            </w:pPr>
          </w:p>
        </w:tc>
      </w:tr>
      <w:tr>
        <w:trPr>
          <w:trHeight w:val="27"/>
        </w:trPr>
        <w:tc>
          <w:tcPr>
            <w:tcW w:w="8260" w:type="dxa"/>
            <w:vAlign w:val="bottom"/>
            <w:vMerge w:val="restart"/>
          </w:tcPr>
          <w:p>
            <w:pPr>
              <w:spacing w:after="0"/>
              <w:rPr>
                <w:sz w:val="20"/>
                <w:szCs w:val="20"/>
                <w:color w:val="auto"/>
              </w:rPr>
            </w:pPr>
            <w:r>
              <w:rPr>
                <w:rFonts w:ascii="Arial" w:cs="Arial" w:eastAsia="Arial" w:hAnsi="Arial"/>
                <w:sz w:val="18"/>
                <w:szCs w:val="18"/>
                <w:b w:val="1"/>
                <w:bCs w:val="1"/>
                <w:color w:val="auto"/>
              </w:rPr>
              <w:t>Note 5 - Property and Equipment, net</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6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4"/>
        </w:trPr>
        <w:tc>
          <w:tcPr>
            <w:tcW w:w="8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260" w:type="dxa"/>
            <w:vAlign w:val="bottom"/>
          </w:tcPr>
          <w:p>
            <w:pPr>
              <w:ind w:left="42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8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5"/>
                <w:szCs w:val="15"/>
                <w:color w:val="auto"/>
              </w:rPr>
            </w:pPr>
          </w:p>
        </w:tc>
        <w:tc>
          <w:tcPr>
            <w:tcW w:w="122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9,708,047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9,367,241</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Land and improvements</w:t>
            </w:r>
          </w:p>
        </w:tc>
        <w:tc>
          <w:tcPr>
            <w:tcW w:w="26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1,260,386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1,246,679</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2,983,616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2,932,483</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Airplanes</w:t>
            </w:r>
          </w:p>
        </w:tc>
        <w:tc>
          <w:tcPr>
            <w:tcW w:w="26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110,623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110,623</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158,198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477,333</w:t>
            </w:r>
          </w:p>
        </w:tc>
        <w:tc>
          <w:tcPr>
            <w:tcW w:w="0" w:type="dxa"/>
            <w:vAlign w:val="bottom"/>
          </w:tcPr>
          <w:p>
            <w:pPr>
              <w:spacing w:after="0"/>
              <w:rPr>
                <w:sz w:val="1"/>
                <w:szCs w:val="1"/>
                <w:color w:val="auto"/>
              </w:rPr>
            </w:pPr>
          </w:p>
        </w:tc>
      </w:tr>
      <w:tr>
        <w:trPr>
          <w:trHeight w:val="236"/>
        </w:trPr>
        <w:tc>
          <w:tcPr>
            <w:tcW w:w="82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14,220,870</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14,134,359</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(4,681,463)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(4,510,527)</w:t>
            </w:r>
          </w:p>
        </w:tc>
        <w:tc>
          <w:tcPr>
            <w:tcW w:w="0" w:type="dxa"/>
            <w:vAlign w:val="bottom"/>
          </w:tcPr>
          <w:p>
            <w:pPr>
              <w:spacing w:after="0"/>
              <w:rPr>
                <w:sz w:val="1"/>
                <w:szCs w:val="1"/>
                <w:color w:val="auto"/>
              </w:rPr>
            </w:pPr>
          </w:p>
        </w:tc>
      </w:tr>
      <w:tr>
        <w:trPr>
          <w:trHeight w:val="236"/>
        </w:trPr>
        <w:tc>
          <w:tcPr>
            <w:tcW w:w="82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9,539,407</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9,623,832</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640" w:right="22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Depreciation expense for the three months ended March 31, 2020 and 2019 was $172.3 million and $132.3 million,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Long-Term Debt</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debt consisted of the following (in thousands):</w:t>
      </w:r>
    </w:p>
    <w:p>
      <w:pPr>
        <w:spacing w:after="0" w:line="55" w:lineRule="exact"/>
        <w:rPr>
          <w:sz w:val="20"/>
          <w:szCs w:val="20"/>
          <w:color w:val="auto"/>
        </w:rPr>
      </w:pPr>
    </w:p>
    <w:p>
      <w:pPr>
        <w:jc w:val="right"/>
        <w:ind w:right="300"/>
        <w:spacing w:after="0"/>
        <w:tabs>
          <w:tab w:leader="none" w:pos="820" w:val="left"/>
        </w:tabs>
        <w:rPr>
          <w:sz w:val="20"/>
          <w:szCs w:val="20"/>
          <w:color w:val="auto"/>
        </w:rPr>
      </w:pPr>
      <w:r>
        <w:rPr>
          <w:rFonts w:ascii="Arial" w:cs="Arial" w:eastAsia="Arial" w:hAnsi="Arial"/>
          <w:sz w:val="14"/>
          <w:szCs w:val="14"/>
          <w:b w:val="1"/>
          <w:bCs w:val="1"/>
          <w:color w:val="auto"/>
        </w:rPr>
        <w:t>March 31,</w:t>
      </w:r>
      <w:r>
        <w:rPr>
          <w:sz w:val="20"/>
          <w:szCs w:val="20"/>
          <w:color w:val="auto"/>
        </w:rPr>
        <w:tab/>
      </w:r>
      <w:r>
        <w:rPr>
          <w:rFonts w:ascii="Arial" w:cs="Arial" w:eastAsia="Arial" w:hAnsi="Arial"/>
          <w:sz w:val="12"/>
          <w:szCs w:val="12"/>
          <w:b w:val="1"/>
          <w:bCs w:val="1"/>
          <w:color w:val="auto"/>
        </w:rPr>
        <w:t>December 31,</w:t>
      </w:r>
    </w:p>
    <w:p>
      <w:pPr>
        <w:spacing w:after="0" w:line="4" w:lineRule="exact"/>
        <w:rPr>
          <w:sz w:val="20"/>
          <w:szCs w:val="20"/>
          <w:color w:val="auto"/>
        </w:rPr>
      </w:pPr>
    </w:p>
    <w:p>
      <w:pPr>
        <w:jc w:val="both"/>
        <w:ind w:left="8840"/>
        <w:spacing w:after="0"/>
        <w:tabs>
          <w:tab w:leader="none" w:pos="103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Macau Related:</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Wynn Macau Credit Facilities </w:t>
      </w:r>
      <w:r>
        <w:rPr>
          <w:rFonts w:ascii="Arial" w:cs="Arial" w:eastAsia="Arial" w:hAnsi="Arial"/>
          <w:sz w:val="14"/>
          <w:szCs w:val="14"/>
          <w:color w:val="auto"/>
        </w:rPr>
        <w:t>(1)</w:t>
      </w:r>
      <w:r>
        <w:rPr>
          <w:rFonts w:ascii="Arial" w:cs="Arial" w:eastAsia="Arial" w:hAnsi="Arial"/>
          <w:sz w:val="18"/>
          <w:szCs w:val="18"/>
          <w:color w:val="auto"/>
        </w:rPr>
        <w:t>:</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Wynn Macau Term Loan, due 2022 </w:t>
      </w:r>
      <w:r>
        <w:rPr>
          <w:rFonts w:ascii="Arial" w:cs="Arial" w:eastAsia="Arial" w:hAnsi="Arial"/>
          <w:sz w:val="12"/>
          <w:szCs w:val="12"/>
          <w:color w:val="auto"/>
        </w:rPr>
        <w:t>(2)</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7"/>
          <w:szCs w:val="17"/>
          <w:color w:val="auto"/>
        </w:rPr>
        <w:t xml:space="preserve">Wynn Macau Revolver, due 2022 </w:t>
      </w:r>
      <w:r>
        <w:rPr>
          <w:rFonts w:ascii="Arial" w:cs="Arial" w:eastAsia="Arial" w:hAnsi="Arial"/>
          <w:sz w:val="13"/>
          <w:szCs w:val="13"/>
          <w:color w:val="auto"/>
        </w:rPr>
        <w:t>(3)</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WML 4 7/8% Senior Notes, due 2024</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7"/>
          <w:szCs w:val="17"/>
          <w:color w:val="auto"/>
        </w:rPr>
        <w:t>WML 5 1/2% Senior Notes, due 2027</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7"/>
          <w:szCs w:val="17"/>
          <w:color w:val="auto"/>
        </w:rPr>
        <w:t>WML 5 1/8% Senior Notes, due 2029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2,156,491</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2,302,540</w:t>
            </w:r>
          </w:p>
        </w:tc>
      </w:tr>
      <w:tr>
        <w:trPr>
          <w:trHeight w:val="270"/>
        </w:trPr>
        <w:tc>
          <w:tcPr>
            <w:tcW w:w="320" w:type="dxa"/>
            <w:vAlign w:val="bottom"/>
          </w:tcPr>
          <w:p>
            <w:pPr>
              <w:spacing w:after="0"/>
              <w:rPr>
                <w:sz w:val="23"/>
                <w:szCs w:val="23"/>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676,711</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350,232</w:t>
            </w:r>
          </w:p>
        </w:tc>
      </w:tr>
      <w:tr>
        <w:trPr>
          <w:trHeight w:val="270"/>
        </w:trPr>
        <w:tc>
          <w:tcPr>
            <w:tcW w:w="320" w:type="dxa"/>
            <w:vAlign w:val="bottom"/>
          </w:tcPr>
          <w:p>
            <w:pPr>
              <w:spacing w:after="0"/>
              <w:rPr>
                <w:sz w:val="23"/>
                <w:szCs w:val="23"/>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600,000</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600,000</w:t>
            </w:r>
          </w:p>
        </w:tc>
      </w:tr>
      <w:tr>
        <w:trPr>
          <w:trHeight w:val="270"/>
        </w:trPr>
        <w:tc>
          <w:tcPr>
            <w:tcW w:w="320" w:type="dxa"/>
            <w:vAlign w:val="bottom"/>
          </w:tcPr>
          <w:p>
            <w:pPr>
              <w:spacing w:after="0"/>
              <w:rPr>
                <w:sz w:val="23"/>
                <w:szCs w:val="23"/>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750,000</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750,000</w:t>
            </w:r>
          </w:p>
        </w:tc>
      </w:tr>
      <w:tr>
        <w:trPr>
          <w:trHeight w:val="270"/>
        </w:trPr>
        <w:tc>
          <w:tcPr>
            <w:tcW w:w="320" w:type="dxa"/>
            <w:vAlign w:val="bottom"/>
          </w:tcPr>
          <w:p>
            <w:pPr>
              <w:spacing w:after="0"/>
              <w:rPr>
                <w:sz w:val="23"/>
                <w:szCs w:val="23"/>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1,000,000</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-5252085</wp:posOffset>
            </wp:positionH>
            <wp:positionV relativeFrom="paragraph">
              <wp:posOffset>-839470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-496570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-153670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179705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60" w:space="720"/>
            <w:col w:w="2960"/>
          </w:cols>
          <w:pgMar w:left="320" w:top="122" w:right="339" w:bottom="1440" w:gutter="0" w:footer="0" w:header="0"/>
          <w:type w:val="continuous"/>
        </w:sectPr>
      </w:pP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U.S. and Corporate Related: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 xml:space="preserve">WRF Credit Facilities </w:t>
            </w:r>
            <w:r>
              <w:rPr>
                <w:rFonts w:ascii="Arial" w:cs="Arial" w:eastAsia="Arial" w:hAnsi="Arial"/>
                <w:sz w:val="14"/>
                <w:szCs w:val="14"/>
                <w:color w:val="auto"/>
              </w:rPr>
              <w:t>(4)</w:t>
            </w: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0"/>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WRF Term Loan, due 2024</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975,000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987,500</w:t>
            </w:r>
          </w:p>
        </w:tc>
      </w:tr>
      <w:tr>
        <w:trPr>
          <w:trHeight w:val="243"/>
        </w:trPr>
        <w:tc>
          <w:tcPr>
            <w:tcW w:w="8260" w:type="dxa"/>
            <w:vAlign w:val="bottom"/>
          </w:tcPr>
          <w:p>
            <w:pPr>
              <w:ind w:left="120"/>
              <w:spacing w:after="0"/>
              <w:rPr>
                <w:sz w:val="20"/>
                <w:szCs w:val="20"/>
                <w:color w:val="auto"/>
              </w:rPr>
            </w:pPr>
            <w:r>
              <w:rPr>
                <w:rFonts w:ascii="Arial" w:cs="Arial" w:eastAsia="Arial" w:hAnsi="Arial"/>
                <w:sz w:val="18"/>
                <w:szCs w:val="18"/>
                <w:color w:val="auto"/>
              </w:rPr>
              <w:t>WRF Revolver, due 2024</w:t>
            </w:r>
          </w:p>
        </w:tc>
        <w:tc>
          <w:tcPr>
            <w:tcW w:w="3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791,000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WLV 4 1/4% Senior Notes, due 2023</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500,000</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WLV 5 1/2% Senior Notes, due 2025</w:t>
            </w:r>
          </w:p>
        </w:tc>
        <w:tc>
          <w:tcPr>
            <w:tcW w:w="3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1,780,000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1,780,000</w:t>
            </w: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WLV 5 1/4% Senior Notes, due 2027</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880,000</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WRF 5 1/8% Senior Notes, due 2029</w:t>
            </w:r>
          </w:p>
        </w:tc>
        <w:tc>
          <w:tcPr>
            <w:tcW w:w="3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750,000</w:t>
            </w: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Retail Term Loan, due 2025 </w:t>
            </w:r>
            <w:r>
              <w:rPr>
                <w:rFonts w:ascii="Arial" w:cs="Arial" w:eastAsia="Arial" w:hAnsi="Arial"/>
                <w:sz w:val="14"/>
                <w:szCs w:val="14"/>
                <w:color w:val="auto"/>
              </w:rPr>
              <w:t>(5)</w:t>
            </w: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615,000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615,000</w:t>
            </w:r>
          </w:p>
        </w:tc>
      </w:tr>
      <w:tr>
        <w:trPr>
          <w:trHeight w:val="237"/>
        </w:trPr>
        <w:tc>
          <w:tcPr>
            <w:tcW w:w="8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11,474,202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10,515,272</w:t>
            </w: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 and original issue discounts and premium, net</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(105,157)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(111,413)</w:t>
            </w:r>
          </w:p>
        </w:tc>
      </w:tr>
      <w:tr>
        <w:trPr>
          <w:trHeight w:val="237"/>
        </w:trPr>
        <w:tc>
          <w:tcPr>
            <w:tcW w:w="82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11,369,045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10,403,859</w:t>
            </w: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 of long-term debt</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(235,997)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(323,876)</w:t>
            </w:r>
          </w:p>
        </w:tc>
      </w:tr>
      <w:tr>
        <w:trPr>
          <w:trHeight w:val="26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Total long-term debt, net of current portion</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11,133,048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10,079,983</w:t>
            </w:r>
          </w:p>
        </w:tc>
      </w:tr>
      <w:tr>
        <w:trPr>
          <w:trHeight w:val="20"/>
        </w:trPr>
        <w:tc>
          <w:tcPr>
            <w:tcW w:w="8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borrowings under the Wynn Macau Credit Facilities bear interest at LIBOR or HIBOR plus a margin of 1.50% to 2.25% per annum based on Wynn Resorts Macau S.A.’s leverage ratio.</w:t>
      </w:r>
    </w:p>
    <w:p>
      <w:pPr>
        <w:spacing w:after="0" w:line="24" w:lineRule="exact"/>
        <w:rPr>
          <w:rFonts w:ascii="Arial" w:cs="Arial" w:eastAsia="Arial" w:hAnsi="Arial"/>
          <w:sz w:val="13"/>
          <w:szCs w:val="13"/>
          <w:color w:val="auto"/>
        </w:rPr>
      </w:pPr>
    </w:p>
    <w:p>
      <w:pPr>
        <w:ind w:left="260" w:hanging="252"/>
        <w:spacing w:after="0" w:line="241" w:lineRule="auto"/>
        <w:tabs>
          <w:tab w:leader="none" w:pos="222" w:val="left"/>
        </w:tabs>
        <w:numPr>
          <w:ilvl w:val="0"/>
          <w:numId w:val="4"/>
        </w:numPr>
        <w:rPr>
          <w:rFonts w:ascii="Arial" w:cs="Arial" w:eastAsia="Arial" w:hAnsi="Arial"/>
          <w:sz w:val="14"/>
          <w:szCs w:val="14"/>
          <w:color w:val="auto"/>
        </w:rPr>
      </w:pPr>
      <w:r>
        <w:rPr>
          <w:rFonts w:ascii="Arial" w:cs="Arial" w:eastAsia="Arial" w:hAnsi="Arial"/>
          <w:sz w:val="14"/>
          <w:szCs w:val="14"/>
          <w:color w:val="auto"/>
        </w:rPr>
        <w:t>Approximately $1.22 billion and $936.6 million of the Wynn Macau Term Loan currently bears interest at a rate of LIBOR plus 1.75% per year and HIBOR plus 1.75% per year, respectively. As of March 31, 2020, the weighted average interest rate was approximately 3.20%.</w:t>
      </w:r>
    </w:p>
    <w:p>
      <w:pPr>
        <w:jc w:val="both"/>
        <w:ind w:left="260" w:hanging="252"/>
        <w:spacing w:after="0" w:line="241" w:lineRule="auto"/>
        <w:tabs>
          <w:tab w:leader="none" w:pos="222" w:val="left"/>
        </w:tabs>
        <w:numPr>
          <w:ilvl w:val="0"/>
          <w:numId w:val="4"/>
        </w:numPr>
        <w:rPr>
          <w:rFonts w:ascii="Arial" w:cs="Arial" w:eastAsia="Arial" w:hAnsi="Arial"/>
          <w:sz w:val="14"/>
          <w:szCs w:val="14"/>
          <w:color w:val="auto"/>
        </w:rPr>
      </w:pPr>
      <w:r>
        <w:rPr>
          <w:rFonts w:ascii="Arial" w:cs="Arial" w:eastAsia="Arial" w:hAnsi="Arial"/>
          <w:sz w:val="14"/>
          <w:szCs w:val="14"/>
          <w:color w:val="auto"/>
        </w:rPr>
        <w:t>Approximately $384.8 million and $291.9 million of the Wynn Macau Revolver currently bears interest at a rate of LIBOR plus 1.75% per year and HIBOR plus 1.75% per year, respectively. As of March 31, 2020, the weighted average interest rate was approximately 2.71%. As of March 31, 2020, the available borrowing capacity under the Wynn Macau Revolver was $74.2 million. In April 2020, the Company drew an additional $50.0 million under the Wynn Macau Revolver.</w:t>
      </w:r>
    </w:p>
    <w:p>
      <w:pPr>
        <w:spacing w:after="0" w:line="1" w:lineRule="exact"/>
        <w:rPr>
          <w:rFonts w:ascii="Arial" w:cs="Arial" w:eastAsia="Arial" w:hAnsi="Arial"/>
          <w:sz w:val="14"/>
          <w:szCs w:val="14"/>
          <w:color w:val="auto"/>
        </w:rPr>
      </w:pPr>
    </w:p>
    <w:p>
      <w:pPr>
        <w:jc w:val="both"/>
        <w:ind w:left="260" w:hanging="252"/>
        <w:spacing w:after="0" w:line="241" w:lineRule="auto"/>
        <w:tabs>
          <w:tab w:leader="none" w:pos="235"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WRF Credit Facilities bear interest at a rate of LIBOR plus 1.75% per year. As of March 31, 2020, the weighted average interest rate was approximately 2.68%. Additionally, as of March 31, 2020, the available borrowing capacity under the WRF Revolver was $40.9 million, net of $18.1 million in outstanding letters of credit. In April 2020, the Company drew an additional $25.0 million under the WRF Revolver.</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Retail Term Loan bears interest at a rate of LIBOR plus 1.70% per year. As of March 31, 2020, the interest rate was 3.28%.</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WRF 7 3/4% Senior Notes, due 2025</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April 14, 2020, WRF and its subsidiary Wynn Resorts Capital Corp. (collectively with WRF, the “WRF Issuers”), each an indirect wholly owned subsidiary of the Company, issued $600.0 million aggregate principal amount of 7 3/4% Senior Notes due 2025 (the “2025 WRF Notes”) pursuant to an indenture (the “2025 Indenture”) among the WRF Issuers, the guarantors party thereto, and U.S. Bank National Association, as trustee (the “Trustee”), in a private offering. The 2025 WRF Notes were issued at par.</w:t>
      </w:r>
    </w:p>
    <w:p>
      <w:pPr>
        <w:spacing w:after="0" w:line="21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2025 WRF Notes will mature on April 15, 2025 and bear interest at the rate of 7 3/4% per annum payable in arrears semi-annually on April 15 and October 15 of each year, beginning on October 15, 2020. The WRF Issuers may redeem some or</w:t>
      </w: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all of the 2025 WRF Notes at any time prior to April 15, 2022 at a redemption price equal to 100% of the aggregate principal amount of the 2025 WRF Notes to be redeemed plus a “make-whole” premium and accrued and unpaid interest. In addition, at any time prior to April 15, 2022, the WRF Issuers may, on any one or more occasions, redeem up to 35% of the original aggregate principal amount of the 2025 WRF Notes with the proceeds of one or more equity offerings at a redemption price equal to 107.75% of the aggregate principal amount thereof, plus accrued and unpaid interest, if any, to, but not including, the applicable redemption date. On or after April 15, 2022, the WRF Issuers may redeem some or all of the 2025 WRF Notes at the redemption prices set forth in the 2025 Indenture plus accrued and unpaid interest. In the event of a change of control triggering event, the WRF Issuers must offer to repurchase the 2025 WRF Notes at a repurchase price equal to 101% of the aggregate principal amount thereof plus any accrued and unpaid interest, to, but not including, the repurchase date. The 2025 WRF Notes are subject to disposition and redemption requirements imposed by gaming laws and regulations of applicable gaming regulatory authorities.</w:t>
      </w:r>
    </w:p>
    <w:p>
      <w:pPr>
        <w:spacing w:after="0" w:line="20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2025 WRF Notes are jointly and severally guaranteed by each of WRF’s existing domestic restricted subsidiaries that guarantee indebtedness under the WRF's senior secured credit facilities and the WRF Issuers' existing 5 1/8% senior notes due 2029, including Wynn Las Vegas, LLC and each of its subsidiaries that guarantees its existing senior notes due 2023, 2025 and 2027.</w:t>
      </w:r>
    </w:p>
    <w:p>
      <w:pPr>
        <w:spacing w:after="0" w:line="2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2025 Indenture contains covenants that limit the ability of the WRF Issuers and the guarantors to, among other things, enter into sale-leaseback transactions, create or incur liens to secure debt, and merge, consolidate or sell all or substantially all of the WRF Issuers’ assets. These covenants are subject to exceptions and qualifications set forth in the 2025 Indenture.</w:t>
      </w:r>
    </w:p>
    <w:p>
      <w:pPr>
        <w:spacing w:after="0" w:line="21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2025 Indenture also contains customary events of default, including, but not limited to, failure to make required payments, failure to comply with certain covenants, failure to pay certain other indebtedness, certain events of bankruptcy and insolvency, and failure to pay certain judgments. An event of default under the 2025 Indenture allows either the Trustee or the holders of at least 25% in aggregate principal amount of the 2025 WRF Notes, as applicable, issued under such 2025 Indenture to accelerate the amounts due under the 2025 WRF Notes, or in the case of a bankruptcy or insolvency, will automatically cause the acceleration of the amounts due under the 2025 WRF Notes.</w:t>
      </w:r>
    </w:p>
    <w:p>
      <w:pPr>
        <w:spacing w:after="0" w:line="203"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2025 WRF Notes were offered pursuant to an exemption under the Securities Act of 1933, as amended (the "Securities Act"). The 2025 WRF Notes were offered only to qualified institutional buyers in reliance on Rule 144A under the Securities Act or outside the United States to certain persons in reliance on Regulation S under the Securities Act. The 2025 WRF Notes have not been and will not be registered under the Securities Act or under any state securities laws. Therefore, the WRF 2025 Notes may not be offered or sold within the United States to, or for the account or benefit of, any United States person unless the offer or sale would qualify for a registration exemption from the Securities Act and applicable state securities laws.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WRF Credit Agreement Amendment</w:t>
      </w:r>
    </w:p>
    <w:p>
      <w:pPr>
        <w:spacing w:after="0" w:line="23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April 10, 2020, WRF and certain of its subsidiaries entered into an amendment (the “WRF Credit Agreement Amendment”) to its existing credit agreement (the “WRF Credit Agreement”) among Deutsche Bank AG New York Branch, as administrative agent and collateral agent, and the other lenders party thereto.</w:t>
      </w:r>
    </w:p>
    <w:p>
      <w:pPr>
        <w:spacing w:after="0" w:line="21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WRF Credit Agreement Amendment amends the WRF Credit Agreement to, among other things, implement a financial covenant relief period (the “Financial Covenant Relief Period”) through April 1, 2021 (unless earlier terminated by WRF), implement a financial covenant increase period (the “Financial Covenant Increase Period”) commencing on the first day after the expiration of the Financial Covenant Relief Period and ending on the first day of the fourth fiscal quarter after the expiration of the Financial Covenant Relief Period (unless earlier terminated by WRF), amend the definition of “Consolidated EBITDA” in the WRF Credit Agreement during the Financial Covenant Increase Period, amend WRF’s financial reporting obligations (including extensions to certain deadlines), add certain restrictions on restricted payments (including restrictions on a portion of dividends received from WRF’s subsidiaries) during the Financial Covenant Relief Period and the Financial Covenant Increase Period, and amend the definition of “Material Adverse Effect” in the WRF Credit Agreement to take into consideration COVID-19.</w:t>
      </w:r>
    </w:p>
    <w:p>
      <w:pPr>
        <w:spacing w:after="0" w:line="20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Financial Covenant Relief Period, the existing consolidated first lien net leverage ratio financial covenant will be replaced with a minimum liquidity financial covenant that requires WRF and its restricted subsidiaries to maintain liquidity of at least $300.0 million at all times (with liquidity being the sum of unrestricted operating cash, as defined in the WRF Credit Agreement, and the available borrowing capacity under the WRF Revolver). Following the Financial Covenant Relief Period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for as long as the Financial Covenant Increase Period is in effect, WRF may not permit the consolidated first lien net leverage ratio as of the last day of any fiscal quarter to exceed for the first fiscal quarter of the Financial Covenant Increase Period, 4.50 to 1.00, for the second fiscal quarter of the Financial Covenant Increase Period, 4.25 to 1.00, for the third fiscal quarter of the Financial Covenant Increase Period, 4.00 to 1.00, and for each subsequent fiscal quarter thereafter (including from and including the first fiscal quarter during which the Financial Covenant Increase Period has been terminated by WRF), 3.75 to 1.00.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 Compliance</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2020, management believes the Company was in compliance with all debt covenants.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Long-Term Debt</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estimated fair value of the Company's long-term debt as of March 31, 2020 and December 31, 2019, was approximately $9.96 billion and $10.80 billion, respectively, compared to its carrying value, excluding debt issuance costs and original issue discount and premium, of $11.47 billion and $10.52 billion, respectively. The estimated fair value of the Company's long-term debt is based on recent trades, if available, and indicative pricing from market information (Level 2 inputs).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5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During the first quarter of 2020 and 2019, the Company paid a cash dividend of $1.00 and $0.75 per share, respectively, and recorded $107.5 million and $80.7 million as a reduction of retained earnings from cash dividends declared, respectively.</w:t>
      </w:r>
    </w:p>
    <w:p>
      <w:pPr>
        <w:spacing w:after="0" w:line="1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May 6, 2020, the Company announced that it had suspended its quarterly dividend program due to the financial impact of the COVID-19 pandemic.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25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During the three months ended March 31, 2020, the Retail Joint Venture made aggregate distributions of approximately $1.0 million to its non-controlling interest holder in the normal course of business. During the three months ended March 31, 2019, the Retail Joint Venture did not make any distribution to its non-controlling interest holder. For more information on the Retail Joint Venture, see Note 15, "Retail Joint 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 Measurements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assets and liabilities carried at fair value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center"/>
              <w:ind w:left="823"/>
              <w:spacing w:after="0"/>
              <w:rPr>
                <w:sz w:val="20"/>
                <w:szCs w:val="20"/>
                <w:color w:val="auto"/>
              </w:rPr>
            </w:pPr>
            <w:r>
              <w:rPr>
                <w:rFonts w:ascii="Arial" w:cs="Arial" w:eastAsia="Arial" w:hAnsi="Arial"/>
                <w:sz w:val="14"/>
                <w:szCs w:val="14"/>
                <w:b w:val="1"/>
                <w:bCs w:val="1"/>
                <w:color w:val="auto"/>
                <w:w w:val="93"/>
              </w:rPr>
              <w:t>Fair Value Measurements Using:</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89"/>
              </w:rPr>
              <w:t>Quoted</w:t>
            </w: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Market</w:t>
            </w:r>
          </w:p>
        </w:tc>
        <w:tc>
          <w:tcPr>
            <w:tcW w:w="240" w:type="dxa"/>
            <w:vAlign w:val="bottom"/>
          </w:tcPr>
          <w:p>
            <w:pPr>
              <w:spacing w:after="0"/>
              <w:rPr>
                <w:sz w:val="12"/>
                <w:szCs w:val="12"/>
                <w:color w:val="auto"/>
              </w:rPr>
            </w:pPr>
          </w:p>
        </w:tc>
        <w:tc>
          <w:tcPr>
            <w:tcW w:w="154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6"/>
              </w:rPr>
              <w:t>Other</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Prices in</w:t>
            </w:r>
          </w:p>
        </w:tc>
        <w:tc>
          <w:tcPr>
            <w:tcW w:w="24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18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March 31,</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Active</w:t>
            </w:r>
          </w:p>
        </w:tc>
        <w:tc>
          <w:tcPr>
            <w:tcW w:w="240" w:type="dxa"/>
            <w:vAlign w:val="bottom"/>
          </w:tcPr>
          <w:p>
            <w:pPr>
              <w:spacing w:after="0"/>
              <w:rPr>
                <w:sz w:val="12"/>
                <w:szCs w:val="12"/>
                <w:color w:val="auto"/>
              </w:rPr>
            </w:pPr>
          </w:p>
        </w:tc>
        <w:tc>
          <w:tcPr>
            <w:tcW w:w="15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Markets</w:t>
            </w:r>
          </w:p>
        </w:tc>
        <w:tc>
          <w:tcPr>
            <w:tcW w:w="240" w:type="dxa"/>
            <w:vAlign w:val="bottom"/>
          </w:tcPr>
          <w:p>
            <w:pPr>
              <w:spacing w:after="0"/>
              <w:rPr>
                <w:sz w:val="12"/>
                <w:szCs w:val="12"/>
                <w:color w:val="auto"/>
              </w:rPr>
            </w:pPr>
          </w:p>
        </w:tc>
        <w:tc>
          <w:tcPr>
            <w:tcW w:w="15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Inputs</w:t>
            </w:r>
          </w:p>
        </w:tc>
        <w:tc>
          <w:tcPr>
            <w:tcW w:w="118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(Level 1)</w:t>
            </w:r>
          </w:p>
        </w:tc>
        <w:tc>
          <w:tcPr>
            <w:tcW w:w="240" w:type="dxa"/>
            <w:vAlign w:val="bottom"/>
          </w:tcPr>
          <w:p>
            <w:pPr>
              <w:spacing w:after="0"/>
              <w:rPr>
                <w:sz w:val="16"/>
                <w:szCs w:val="16"/>
                <w:color w:val="auto"/>
              </w:rPr>
            </w:pPr>
          </w:p>
        </w:tc>
        <w:tc>
          <w:tcPr>
            <w:tcW w:w="15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4"/>
              </w:rPr>
              <w:t>(Level 2)</w:t>
            </w:r>
          </w:p>
        </w:tc>
        <w:tc>
          <w:tcPr>
            <w:tcW w:w="118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36"/>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77"/>
              <w:spacing w:after="0"/>
              <w:rPr>
                <w:sz w:val="20"/>
                <w:szCs w:val="20"/>
                <w:color w:val="auto"/>
              </w:rPr>
            </w:pPr>
            <w:r>
              <w:rPr>
                <w:rFonts w:ascii="Arial" w:cs="Arial" w:eastAsia="Arial" w:hAnsi="Arial"/>
                <w:sz w:val="18"/>
                <w:szCs w:val="18"/>
                <w:b w:val="1"/>
                <w:bCs w:val="1"/>
                <w:color w:val="auto"/>
              </w:rPr>
              <w:t>1,158,265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83"/>
              <w:spacing w:after="0"/>
              <w:rPr>
                <w:sz w:val="20"/>
                <w:szCs w:val="20"/>
                <w:color w:val="auto"/>
              </w:rPr>
            </w:pPr>
            <w:r>
              <w:rPr>
                <w:rFonts w:ascii="Arial" w:cs="Arial" w:eastAsia="Arial" w:hAnsi="Arial"/>
                <w:sz w:val="18"/>
                <w:szCs w:val="18"/>
                <w:color w:val="auto"/>
              </w:rPr>
              <w:t>400,839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80"/>
              <w:spacing w:after="0"/>
              <w:rPr>
                <w:sz w:val="20"/>
                <w:szCs w:val="20"/>
                <w:color w:val="auto"/>
              </w:rPr>
            </w:pPr>
            <w:r>
              <w:rPr>
                <w:rFonts w:ascii="Arial" w:cs="Arial" w:eastAsia="Arial" w:hAnsi="Arial"/>
                <w:sz w:val="18"/>
                <w:szCs w:val="18"/>
                <w:color w:val="auto"/>
              </w:rPr>
              <w:t>757,426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4,930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8"/>
                <w:szCs w:val="18"/>
                <w:color w:val="auto"/>
              </w:rPr>
              <w:t>2,053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2,877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Interest rate collar</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77"/>
              <w:spacing w:after="0"/>
              <w:rPr>
                <w:sz w:val="20"/>
                <w:szCs w:val="20"/>
                <w:color w:val="auto"/>
              </w:rPr>
            </w:pPr>
            <w:r>
              <w:rPr>
                <w:rFonts w:ascii="Arial" w:cs="Arial" w:eastAsia="Arial" w:hAnsi="Arial"/>
                <w:sz w:val="18"/>
                <w:szCs w:val="18"/>
                <w:b w:val="1"/>
                <w:bCs w:val="1"/>
                <w:color w:val="auto"/>
              </w:rPr>
              <w:t>19,508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80"/>
              <w:spacing w:after="0"/>
              <w:rPr>
                <w:sz w:val="20"/>
                <w:szCs w:val="20"/>
                <w:color w:val="auto"/>
              </w:rPr>
            </w:pPr>
            <w:r>
              <w:rPr>
                <w:rFonts w:ascii="Arial" w:cs="Arial" w:eastAsia="Arial" w:hAnsi="Arial"/>
                <w:sz w:val="18"/>
                <w:szCs w:val="18"/>
                <w:color w:val="auto"/>
              </w:rPr>
              <w:t>19,508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5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center"/>
              <w:ind w:left="823"/>
              <w:spacing w:after="0"/>
              <w:rPr>
                <w:sz w:val="20"/>
                <w:szCs w:val="20"/>
                <w:color w:val="auto"/>
              </w:rPr>
            </w:pPr>
            <w:r>
              <w:rPr>
                <w:rFonts w:ascii="Arial" w:cs="Arial" w:eastAsia="Arial" w:hAnsi="Arial"/>
                <w:sz w:val="14"/>
                <w:szCs w:val="14"/>
                <w:b w:val="1"/>
                <w:bCs w:val="1"/>
                <w:color w:val="auto"/>
                <w:w w:val="93"/>
              </w:rPr>
              <w:t>Fair Value Measurements Using:</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89"/>
              </w:rPr>
              <w:t>Quoted</w:t>
            </w: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Market</w:t>
            </w:r>
          </w:p>
        </w:tc>
        <w:tc>
          <w:tcPr>
            <w:tcW w:w="240" w:type="dxa"/>
            <w:vAlign w:val="bottom"/>
          </w:tcPr>
          <w:p>
            <w:pPr>
              <w:spacing w:after="0"/>
              <w:rPr>
                <w:sz w:val="12"/>
                <w:szCs w:val="12"/>
                <w:color w:val="auto"/>
              </w:rPr>
            </w:pPr>
          </w:p>
        </w:tc>
        <w:tc>
          <w:tcPr>
            <w:tcW w:w="154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6"/>
              </w:rPr>
              <w:t>Other</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Prices in</w:t>
            </w:r>
          </w:p>
        </w:tc>
        <w:tc>
          <w:tcPr>
            <w:tcW w:w="24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18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Active</w:t>
            </w:r>
          </w:p>
        </w:tc>
        <w:tc>
          <w:tcPr>
            <w:tcW w:w="240" w:type="dxa"/>
            <w:vAlign w:val="bottom"/>
          </w:tcPr>
          <w:p>
            <w:pPr>
              <w:spacing w:after="0"/>
              <w:rPr>
                <w:sz w:val="12"/>
                <w:szCs w:val="12"/>
                <w:color w:val="auto"/>
              </w:rPr>
            </w:pPr>
          </w:p>
        </w:tc>
        <w:tc>
          <w:tcPr>
            <w:tcW w:w="15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Markets</w:t>
            </w:r>
          </w:p>
        </w:tc>
        <w:tc>
          <w:tcPr>
            <w:tcW w:w="240" w:type="dxa"/>
            <w:vAlign w:val="bottom"/>
          </w:tcPr>
          <w:p>
            <w:pPr>
              <w:spacing w:after="0"/>
              <w:rPr>
                <w:sz w:val="12"/>
                <w:szCs w:val="12"/>
                <w:color w:val="auto"/>
              </w:rPr>
            </w:pPr>
          </w:p>
        </w:tc>
        <w:tc>
          <w:tcPr>
            <w:tcW w:w="15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Inputs</w:t>
            </w:r>
          </w:p>
        </w:tc>
        <w:tc>
          <w:tcPr>
            <w:tcW w:w="118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(Level 1)</w:t>
            </w:r>
          </w:p>
        </w:tc>
        <w:tc>
          <w:tcPr>
            <w:tcW w:w="240" w:type="dxa"/>
            <w:vAlign w:val="bottom"/>
          </w:tcPr>
          <w:p>
            <w:pPr>
              <w:spacing w:after="0"/>
              <w:rPr>
                <w:sz w:val="16"/>
                <w:szCs w:val="16"/>
                <w:color w:val="auto"/>
              </w:rPr>
            </w:pPr>
          </w:p>
        </w:tc>
        <w:tc>
          <w:tcPr>
            <w:tcW w:w="15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4"/>
              </w:rPr>
              <w:t>(Level 2)</w:t>
            </w:r>
          </w:p>
        </w:tc>
        <w:tc>
          <w:tcPr>
            <w:tcW w:w="118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36"/>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77"/>
              <w:spacing w:after="0"/>
              <w:rPr>
                <w:sz w:val="20"/>
                <w:szCs w:val="20"/>
                <w:color w:val="auto"/>
              </w:rPr>
            </w:pPr>
            <w:r>
              <w:rPr>
                <w:rFonts w:ascii="Arial" w:cs="Arial" w:eastAsia="Arial" w:hAnsi="Arial"/>
                <w:sz w:val="18"/>
                <w:szCs w:val="18"/>
                <w:b w:val="1"/>
                <w:bCs w:val="1"/>
                <w:color w:val="auto"/>
              </w:rPr>
              <w:t>1,086,402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80"/>
              <w:spacing w:after="0"/>
              <w:rPr>
                <w:sz w:val="20"/>
                <w:szCs w:val="20"/>
                <w:color w:val="auto"/>
              </w:rPr>
            </w:pPr>
            <w:r>
              <w:rPr>
                <w:rFonts w:ascii="Arial" w:cs="Arial" w:eastAsia="Arial" w:hAnsi="Arial"/>
                <w:sz w:val="18"/>
                <w:szCs w:val="18"/>
                <w:color w:val="auto"/>
              </w:rPr>
              <w:t>1,086,402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6,388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8"/>
                <w:szCs w:val="18"/>
                <w:color w:val="auto"/>
              </w:rPr>
              <w:t>2,048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4,340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Interest rate collar</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77"/>
              <w:spacing w:after="0"/>
              <w:rPr>
                <w:sz w:val="20"/>
                <w:szCs w:val="20"/>
                <w:color w:val="auto"/>
              </w:rPr>
            </w:pPr>
            <w:r>
              <w:rPr>
                <w:rFonts w:ascii="Arial" w:cs="Arial" w:eastAsia="Arial" w:hAnsi="Arial"/>
                <w:sz w:val="18"/>
                <w:szCs w:val="18"/>
                <w:b w:val="1"/>
                <w:bCs w:val="1"/>
                <w:color w:val="auto"/>
              </w:rPr>
              <w:t>3,847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80"/>
              <w:spacing w:after="0"/>
              <w:rPr>
                <w:sz w:val="20"/>
                <w:szCs w:val="20"/>
                <w:color w:val="auto"/>
              </w:rPr>
            </w:pPr>
            <w:r>
              <w:rPr>
                <w:rFonts w:ascii="Arial" w:cs="Arial" w:eastAsia="Arial" w:hAnsi="Arial"/>
                <w:sz w:val="18"/>
                <w:szCs w:val="18"/>
                <w:color w:val="auto"/>
              </w:rPr>
              <w:t>3,847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Customer Contract Liabilities</w:t>
      </w:r>
    </w:p>
    <w:p>
      <w:pPr>
        <w:spacing w:after="0" w:line="25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 providing goods and services to its customers, there is often a timing difference between the Company receiving cash and the Company recording revenue for providing services or holding events.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primary liabilities associated with customer contracts are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 2019</w:t>
            </w:r>
          </w:p>
        </w:tc>
        <w:tc>
          <w:tcPr>
            <w:tcW w:w="14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920" w:type="dxa"/>
            <w:vAlign w:val="bottom"/>
          </w:tcPr>
          <w:p>
            <w:pPr>
              <w:jc w:val="right"/>
              <w:ind w:right="195"/>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(decrease)</w:t>
            </w: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5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55"/>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161"/>
        </w:trPr>
        <w:tc>
          <w:tcPr>
            <w:tcW w:w="3740" w:type="dxa"/>
            <w:vAlign w:val="bottom"/>
            <w:tcBorders>
              <w:top w:val="single" w:sz="8" w:color="CCEEFF"/>
            </w:tcBorders>
            <w:shd w:val="clear" w:color="auto" w:fill="CCEEFF"/>
          </w:tcPr>
          <w:p>
            <w:pPr>
              <w:ind w:left="20"/>
              <w:spacing w:after="0" w:line="162" w:lineRule="exact"/>
              <w:rPr>
                <w:sz w:val="20"/>
                <w:szCs w:val="20"/>
                <w:color w:val="auto"/>
              </w:rPr>
            </w:pPr>
            <w:r>
              <w:rPr>
                <w:rFonts w:ascii="Arial" w:cs="Arial" w:eastAsia="Arial" w:hAnsi="Arial"/>
                <w:sz w:val="18"/>
                <w:szCs w:val="18"/>
                <w:color w:val="auto"/>
                <w:w w:val="90"/>
              </w:rPr>
              <w:t>Casino outstanding chips and front money deposits</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857,233</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shd w:val="clear" w:color="auto" w:fill="CCEEFF"/>
          </w:tcPr>
          <w:p>
            <w:pPr>
              <w:jc w:val="right"/>
              <w:ind w:right="75"/>
              <w:spacing w:after="0"/>
              <w:rPr>
                <w:sz w:val="20"/>
                <w:szCs w:val="20"/>
                <w:color w:val="auto"/>
              </w:rPr>
            </w:pPr>
            <w:r>
              <w:rPr>
                <w:rFonts w:ascii="Arial" w:cs="Arial" w:eastAsia="Arial" w:hAnsi="Arial"/>
                <w:sz w:val="18"/>
                <w:szCs w:val="18"/>
                <w:color w:val="auto"/>
              </w:rPr>
              <w:t>769,053</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shd w:val="clear" w:color="auto" w:fill="CCEEFF"/>
          </w:tcPr>
          <w:p>
            <w:pPr>
              <w:jc w:val="right"/>
              <w:ind w:right="75"/>
              <w:spacing w:after="0"/>
              <w:rPr>
                <w:sz w:val="20"/>
                <w:szCs w:val="20"/>
                <w:color w:val="auto"/>
              </w:rPr>
            </w:pPr>
            <w:r>
              <w:rPr>
                <w:rFonts w:ascii="Arial" w:cs="Arial" w:eastAsia="Arial" w:hAnsi="Arial"/>
                <w:sz w:val="18"/>
                <w:szCs w:val="18"/>
                <w:color w:val="auto"/>
              </w:rPr>
              <w:t>88,180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863,160</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shd w:val="clear" w:color="auto" w:fill="CCEEFF"/>
          </w:tcPr>
          <w:p>
            <w:pPr>
              <w:jc w:val="right"/>
              <w:ind w:right="75"/>
              <w:spacing w:after="0"/>
              <w:rPr>
                <w:sz w:val="20"/>
                <w:szCs w:val="20"/>
                <w:color w:val="auto"/>
              </w:rPr>
            </w:pPr>
            <w:r>
              <w:rPr>
                <w:rFonts w:ascii="Arial" w:cs="Arial" w:eastAsia="Arial" w:hAnsi="Arial"/>
                <w:sz w:val="18"/>
                <w:szCs w:val="18"/>
                <w:color w:val="auto"/>
              </w:rPr>
              <w:t>905,561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(42,401)</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w:t>
            </w:r>
          </w:p>
        </w:tc>
        <w:tc>
          <w:tcPr>
            <w:tcW w:w="120" w:type="dxa"/>
            <w:vAlign w:val="bottom"/>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 xml:space="preserve">Advance room deposits and ticket sales </w:t>
            </w: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29,293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49,834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(20,541)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47,128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42,197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75"/>
              <w:spacing w:after="0"/>
              <w:rPr>
                <w:sz w:val="20"/>
                <w:szCs w:val="20"/>
                <w:color w:val="auto"/>
              </w:rPr>
            </w:pPr>
            <w:r>
              <w:rPr>
                <w:rFonts w:ascii="Arial" w:cs="Arial" w:eastAsia="Arial" w:hAnsi="Arial"/>
                <w:sz w:val="18"/>
                <w:szCs w:val="18"/>
                <w:color w:val="auto"/>
              </w:rPr>
              <w:t>4,931</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Other gaming-related liabilities </w:t>
            </w: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5,485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13,970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7,904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12,694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(4,790)</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 xml:space="preserve">Loyalty program and related liabilities </w:t>
            </w: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20,397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21,148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16,504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18,148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7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912,408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854,005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58,403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934,696</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978,600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(43,904)</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260" w:hanging="252"/>
        <w:spacing w:after="0" w:line="247" w:lineRule="auto"/>
        <w:tabs>
          <w:tab w:leader="none" w:pos="229" w:val="left"/>
        </w:tabs>
        <w:numPr>
          <w:ilvl w:val="0"/>
          <w:numId w:val="5"/>
        </w:numPr>
        <w:rPr>
          <w:rFonts w:ascii="Arial" w:cs="Arial" w:eastAsia="Arial" w:hAnsi="Arial"/>
          <w:sz w:val="14"/>
          <w:szCs w:val="14"/>
          <w:color w:val="auto"/>
        </w:rPr>
      </w:pPr>
      <w:r>
        <w:rPr>
          <w:rFonts w:ascii="Arial" w:cs="Arial" w:eastAsia="Arial" w:hAnsi="Arial"/>
          <w:sz w:val="14"/>
          <w:szCs w:val="14"/>
          <w:color w:val="auto"/>
        </w:rPr>
        <w:t>Casino outstanding chips generally represent amounts owed to gaming promoters and customers for chips in their possession, and casino front money deposits represent funds deposited by customers before gaming play occurs. These amounts are included in customer deposits on the Condensed Consolidated Balance Sheets and may be recognized as revenue or redeemed for cash in the future.</w:t>
      </w:r>
    </w:p>
    <w:p>
      <w:pPr>
        <w:jc w:val="both"/>
        <w:ind w:left="260" w:hanging="252"/>
        <w:spacing w:after="0" w:line="260" w:lineRule="auto"/>
        <w:tabs>
          <w:tab w:leader="none" w:pos="234" w:val="left"/>
        </w:tabs>
        <w:numPr>
          <w:ilvl w:val="0"/>
          <w:numId w:val="5"/>
        </w:numPr>
        <w:rPr>
          <w:rFonts w:ascii="Arial" w:cs="Arial" w:eastAsia="Arial" w:hAnsi="Arial"/>
          <w:sz w:val="13"/>
          <w:szCs w:val="13"/>
          <w:color w:val="auto"/>
        </w:rPr>
      </w:pPr>
      <w:r>
        <w:rPr>
          <w:rFonts w:ascii="Arial" w:cs="Arial" w:eastAsia="Arial" w:hAnsi="Arial"/>
          <w:sz w:val="13"/>
          <w:szCs w:val="13"/>
          <w:color w:val="auto"/>
        </w:rPr>
        <w:t>Advance room deposits and ticket sales represent cash received in advance for goods or services to be provided in the future. These amounts are included in customer deposits on the Condensed Consolidated Balance Sheets and will be recognized as revenue when the goods or services are provided or the events are held. Decreases in this balance generally represent the recognition of revenue and increases in the balance represent additional deposits made by customers. The deposits are expected to primarily be recognized as revenue within one year.</w:t>
      </w:r>
    </w:p>
    <w:p>
      <w:pPr>
        <w:ind w:left="260" w:hanging="252"/>
        <w:spacing w:after="0" w:line="241" w:lineRule="auto"/>
        <w:tabs>
          <w:tab w:leader="none" w:pos="221" w:val="left"/>
        </w:tabs>
        <w:numPr>
          <w:ilvl w:val="0"/>
          <w:numId w:val="5"/>
        </w:numPr>
        <w:rPr>
          <w:rFonts w:ascii="Arial" w:cs="Arial" w:eastAsia="Arial" w:hAnsi="Arial"/>
          <w:sz w:val="14"/>
          <w:szCs w:val="14"/>
          <w:color w:val="auto"/>
        </w:rPr>
      </w:pPr>
      <w:r>
        <w:rPr>
          <w:rFonts w:ascii="Arial" w:cs="Arial" w:eastAsia="Arial" w:hAnsi="Arial"/>
          <w:sz w:val="14"/>
          <w:szCs w:val="14"/>
          <w:color w:val="auto"/>
        </w:rPr>
        <w:t>Other gaming-related liabilities generally represent unpaid wagers primarily in the form of unredeemed slot, race and sportsbook tickets or wagers for future sporting events. The amounts are included in other accrued liabilities on the Condensed Consolidated Balance Sheets.</w:t>
      </w:r>
    </w:p>
    <w:p>
      <w:pPr>
        <w:ind w:left="260" w:right="20" w:hanging="252"/>
        <w:spacing w:after="0" w:line="255" w:lineRule="auto"/>
        <w:tabs>
          <w:tab w:leader="none" w:pos="221" w:val="left"/>
        </w:tabs>
        <w:numPr>
          <w:ilvl w:val="0"/>
          <w:numId w:val="5"/>
        </w:numPr>
        <w:rPr>
          <w:rFonts w:ascii="Arial" w:cs="Arial" w:eastAsia="Arial" w:hAnsi="Arial"/>
          <w:sz w:val="14"/>
          <w:szCs w:val="14"/>
          <w:color w:val="auto"/>
        </w:rPr>
      </w:pPr>
      <w:r>
        <w:rPr>
          <w:rFonts w:ascii="Arial" w:cs="Arial" w:eastAsia="Arial" w:hAnsi="Arial"/>
          <w:sz w:val="14"/>
          <w:szCs w:val="14"/>
          <w:color w:val="auto"/>
        </w:rPr>
        <w:t>Loyalty program and related liabilities represent the deferral of revenue until the loyalty points or other complimentaries are redeemed. The amounts are included in other accrued liabilities on the Condensed Consolidated Balance Sheets and are expected to be recognized as revenue within one year of being earned by customers.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Stock-Based Compensation</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total compensation cost for stock-based compensation plans was recorded as follows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980" w:type="dxa"/>
            <w:vAlign w:val="bottom"/>
            <w:tcBorders>
              <w:bottom w:val="single" w:sz="8" w:color="auto"/>
            </w:tcBorders>
            <w:gridSpan w:val="5"/>
          </w:tcPr>
          <w:p>
            <w:pPr>
              <w:jc w:val="right"/>
              <w:ind w:right="412"/>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26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Casino </w:t>
            </w:r>
            <w:r>
              <w:rPr>
                <w:rFonts w:ascii="Arial" w:cs="Arial" w:eastAsia="Arial" w:hAnsi="Arial"/>
                <w:sz w:val="14"/>
                <w:szCs w:val="14"/>
                <w:color w:val="auto"/>
              </w:rPr>
              <w:t>(1)</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2,584</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Rooms</w:t>
            </w:r>
          </w:p>
        </w:tc>
        <w:tc>
          <w:tcPr>
            <w:tcW w:w="88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218</w:t>
            </w:r>
          </w:p>
        </w:tc>
      </w:tr>
      <w:tr>
        <w:trPr>
          <w:trHeight w:val="27"/>
        </w:trPr>
        <w:tc>
          <w:tcPr>
            <w:tcW w:w="8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Food and beverage</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332</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Entertainment, retail and other</w:t>
            </w:r>
          </w:p>
        </w:tc>
        <w:tc>
          <w:tcPr>
            <w:tcW w:w="88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44</w:t>
            </w:r>
          </w:p>
        </w:tc>
      </w:tr>
      <w:tr>
        <w:trPr>
          <w:trHeight w:val="27"/>
        </w:trPr>
        <w:tc>
          <w:tcPr>
            <w:tcW w:w="8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4"/>
              </w:rPr>
              <w:t>9,201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6,830</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Pre-opening</w:t>
            </w:r>
          </w:p>
        </w:tc>
        <w:tc>
          <w:tcPr>
            <w:tcW w:w="880" w:type="dxa"/>
            <w:vAlign w:val="bottom"/>
          </w:tcPr>
          <w:p>
            <w:pPr>
              <w:spacing w:after="0"/>
              <w:rPr>
                <w:sz w:val="21"/>
                <w:szCs w:val="21"/>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330</w:t>
            </w:r>
          </w:p>
        </w:tc>
      </w:tr>
      <w:tr>
        <w:trPr>
          <w:trHeight w:val="27"/>
        </w:trPr>
        <w:tc>
          <w:tcPr>
            <w:tcW w:w="82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stock-based compensation expense</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84"/>
              </w:rPr>
              <w:t>9,364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10,338</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Total stock-based compensation capitalized</w:t>
            </w:r>
          </w:p>
        </w:tc>
        <w:tc>
          <w:tcPr>
            <w:tcW w:w="88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64</w:t>
            </w:r>
          </w:p>
        </w:tc>
      </w:tr>
      <w:tr>
        <w:trPr>
          <w:trHeight w:val="27"/>
        </w:trPr>
        <w:tc>
          <w:tcPr>
            <w:tcW w:w="82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stock-based compensation costs</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84"/>
              </w:rPr>
              <w:t>9,581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10,402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60" w:hanging="252"/>
        <w:spacing w:after="0" w:line="273" w:lineRule="auto"/>
        <w:tabs>
          <w:tab w:leader="none" w:pos="234"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the three months ended March 31, 2020, reflects the reversal of $3.3 million of compensation cost previously recognized for awards forfeited in connection with the departure of an employee.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recorded an income tax expense of $75.8 million and $1.7 million for the three months ended March 31, 2020 and 2019,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2020 and 2019 income tax expense primarily related to the increase in the valuation allowance for U.S foreign tax credits.</w:t>
      </w:r>
    </w:p>
    <w:p>
      <w:pPr>
        <w:spacing w:after="0" w:line="23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Company records valuation allowances on certain of its U.S. and foreign deferred tax assets. In assessing the need for a valuation allowance, the Company considers whether it is more likely than not that the deferred tax assets will be realized. The ultimate realization of deferred tax assets is dependent upon the generation of future taxable income. In the assessment of the valuation allowance, appropriate consideration is given to all positive and negative evidence including recent operating profitability, forecast of future earnings and the duration of statutory carryforward periods.</w:t>
      </w:r>
    </w:p>
    <w:p>
      <w:pPr>
        <w:spacing w:after="0" w:line="18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Wynn Macau SA received a five year exemption from Macau's 12% Complementary Tax on casino gaming profits through December 31, 2020. Accordingly, for the three months ended March 31, 2019, the Company was exempt from the payment of such taxes totaling $22.8 million. For the three months ended March 31, 2020, the Company did not have any casino gaming profits exempt from the Macau Complementary Tax. The Company's non-gaming profits remain subject to the Macau Complementary Tax and its casino winnings remain subject to the Macau special gaming tax and other levies in accordance with its concession agreement.</w:t>
      </w:r>
    </w:p>
    <w:p>
      <w:pPr>
        <w:spacing w:after="0" w:line="21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April 2020, Wynn Macau SA received an extension of the exemption from Macau’s 12% Complementary Tax on casino gaming profits earned from January 1, 2021 to June 26, 2022, the expiration date of the gaming concession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Per Share</w:t>
      </w:r>
    </w:p>
    <w:p>
      <w:pPr>
        <w:spacing w:after="0" w:line="256"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Basic earnings per share ("EPS") is computed by dividing net income (loss) attributable to Wynn Resorts by the weighted average number of common shares outstanding during the period. Diluted EPS is computed by dividing net income attributable to Wynn Resorts by the weighted average number of common shares outstanding during the period increased to include the number of additional shares of common stock that would have been outstanding if the potential dilutive securities had been issued. Potentially dilutive securities include outstanding stock options and unvested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(in thousands, except per share amounts):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220"/>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b w:val="1"/>
                <w:bCs w:val="1"/>
                <w:color w:val="auto"/>
              </w:rPr>
              <w:t>(402,037)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b w:val="1"/>
                <w:bCs w:val="1"/>
                <w:color w:val="auto"/>
              </w:rPr>
              <w:t>104,872</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106,663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106,792</w:t>
            </w:r>
          </w:p>
        </w:tc>
        <w:tc>
          <w:tcPr>
            <w:tcW w:w="0" w:type="dxa"/>
            <w:vAlign w:val="bottom"/>
          </w:tcPr>
          <w:p>
            <w:pPr>
              <w:spacing w:after="0"/>
              <w:rPr>
                <w:sz w:val="1"/>
                <w:szCs w:val="1"/>
                <w:color w:val="auto"/>
              </w:rPr>
            </w:pPr>
          </w:p>
        </w:tc>
      </w:tr>
      <w:tr>
        <w:trPr>
          <w:trHeight w:val="243"/>
        </w:trPr>
        <w:tc>
          <w:tcPr>
            <w:tcW w:w="8260" w:type="dxa"/>
            <w:vAlign w:val="bottom"/>
          </w:tcPr>
          <w:p>
            <w:pPr>
              <w:ind w:left="220"/>
              <w:spacing w:after="0"/>
              <w:rPr>
                <w:sz w:val="20"/>
                <w:szCs w:val="20"/>
                <w:color w:val="auto"/>
              </w:rPr>
            </w:pPr>
            <w:r>
              <w:rPr>
                <w:rFonts w:ascii="Arial" w:cs="Arial" w:eastAsia="Arial" w:hAnsi="Arial"/>
                <w:sz w:val="18"/>
                <w:szCs w:val="18"/>
                <w:color w:val="auto"/>
              </w:rPr>
              <w:t>Potential dilutive effect of stock options, nonvested, and performance nonvested shares</w:t>
            </w:r>
          </w:p>
        </w:tc>
        <w:tc>
          <w:tcPr>
            <w:tcW w:w="32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Weighted average common and common equivalent shares outstanding</w:t>
            </w:r>
          </w:p>
        </w:tc>
        <w:tc>
          <w:tcPr>
            <w:tcW w:w="3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106,663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107,073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 (loss) attributable to Wynn Resorts, Limited per common share, 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Net income (loss) attributable to Wynn Resorts, Limited per common share, 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60" w:type="dxa"/>
            <w:vAlign w:val="bottom"/>
            <w:vMerge w:val="continue"/>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20"/>
              <w:spacing w:after="0"/>
              <w:rPr>
                <w:sz w:val="20"/>
                <w:szCs w:val="20"/>
                <w:color w:val="auto"/>
              </w:rPr>
            </w:pPr>
            <w:r>
              <w:rPr>
                <w:rFonts w:ascii="Arial" w:cs="Arial" w:eastAsia="Arial" w:hAnsi="Arial"/>
                <w:sz w:val="18"/>
                <w:szCs w:val="18"/>
                <w:color w:val="auto"/>
                <w:w w:val="94"/>
              </w:rPr>
              <w:t>Anti-dilutive stock options, nonvested, and performance nonvested shares excluded from the calculation of</w:t>
            </w:r>
          </w:p>
        </w:tc>
        <w:tc>
          <w:tcPr>
            <w:tcW w:w="320" w:type="dxa"/>
            <w:vAlign w:val="bottom"/>
          </w:tcPr>
          <w:p>
            <w:pPr>
              <w:spacing w:after="0"/>
              <w:rPr>
                <w:sz w:val="19"/>
                <w:szCs w:val="19"/>
                <w:color w:val="auto"/>
              </w:rPr>
            </w:pPr>
          </w:p>
        </w:tc>
        <w:tc>
          <w:tcPr>
            <w:tcW w:w="1120" w:type="dxa"/>
            <w:vAlign w:val="bottom"/>
            <w:vMerge w:val="restart"/>
          </w:tcPr>
          <w:p>
            <w:pPr>
              <w:jc w:val="right"/>
              <w:ind w:right="74"/>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restart"/>
          </w:tcPr>
          <w:p>
            <w:pPr>
              <w:jc w:val="right"/>
              <w:ind w:right="72"/>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diluted net income per share</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Leases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Arrangements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minimum and contingent operating lease income for the periods presented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2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4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Minimum 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31,650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32,708</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Contingent rental income</w:t>
            </w:r>
          </w:p>
        </w:tc>
        <w:tc>
          <w:tcPr>
            <w:tcW w:w="320" w:type="dxa"/>
            <w:vAlign w:val="bottom"/>
          </w:tcPr>
          <w:p>
            <w:pPr>
              <w:spacing w:after="0"/>
              <w:rPr>
                <w:sz w:val="21"/>
                <w:szCs w:val="21"/>
                <w:color w:val="auto"/>
              </w:rPr>
            </w:pPr>
          </w:p>
        </w:tc>
        <w:tc>
          <w:tcPr>
            <w:tcW w:w="1120" w:type="dxa"/>
            <w:vAlign w:val="bottom"/>
          </w:tcPr>
          <w:p>
            <w:pPr>
              <w:jc w:val="right"/>
              <w:ind w:right="77"/>
              <w:spacing w:after="0"/>
              <w:rPr>
                <w:sz w:val="20"/>
                <w:szCs w:val="20"/>
                <w:color w:val="auto"/>
              </w:rPr>
            </w:pPr>
            <w:r>
              <w:rPr>
                <w:rFonts w:ascii="Arial" w:cs="Arial" w:eastAsia="Arial" w:hAnsi="Arial"/>
                <w:sz w:val="18"/>
                <w:szCs w:val="18"/>
                <w:color w:val="auto"/>
              </w:rPr>
              <w:t>6,679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14,971</w:t>
            </w:r>
          </w:p>
        </w:tc>
      </w:tr>
      <w:tr>
        <w:trPr>
          <w:trHeight w:val="27"/>
        </w:trPr>
        <w:tc>
          <w:tcPr>
            <w:tcW w:w="8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rental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38,329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47,679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52"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and cash flows.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Massachusetts Gaming License Related Actions</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September 17, 2014, the Massachusetts Gaming Commission ("MGC") designated Wynn MA the award winner of the Greater Boston (Region A) gaming license (the "Boston area license"). On November 7, 2014, the gaming license became effective.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Revere Action</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October 16, 2014, the City of Revere, the host community to the unsuccessful bidder for the Boston area license, the International Brotherhood of Electrical Workers, Local 103, and several individuals, filed a complaint against the MGC and its gaming commissioners in Suffolk Superior Court in Boston, Massachusetts (the "Revere Action"). Mohegan Sun ("Mohegan") the other applicant for the Boston area license, joined the lawsuit and challenged the MGC's award of the Boston area license. On December 3, 2015, the court granted the MGC's motion to dismiss the claims asserted in the Revere Action and the court</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dismissed all claims except Mohegan's claim alleging procedural error by the MGC in granting the license to Wynn MA. The plaintiffs appealed. After multiple appeals and cross appeals, only two claims remained: (1) individual plaintiffs' claim for violation of the open meeting laws; and (2) Mohegan's claim for procedural error. On July 12, 2019, the Suffolk Superior Court granted the MGC's motion for summary judgment and dismissed the open meeting law claim, leaving only Mohegan's procedural claim.</w:t>
      </w:r>
    </w:p>
    <w:p>
      <w:pPr>
        <w:spacing w:after="0" w:line="214"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On August 2, 2019, Mohegan filed a motion to file a second amended complaint, to add new claims related to the MGC's allegedly inadequate 2013 investigation. On October 15, 2019, the court granted Mohegan's motion to amend and allowed it to file a second amended intervenor's complaint.</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Wynn MA was not named in the Revere Action.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Litigation</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 number of stockholder derivative actions have been filed in state and federal court located in Clark County, Nevada against certain current and former members of the Company's Board of Directors and, in some cases, the Company's current and former officers. Each of the complaints alleges, among other things, breach of fiduciary duties in failing to detect, prevent and remedy alleged inappropriate personal conduct by Stephen A. Wynn in the workplace. On September 19, 2018, the Board established a Special Litigation Committee (the "SLC") to investigate the allegations in the State Derivative Case (as defined below).</w:t>
      </w:r>
    </w:p>
    <w:p>
      <w:pPr>
        <w:spacing w:after="0" w:line="215"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 xml:space="preserve">The actions filed in the Eighth Judicial District Court of Clark County, Nevada were consolidated as </w:t>
      </w:r>
      <w:r>
        <w:rPr>
          <w:rFonts w:ascii="Arial" w:cs="Arial" w:eastAsia="Arial" w:hAnsi="Arial"/>
          <w:sz w:val="18"/>
          <w:szCs w:val="18"/>
          <w:i w:val="1"/>
          <w:iCs w:val="1"/>
          <w:color w:val="auto"/>
        </w:rPr>
        <w:t>In re Wynn Resorts, Ltd. Derivative Litigation</w:t>
      </w:r>
      <w:r>
        <w:rPr>
          <w:rFonts w:ascii="Arial" w:cs="Arial" w:eastAsia="Arial" w:hAnsi="Arial"/>
          <w:sz w:val="18"/>
          <w:szCs w:val="18"/>
          <w:color w:val="auto"/>
        </w:rPr>
        <w:t xml:space="preserve"> ("State Derivative Case"). On October 26, 2018, the SLC filed a motion to intervene and stay the State Derivative Case pending completion of its investigation, which the court granted.</w:t>
      </w:r>
    </w:p>
    <w:p>
      <w:pPr>
        <w:spacing w:after="0" w:line="209" w:lineRule="exact"/>
        <w:rPr>
          <w:sz w:val="20"/>
          <w:szCs w:val="20"/>
          <w:color w:val="auto"/>
        </w:rPr>
      </w:pPr>
    </w:p>
    <w:p>
      <w:pPr>
        <w:jc w:val="both"/>
        <w:ind w:firstLine="405"/>
        <w:spacing w:after="0" w:line="238" w:lineRule="auto"/>
        <w:rPr>
          <w:sz w:val="20"/>
          <w:szCs w:val="20"/>
          <w:color w:val="auto"/>
        </w:rPr>
      </w:pPr>
      <w:r>
        <w:rPr>
          <w:rFonts w:ascii="Arial" w:cs="Arial" w:eastAsia="Arial" w:hAnsi="Arial"/>
          <w:sz w:val="18"/>
          <w:szCs w:val="18"/>
          <w:color w:val="auto"/>
        </w:rPr>
        <w:t>On June 3, 2019, a separate stockholder derivative action was filed in the Eighth Judicial District Court of Clark County, Nevada alleging substantially similar causes of action as the State Derivative Case with the additional allegation that various of the Company's attorneys committed professional malpractice, and certain current and former executives also breached fiduciary duties and aided and abetted the breach of fiduciary duties, in connection with the alleged inappropriate personal conduct by Stephen A. Wynn in the workplace. On July 26, 2019, the plaintiff voluntarily dismissed Matt Maddox, Stephen A. Wynn, Kimmarie Sinatra, John J. Hagenbuch, Ray R. Irani, Jay L. Johnson, Robert J. Miller, Patricia Mulroy, Clark T. Randt, Jr., Alvin V. Shoemaker, J. Edward Virtue, D. Boone Wayson, and one of the Company's law firms from the action. On September 19, 2019, the court entered an order consolidating this action into the State Derivative Case, and on December 2, 2019, further clarified that this action may not proceed as a separate action apart from the State Derivative Case.</w:t>
      </w:r>
    </w:p>
    <w:p>
      <w:pPr>
        <w:spacing w:after="0" w:line="221"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On November 27, 2019, the State Derivative Case parties agreed to terms of a settlement agreement. The court approved the settlement agreement on February 12, 2020, and entered a written order approving the settlement on March 10, 2020. The settlement agreement becomes effective following the exhaustion of any appeals.</w:t>
      </w:r>
    </w:p>
    <w:p>
      <w:pPr>
        <w:spacing w:after="0" w:line="209"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In 2018, several actions filed in the United States District Court, District of Nevada were consolidated as In re Wynn Resorts, Ltd. Derivative Litigation ("Federal Derivative Case"), which also claim corporate waste and violation of Section 14(a) of the Exchange Act. In June 2018, the Company filed a motion to dismiss and a motion to stay pending resolution of the Securities Action (described below). On March 29, 2019, the Court granted the Company's request for a stay. On March 25, 2020, the parties stipulated to dismiss the Federal Derivative Case given the approved settlement in the State Derivative Case.</w:t>
      </w:r>
    </w:p>
    <w:p>
      <w:pPr>
        <w:spacing w:after="0" w:line="216"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On March 25, 2019, a separate stockholder derivative action was filed in the United States District Court, District of Nevada alleging identical causes of action as the Federal Derivative Case with the additional allegation that the Board of Directors improperly refused the stockholder's demand to commence litigation against the officers and directors of the Company. On June 10, 2019, the Company filed a motion to dismiss, or alternatively to consolidate this action into the Federal Derivative Case, which is stayed. On March 23, 2020, the court denied the Company’s motion to dismiss as moot given the approved settlement in the State Derivative Case.</w:t>
      </w:r>
    </w:p>
    <w:p>
      <w:pPr>
        <w:spacing w:after="0" w:line="216" w:lineRule="exact"/>
        <w:rPr>
          <w:sz w:val="20"/>
          <w:szCs w:val="20"/>
          <w:color w:val="auto"/>
        </w:rPr>
      </w:pPr>
    </w:p>
    <w:p>
      <w:pPr>
        <w:jc w:val="both"/>
        <w:ind w:right="20" w:firstLine="405"/>
        <w:spacing w:after="0" w:line="261" w:lineRule="auto"/>
        <w:rPr>
          <w:sz w:val="20"/>
          <w:szCs w:val="20"/>
          <w:color w:val="auto"/>
        </w:rPr>
      </w:pPr>
      <w:r>
        <w:rPr>
          <w:rFonts w:ascii="Arial" w:cs="Arial" w:eastAsia="Arial" w:hAnsi="Arial"/>
          <w:sz w:val="18"/>
          <w:szCs w:val="18"/>
          <w:color w:val="auto"/>
        </w:rPr>
        <w:t>Each of the actions seeks to recover for the Company unspecified damages, including restitution and disgorgement of profits, and also seeks to recover attorneys' fees, costs and related expenses for the plaintiff.</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Individual Stockholder Actions</w:t>
      </w:r>
    </w:p>
    <w:p>
      <w:pPr>
        <w:spacing w:after="0" w:line="25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 number of stockholders have filed individual actions in the Eighth Judicial District Court of Clark County, Nevada against certain current and former members of the Company's Board of Directors and certain of the Company's current and former officers ("Individual Stockholder Actions"). Each of the complaints alleges that defendants, among other things, breached their fiduciary duties in failing to detect, prevent and remedy alleged inappropriate personal conduct by Stephen A. Wynn in the workplace causing injury to each of the individual stockholders.</w:t>
      </w:r>
    </w:p>
    <w:p>
      <w:pPr>
        <w:spacing w:after="0" w:line="198"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7"/>
          <w:szCs w:val="17"/>
          <w:color w:val="auto"/>
        </w:rPr>
        <w:t>On January 29, 2019, the defendants filed motions to dismiss each of the Individual Stockholder Actions. On December 12, 2019, the court entered an order denying the motions to dismiss, which the defendants appealed to the Nevada Supreme Court on December 24, 2019. On January 7, 2020, the Nevada Supreme Court stayed the underlying Individual Stockholder Actions pending a decision on the defendants' appeal.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Action</w:t>
      </w:r>
    </w:p>
    <w:p>
      <w:pPr>
        <w:spacing w:after="0" w:line="25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On February 20, 2018, a putative securities class action was filed against the Company and certain current and former officers of the Company in the United States District Court, Southern District of New York (which was subsequently transferred to the United States District Court, District of Nevada) by John V. Ferris and Joann M. Ferris on behalf of all persons who purchased the Company's common stock between February 28, 2014 and January 25, 2018. The complaint alleges, among other things, certain violations of federal securities laws and seeks to recover unspecified damages as well as attorneys' fees, costs and related expenses for the plaintiffs. The defendants have filed motions to dismiss, which are currently pending before the court.</w:t>
      </w:r>
    </w:p>
    <w:p>
      <w:pPr>
        <w:spacing w:after="0" w:line="18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defendants in these actions will vigorously defend against the claims pleaded against them. These actions are in preliminary stages and management has determined that based on proceedings to date, it is currently unable to determine the probability of the outcome of these actions or the range of reasonably possible loss, if 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Retail Joint Venture</w:t>
      </w:r>
    </w:p>
    <w:p>
      <w:pPr>
        <w:spacing w:after="0" w:line="25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March 31, 2020 and December 31, 2019, the Retail Joint Venture had total assets of $92.8 million and $90.0 million, respectively, and total liabilities of $637.4 million and $622.4 million, respectively. As of March 31, 2020 and December 31, 2019, the Retail Joint Venture's liabilities included long-term debt of $611.9 million and $611.7 million, respectively, net of debt issuance costs, related to the outstanding borrowings under the Retail Term Loan.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 Information</w:t>
      </w:r>
    </w:p>
    <w:p>
      <w:pPr>
        <w:spacing w:after="0" w:line="256"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reviews the results of operations for each of its operating segments, and identifies reportable segments based upon factors such as geography, regulatory environment, and the Company's organizational and management reporting structure. Wynn Macau and Encore, an expansion at Wynn Macau, are managed as a single integrated resort and have been aggregated as one reportable segment ("Wynn Macau"). Wynn Palace is presented as a separate reportable segment and is combined with Wynn Macau for geographical presentation. Wynn Las Vegas, Encore, an expansion at Wynn Las Vegas, and the Retail Joint Venture are managed as a single integrated resort and have been aggregated as one reportable segment ("Las Vegas Operations"). On June 23, 2019, the Company opened Encore Boston Harbor, an integrated resort in Everett, Massachusetts. Encore Boston Harbor is presented as one reportable segment. Other Macau primarily represents the assets for the Company's Macau holding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the Company's segment information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3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r>
      <w:tr>
        <w:trPr>
          <w:trHeight w:val="23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Macau Operations:</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Wynn Palace</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40"/>
              <w:spacing w:after="0"/>
              <w:rPr>
                <w:sz w:val="20"/>
                <w:szCs w:val="20"/>
                <w:color w:val="auto"/>
              </w:rPr>
            </w:pPr>
            <w:r>
              <w:rPr>
                <w:rFonts w:ascii="Arial" w:cs="Arial" w:eastAsia="Arial" w:hAnsi="Arial"/>
                <w:sz w:val="18"/>
                <w:szCs w:val="18"/>
                <w:color w:val="auto"/>
              </w:rPr>
              <w:t>Casino</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207,576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623,175</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19,710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43,314</w:t>
            </w:r>
          </w:p>
        </w:tc>
      </w:tr>
      <w:tr>
        <w:trPr>
          <w:trHeight w:val="243"/>
        </w:trPr>
        <w:tc>
          <w:tcPr>
            <w:tcW w:w="832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13,298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28,625</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18,929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31,508</w:t>
            </w:r>
          </w:p>
        </w:tc>
      </w:tr>
      <w:tr>
        <w:trPr>
          <w:trHeight w:val="237"/>
        </w:trPr>
        <w:tc>
          <w:tcPr>
            <w:tcW w:w="8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259,513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726,622</w:t>
            </w: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Wynn Macau</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8320" w:type="dxa"/>
            <w:vAlign w:val="bottom"/>
          </w:tcPr>
          <w:p>
            <w:pPr>
              <w:ind w:left="340"/>
              <w:spacing w:after="0"/>
              <w:rPr>
                <w:sz w:val="20"/>
                <w:szCs w:val="20"/>
                <w:color w:val="auto"/>
              </w:rPr>
            </w:pPr>
            <w:r>
              <w:rPr>
                <w:rFonts w:ascii="Arial" w:cs="Arial" w:eastAsia="Arial" w:hAnsi="Arial"/>
                <w:sz w:val="18"/>
                <w:szCs w:val="18"/>
                <w:color w:val="auto"/>
              </w:rPr>
              <w:t>Casino</w:t>
            </w: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190,128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450,242</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15,911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28,867</w:t>
            </w:r>
          </w:p>
        </w:tc>
      </w:tr>
      <w:tr>
        <w:trPr>
          <w:trHeight w:val="243"/>
        </w:trPr>
        <w:tc>
          <w:tcPr>
            <w:tcW w:w="832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9,531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20,975</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13,919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23,807</w:t>
            </w:r>
          </w:p>
        </w:tc>
      </w:tr>
      <w:tr>
        <w:trPr>
          <w:trHeight w:val="237"/>
        </w:trPr>
        <w:tc>
          <w:tcPr>
            <w:tcW w:w="8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229,489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523,891</w:t>
            </w: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83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 Macau Operations</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489,002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1,250,513</w:t>
            </w:r>
          </w:p>
        </w:tc>
      </w:tr>
      <w:tr>
        <w:trPr>
          <w:trHeight w:val="250"/>
        </w:trPr>
        <w:tc>
          <w:tcPr>
            <w:tcW w:w="83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Las Vegas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40"/>
              <w:spacing w:after="0"/>
              <w:rPr>
                <w:sz w:val="20"/>
                <w:szCs w:val="20"/>
                <w:color w:val="auto"/>
              </w:rPr>
            </w:pPr>
            <w:r>
              <w:rPr>
                <w:rFonts w:ascii="Arial" w:cs="Arial" w:eastAsia="Arial" w:hAnsi="Arial"/>
                <w:sz w:val="18"/>
                <w:szCs w:val="18"/>
                <w:color w:val="auto"/>
              </w:rPr>
              <w:t>Casino</w:t>
            </w: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71,295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111,684</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106,105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119,089</w:t>
            </w:r>
          </w:p>
        </w:tc>
      </w:tr>
      <w:tr>
        <w:trPr>
          <w:trHeight w:val="243"/>
        </w:trPr>
        <w:tc>
          <w:tcPr>
            <w:tcW w:w="832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105,979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123,619</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40,445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46,641</w:t>
            </w:r>
          </w:p>
        </w:tc>
      </w:tr>
      <w:tr>
        <w:trPr>
          <w:trHeight w:val="237"/>
        </w:trPr>
        <w:tc>
          <w:tcPr>
            <w:tcW w:w="8320" w:type="dxa"/>
            <w:vAlign w:val="bottom"/>
          </w:tcPr>
          <w:p>
            <w:pPr>
              <w:ind w:left="600"/>
              <w:spacing w:after="0"/>
              <w:rPr>
                <w:sz w:val="20"/>
                <w:szCs w:val="20"/>
                <w:color w:val="auto"/>
              </w:rPr>
            </w:pPr>
            <w:r>
              <w:rPr>
                <w:rFonts w:ascii="Arial" w:cs="Arial" w:eastAsia="Arial" w:hAnsi="Arial"/>
                <w:sz w:val="18"/>
                <w:szCs w:val="18"/>
                <w:b w:val="1"/>
                <w:bCs w:val="1"/>
                <w:color w:val="auto"/>
              </w:rPr>
              <w:t>Total Las Vegas Operations</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323,824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401,033</w:t>
            </w: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8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Encore Boston Harbor:</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Casino</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101,790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340"/>
              <w:spacing w:after="0"/>
              <w:rPr>
                <w:sz w:val="20"/>
                <w:szCs w:val="20"/>
                <w:color w:val="auto"/>
              </w:rPr>
            </w:pPr>
            <w:r>
              <w:rPr>
                <w:rFonts w:ascii="Arial" w:cs="Arial" w:eastAsia="Arial" w:hAnsi="Arial"/>
                <w:sz w:val="18"/>
                <w:szCs w:val="18"/>
                <w:color w:val="auto"/>
              </w:rPr>
              <w:t>Rooms</w:t>
            </w: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10,955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Food and beverage</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20,606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36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7,539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 Encore Boston Harbor</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140,890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r>
      <w:tr>
        <w:trPr>
          <w:trHeight w:val="250"/>
        </w:trPr>
        <w:tc>
          <w:tcPr>
            <w:tcW w:w="83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spacing w:after="0"/>
              <w:rPr>
                <w:sz w:val="21"/>
                <w:szCs w:val="21"/>
                <w:color w:val="auto"/>
              </w:rPr>
            </w:pPr>
          </w:p>
        </w:tc>
      </w:tr>
      <w:tr>
        <w:trPr>
          <w:trHeight w:val="288"/>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953,716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1,651,546</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2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15"/>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4"/>
                <w:szCs w:val="14"/>
                <w:b w:val="1"/>
                <w:bCs w:val="1"/>
                <w:color w:val="auto"/>
              </w:rPr>
              <w:t>(2)</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3"/>
        </w:trPr>
        <w:tc>
          <w:tcPr>
            <w:tcW w:w="8260" w:type="dxa"/>
            <w:vAlign w:val="bottom"/>
          </w:tcPr>
          <w:p>
            <w:pPr>
              <w:ind w:left="160"/>
              <w:spacing w:after="0"/>
              <w:rPr>
                <w:sz w:val="20"/>
                <w:szCs w:val="20"/>
                <w:color w:val="auto"/>
              </w:rPr>
            </w:pPr>
            <w:r>
              <w:rPr>
                <w:rFonts w:ascii="Arial" w:cs="Arial" w:eastAsia="Arial" w:hAnsi="Arial"/>
                <w:sz w:val="18"/>
                <w:szCs w:val="18"/>
                <w:color w:val="auto"/>
              </w:rPr>
              <w:t>Macau Operations: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Wynn Palace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10,176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222,586</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Wynn Macau</w:t>
            </w:r>
          </w:p>
        </w:tc>
        <w:tc>
          <w:tcPr>
            <w:tcW w:w="3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19,208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163,889</w:t>
            </w:r>
          </w:p>
        </w:tc>
      </w:tr>
      <w:tr>
        <w:trPr>
          <w:trHeight w:val="27"/>
        </w:trPr>
        <w:tc>
          <w:tcPr>
            <w:tcW w:w="8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Macau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29,384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386,475</w:t>
            </w:r>
          </w:p>
        </w:tc>
      </w:tr>
      <w:tr>
        <w:trPr>
          <w:trHeight w:val="243"/>
        </w:trPr>
        <w:tc>
          <w:tcPr>
            <w:tcW w:w="8260" w:type="dxa"/>
            <w:vAlign w:val="bottom"/>
          </w:tcPr>
          <w:p>
            <w:pPr>
              <w:ind w:left="200"/>
              <w:spacing w:after="0"/>
              <w:rPr>
                <w:sz w:val="20"/>
                <w:szCs w:val="20"/>
                <w:color w:val="auto"/>
              </w:rPr>
            </w:pPr>
            <w:r>
              <w:rPr>
                <w:rFonts w:ascii="Arial" w:cs="Arial" w:eastAsia="Arial" w:hAnsi="Arial"/>
                <w:sz w:val="18"/>
                <w:szCs w:val="18"/>
                <w:color w:val="auto"/>
              </w:rPr>
              <w:t xml:space="preserve">Las Vegas Operations </w:t>
            </w:r>
            <w:r>
              <w:rPr>
                <w:rFonts w:ascii="Arial" w:cs="Arial" w:eastAsia="Arial" w:hAnsi="Arial"/>
                <w:sz w:val="14"/>
                <w:szCs w:val="14"/>
                <w:color w:val="auto"/>
              </w:rPr>
              <w:t>(3)</w:t>
            </w:r>
          </w:p>
        </w:tc>
        <w:tc>
          <w:tcPr>
            <w:tcW w:w="3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(22,077)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108,302</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 xml:space="preserve">Encore Boston Harbor </w:t>
            </w:r>
            <w:r>
              <w:rPr>
                <w:rFonts w:ascii="Arial" w:cs="Arial" w:eastAsia="Arial" w:hAnsi="Arial"/>
                <w:sz w:val="14"/>
                <w:szCs w:val="14"/>
                <w:color w:val="auto"/>
              </w:rPr>
              <w:t>(4)</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(12,636)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37"/>
        </w:trPr>
        <w:tc>
          <w:tcPr>
            <w:tcW w:w="8260" w:type="dxa"/>
            <w:vAlign w:val="bottom"/>
          </w:tcPr>
          <w:p>
            <w:pPr>
              <w:ind w:left="66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(5,329)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494,777</w:t>
            </w:r>
          </w:p>
        </w:tc>
      </w:tr>
      <w:tr>
        <w:trPr>
          <w:trHeight w:val="27"/>
        </w:trPr>
        <w:tc>
          <w:tcPr>
            <w:tcW w:w="8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operating expenses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Pre-opening</w:t>
            </w:r>
          </w:p>
        </w:tc>
        <w:tc>
          <w:tcPr>
            <w:tcW w:w="3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2,551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27,713</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178,746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136,557</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Property charges and other</w:t>
            </w:r>
          </w:p>
        </w:tc>
        <w:tc>
          <w:tcPr>
            <w:tcW w:w="3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27,229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2,774</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Corporate expenses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24,192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62,549</w:t>
            </w:r>
          </w:p>
        </w:tc>
      </w:tr>
      <w:tr>
        <w:trPr>
          <w:trHeight w:val="243"/>
        </w:trPr>
        <w:tc>
          <w:tcPr>
            <w:tcW w:w="8260" w:type="dxa"/>
            <w:vAlign w:val="bottom"/>
          </w:tcPr>
          <w:p>
            <w:pPr>
              <w:ind w:left="360"/>
              <w:spacing w:after="0"/>
              <w:rPr>
                <w:sz w:val="20"/>
                <w:szCs w:val="20"/>
                <w:color w:val="auto"/>
              </w:rPr>
            </w:pPr>
            <w:r>
              <w:rPr>
                <w:rFonts w:ascii="Arial" w:cs="Arial" w:eastAsia="Arial" w:hAnsi="Arial"/>
                <w:sz w:val="18"/>
                <w:szCs w:val="18"/>
                <w:color w:val="auto"/>
              </w:rPr>
              <w:t xml:space="preserve">Stock-based compensation </w:t>
            </w:r>
            <w:r>
              <w:rPr>
                <w:rFonts w:ascii="Arial" w:cs="Arial" w:eastAsia="Arial" w:hAnsi="Arial"/>
                <w:sz w:val="14"/>
                <w:szCs w:val="14"/>
                <w:color w:val="auto"/>
              </w:rPr>
              <w:t>(5)</w:t>
            </w:r>
          </w:p>
        </w:tc>
        <w:tc>
          <w:tcPr>
            <w:tcW w:w="3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9,364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10,008</w:t>
            </w:r>
          </w:p>
        </w:tc>
      </w:tr>
      <w:tr>
        <w:trPr>
          <w:trHeight w:val="27"/>
        </w:trPr>
        <w:tc>
          <w:tcPr>
            <w:tcW w:w="8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2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other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242,082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239,601</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(247,411)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255,176</w:t>
            </w:r>
          </w:p>
        </w:tc>
      </w:tr>
      <w:tr>
        <w:trPr>
          <w:trHeight w:val="27"/>
        </w:trPr>
        <w:tc>
          <w:tcPr>
            <w:tcW w:w="8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non-operating income and expenses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7,953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7,287</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expense, net of amounts capitalized</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(128,827)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(93,180)</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Change in derivatives fair value</w:t>
            </w:r>
          </w:p>
        </w:tc>
        <w:tc>
          <w:tcPr>
            <w:tcW w:w="3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(15,660)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(1,509)</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10,335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(6,358)</w:t>
            </w:r>
          </w:p>
        </w:tc>
      </w:tr>
      <w:tr>
        <w:trPr>
          <w:trHeight w:val="27"/>
        </w:trPr>
        <w:tc>
          <w:tcPr>
            <w:tcW w:w="8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2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other non-operating income and expenses</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(127,042)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(93,760)</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(374,453)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161,416</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(1,685)</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(450,253)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159,731</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loss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48,216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(54,859)</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(402,037)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104,872</w:t>
            </w:r>
          </w:p>
        </w:tc>
      </w:tr>
      <w:tr>
        <w:trPr>
          <w:trHeight w:val="27"/>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8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lease revenue accounted for under lease accounting guidance. For more information on leases, see Note 13, "Leases".</w:t>
      </w:r>
    </w:p>
    <w:p>
      <w:pPr>
        <w:spacing w:after="0" w:line="13" w:lineRule="exact"/>
        <w:rPr>
          <w:rFonts w:ascii="Arial" w:cs="Arial" w:eastAsia="Arial" w:hAnsi="Arial"/>
          <w:sz w:val="14"/>
          <w:szCs w:val="14"/>
          <w:color w:val="auto"/>
        </w:rPr>
      </w:pPr>
    </w:p>
    <w:p>
      <w:pPr>
        <w:jc w:val="both"/>
        <w:ind w:left="260" w:hanging="252"/>
        <w:spacing w:after="0" w:line="260" w:lineRule="auto"/>
        <w:tabs>
          <w:tab w:leader="none" w:pos="231" w:val="left"/>
        </w:tabs>
        <w:numPr>
          <w:ilvl w:val="0"/>
          <w:numId w:val="7"/>
        </w:numPr>
        <w:rPr>
          <w:rFonts w:ascii="Arial" w:cs="Arial" w:eastAsia="Arial" w:hAnsi="Arial"/>
          <w:sz w:val="13"/>
          <w:szCs w:val="13"/>
          <w:color w:val="auto"/>
        </w:rPr>
      </w:pPr>
      <w:r>
        <w:rPr>
          <w:rFonts w:ascii="Arial" w:cs="Arial" w:eastAsia="Arial" w:hAnsi="Arial"/>
          <w:sz w:val="13"/>
          <w:szCs w:val="13"/>
          <w:color w:val="auto"/>
        </w:rPr>
        <w:t>"Adjusted Property EBITDA" is net income (loss) before interest, income taxes, depreciation and amortization, pre-opening expenses, property charges and other, management and license fees, corporate expenses and other (including intercompany golf course and water rights leases), stock-based compensation, change in derivatives fair value, loss on extinguishment of debt,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We also present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Also, our calculation of Adjusted Property EBITDA may be different from the calculation methods used by other companies and, therefore, comparability may be limited.</w:t>
      </w:r>
    </w:p>
    <w:p>
      <w:pPr>
        <w:ind w:left="260" w:hanging="252"/>
        <w:spacing w:after="0" w:line="241" w:lineRule="auto"/>
        <w:tabs>
          <w:tab w:leader="none" w:pos="221"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the three months ended March 31, 2020, includes $56.4 million of expense accrued during the quarter related to the Company's commitment to pay salary, tips, and benefits continuation for all of our U.S. employees for the period from April 1 through May 15, 2020.</w:t>
      </w:r>
    </w:p>
    <w:p>
      <w:pPr>
        <w:ind w:left="260" w:hanging="252"/>
        <w:spacing w:after="0" w:line="241" w:lineRule="auto"/>
        <w:tabs>
          <w:tab w:leader="none" w:pos="221"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the three months ended March 31, 2020, includes $19.3 million of expense accrued during the quarter related to the Company's commitment to pay salary, tips, and benefits continuation for all of our U.S. employees for the period from April 1 through May 15, 2020.</w:t>
      </w: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Excludes $0.3 million included in pre-opening expenses for the three months ended March 31, 2019.</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20" w:type="dxa"/>
            <w:vAlign w:val="bottom"/>
          </w:tcPr>
          <w:p>
            <w:pPr>
              <w:jc w:val="right"/>
              <w:ind w:right="21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3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Macau Operations: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Wynn Palace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3,666,518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3,734,210</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Wynn Macau</w:t>
            </w:r>
          </w:p>
        </w:tc>
        <w:tc>
          <w:tcPr>
            <w:tcW w:w="26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1,713,929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1,656,625</w:t>
            </w:r>
          </w:p>
        </w:tc>
      </w:tr>
      <w:tr>
        <w:trPr>
          <w:trHeight w:val="27"/>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Macau</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1,030,508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1,023,411</w:t>
            </w:r>
          </w:p>
        </w:tc>
      </w:tr>
      <w:tr>
        <w:trPr>
          <w:trHeight w:val="237"/>
        </w:trPr>
        <w:tc>
          <w:tcPr>
            <w:tcW w:w="8260" w:type="dxa"/>
            <w:vAlign w:val="bottom"/>
          </w:tcPr>
          <w:p>
            <w:pPr>
              <w:ind w:left="660"/>
              <w:spacing w:after="0"/>
              <w:rPr>
                <w:sz w:val="20"/>
                <w:szCs w:val="20"/>
                <w:color w:val="auto"/>
              </w:rPr>
            </w:pPr>
            <w:r>
              <w:rPr>
                <w:rFonts w:ascii="Arial" w:cs="Arial" w:eastAsia="Arial" w:hAnsi="Arial"/>
                <w:sz w:val="18"/>
                <w:szCs w:val="18"/>
                <w:b w:val="1"/>
                <w:bCs w:val="1"/>
                <w:color w:val="auto"/>
              </w:rPr>
              <w:t>Total Macau Operations</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6,410,955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6,414,246</w:t>
            </w:r>
          </w:p>
        </w:tc>
      </w:tr>
      <w:tr>
        <w:trPr>
          <w:trHeight w:val="27"/>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Las Vegas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3,122,987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2,806,972</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Encore Boston Harbor</w:t>
            </w:r>
          </w:p>
        </w:tc>
        <w:tc>
          <w:tcPr>
            <w:tcW w:w="26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2,371,999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2,456,667</w:t>
            </w:r>
          </w:p>
        </w:tc>
      </w:tr>
      <w:tr>
        <w:trPr>
          <w:trHeight w:val="27"/>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2,367,406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2,193,396</w:t>
            </w:r>
          </w:p>
        </w:tc>
      </w:tr>
      <w:tr>
        <w:trPr>
          <w:trHeight w:val="237"/>
        </w:trPr>
        <w:tc>
          <w:tcPr>
            <w:tcW w:w="8260" w:type="dxa"/>
            <w:vAlign w:val="bottom"/>
          </w:tcPr>
          <w:p>
            <w:pPr>
              <w:ind w:left="66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14,273,347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13,871,281</w:t>
            </w:r>
          </w:p>
        </w:tc>
      </w:tr>
      <w:tr>
        <w:trPr>
          <w:trHeight w:val="27"/>
        </w:trPr>
        <w:tc>
          <w:tcPr>
            <w:tcW w:w="8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following discussion should be read in conjunction with, and is qualified in its entirety by, the condensed consolidated financial statements and the notes thereto included elsewhere in this Form 10-Q and the consolidated financial statements appearing in our annual report on Form 10-K for the year ended December 31, 2019. Unless the context otherwise requires, all references herein to the "Company," "we," "us," or "our," or similar terms, refer to Wynn Resorts, Limited, a Nevada corporation, and its consolidated subsidiaries. This discussion and analysis contains forward-looking statements. Please refer to the section below entitled "Special Note Regarding Forward-Looking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are a designer, developer, and operator of integrated resorts featuring luxury hotel rooms, high-end retail space, an array of dining and entertainment options, meeting and convention facilities, and gaming, all supported by an unparalleled focus on our guests, our people, and our community. Through our approximately 72% ownership of WML, we operate two integrated resorts in the Macau Special Administrative Region of the People's Republic of China ("Macau"), Wynn Palace and Wynn Macau (collectively, our "Macau Operations"). In Las Vegas, Nevada, we operate and, with the exception of certain retail space, own 100% of Wynn Las Vegas, which we also refer to as our Las Vegas Operations. On June 23, 2019, we opened Encore Boston Harbor, an integrated resort in Everett, Massachusetts.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 Related to COVID-19</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previously disclosed, in January 2020, an outbreak of a new strain of coronavirus, COVID-19 ("COVID-19"), was identified. Since then, COVID-19 has spread around the world, and steps have been taken by various countries, including those in which we operate, to advise citizens to avoid non-essential travel, to restrict inbound international travel, to implement closures of non-essential operations, and to implement quarantines and lockdowns to contain the spread of the virus. Currently, no fully effective treatments or vaccines have been developed, and there can be no assurance as to if or when an effective treatment or vaccine will be discovered.</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Macau Operations</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response to the COVID-19 pandemic, the Macau government announced on February 4, 2020 the closure of all casino operations in Macau, including those at Wynn Palace and Wynn Macau, for a period of 15 days. On February 20, 2020, our casino operations at Wynn Palace and Wynn Macau reopened on a reduced basis and have since been fully restored; however, certain health safeguards, such as traveler quarantines, limiting the number of seats per table game, slot machine spacing, temperature checks, mask protection, and health declarations remain in effect at the present time. We are currently unable to determine when these measures will be lifted.</w:t>
      </w:r>
    </w:p>
    <w:p>
      <w:pPr>
        <w:spacing w:after="0" w:line="21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Visitation to Macau has fallen meaningfully since the outbreak of COVID-19. Total visitation from mainland China to Macau decreased by 97.2% and 96.3% in February and March 2020, respectively, compared to the same periods in 2019. The decrease in visitation is driven by the numerous measures put in place by the governments of China and Macau, including the Chinese government's suspension of its visa and group tour schemes that allow mainland Chinese residents to travel to Macau, traveler quarantine measures, travel and entry restrictions in Macau, Hong Kong, and certain cities and regions in mainland China, the suspension of ferry services and other modes of transportation with Macau and regionally, and the ban on entry or enhanced quarantine requirements for any residents of Greater China attempting to enter Macau. Persons who are not residents of Greater China are barred from entry to Macau at this time. The Company is currently unable to determine when these restrictions will be modified or lifted.</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Las Vegas Operations and Encore Boston Harbor</w:t>
      </w:r>
    </w:p>
    <w:p>
      <w:pPr>
        <w:spacing w:after="0" w:line="25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March 14, 2020, the Massachusetts Gaming Commission temporarily suspended operations at all casinos in Massachusetts, including Encore Boston Harbor. On March 17, 2020, the Nevada government suspended all casino and non-essential operations, including all operations at Wynn Las Vegas. Accordingly, Encore Boston Harbor and Wynn Las Vegas ceased all operations and closed to the public on March 15, 2020 and March 17, 2020, respectively. Both resorts will remain closed until authorized to re-open under U.S. and state government directives. During the first quarter of 2020, the Company committed to pay salary, tips and benefits continuation for all U.S. employees, inclusive of part-time employees, through May 15, 2020. The Company has accrued $75.7 million of expense related to this commitment for the period from April 1 through</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May 15, 2020 within the accompanying Condensed Consolidated Financial Statements. In May 2020, the Company announced that it had extended its commitment through May 31, 2020.</w:t>
      </w:r>
    </w:p>
    <w:p>
      <w:pPr>
        <w:spacing w:after="0" w:line="197"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6"/>
          <w:szCs w:val="16"/>
          <w:color w:val="auto"/>
        </w:rPr>
        <w:t>The disruptions arising from the COVID-19 outbreak have had, during the three months ended March 31, 2020, and will continue to have an adverse effect on the Company's results of operations. Wynn Las Vegas and Encore Boston Harbor are effectively generating no revenue during the periods of their respective closures, and our Macau Operations are generating extremely limited revenue. Given the uncertainty around the extent and timing of the potential future spread or mitigation of COVID-19 and around the imposition or relaxation of protective measures, the impact on the Company’s consolidated results of operations, cash flows and financial condition in 2020 and potentially thereafter will be material, but cannot be reasonably estimated at this time as it is unknown when the COVID-19 pandemic will end, when or if our properties will return to pre-pandemic demand and pricing, when or how quickly the current travel restrictions will be modified or cease to be necessary and the resulting impact on the Company’s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Measures</w:t>
      </w:r>
    </w:p>
    <w:p>
      <w:pPr>
        <w:spacing w:after="0" w:line="256"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Certain key operating measures specific to the gaming industry are included in our discussion of our operational performance for the periods for which the Condensed Consolidated Statements of Operations are presented. These key operating measures are presented as supplemental disclosures because management and/or certain investors use these measures to better understand period-over-period fluctuations in our casino and hotel operating revenues. These key operating measures are defined below:</w:t>
      </w:r>
    </w:p>
    <w:p>
      <w:pPr>
        <w:spacing w:after="0" w:line="215" w:lineRule="exact"/>
        <w:rPr>
          <w:sz w:val="20"/>
          <w:szCs w:val="20"/>
          <w:color w:val="auto"/>
        </w:rPr>
      </w:pPr>
    </w:p>
    <w:p>
      <w:pPr>
        <w:ind w:left="1300" w:hanging="644"/>
        <w:spacing w:after="0" w:line="258"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Table drop in mass market for our Macau Operations is the amount of cash that is deposited in a gaming table's drop box plus cash chips purchased at the casino cage.</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Table drop for our Las Vegas Operations is the amount of cash and net markers issued that are deposited in a gaming table's drop box.</w:t>
      </w:r>
    </w:p>
    <w:p>
      <w:pPr>
        <w:spacing w:after="0" w:line="32" w:lineRule="exact"/>
        <w:rPr>
          <w:rFonts w:ascii="Arial" w:cs="Arial" w:eastAsia="Arial" w:hAnsi="Arial"/>
          <w:sz w:val="16"/>
          <w:szCs w:val="16"/>
          <w:color w:val="auto"/>
        </w:rPr>
      </w:pPr>
    </w:p>
    <w:p>
      <w:pPr>
        <w:ind w:left="1300" w:hanging="644"/>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Table drop for Encore Boston Harbor is the amount of cash and gross markers issued that are deposited in a gaming table's drop box.</w:t>
      </w:r>
    </w:p>
    <w:p>
      <w:pPr>
        <w:spacing w:after="0" w:line="32" w:lineRule="exact"/>
        <w:rPr>
          <w:rFonts w:ascii="Arial" w:cs="Arial" w:eastAsia="Arial" w:hAnsi="Arial"/>
          <w:sz w:val="16"/>
          <w:szCs w:val="16"/>
          <w:color w:val="auto"/>
        </w:rPr>
      </w:pPr>
    </w:p>
    <w:p>
      <w:pPr>
        <w:ind w:left="1300" w:hanging="644"/>
        <w:spacing w:after="0" w:line="250"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Rolling chips are non-negotiable identifiable chips that are used to track turnover for purposes of calculating incentives within our Macau Operations' VIP program.</w:t>
      </w: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Macau Operations' VIP program.</w:t>
      </w:r>
    </w:p>
    <w:p>
      <w:pPr>
        <w:spacing w:after="0" w:line="9" w:lineRule="exact"/>
        <w:rPr>
          <w:rFonts w:ascii="Arial" w:cs="Arial" w:eastAsia="Arial" w:hAnsi="Arial"/>
          <w:sz w:val="18"/>
          <w:szCs w:val="18"/>
          <w:color w:val="auto"/>
        </w:rPr>
      </w:pPr>
    </w:p>
    <w:p>
      <w:pPr>
        <w:jc w:val="both"/>
        <w:ind w:left="1300" w:hanging="644"/>
        <w:spacing w:after="0" w:line="250"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Table games win is the amount of table drop or turnover that is retained and recorded as casino revenues. Table games win is before discounts, commissions and the allocation of casino revenues to rooms, food and beverage and other revenues for services provided to casino customers on a complimentary basis. Table games win does not include poker rake.</w:t>
      </w:r>
    </w:p>
    <w:p>
      <w:pPr>
        <w:spacing w:after="0" w:line="1" w:lineRule="exact"/>
        <w:rPr>
          <w:rFonts w:ascii="Arial" w:cs="Arial" w:eastAsia="Arial" w:hAnsi="Arial"/>
          <w:sz w:val="18"/>
          <w:szCs w:val="18"/>
          <w:color w:val="auto"/>
        </w:rPr>
      </w:pPr>
    </w:p>
    <w:p>
      <w:pPr>
        <w:jc w:val="both"/>
        <w:ind w:left="1300" w:hanging="644"/>
        <w:spacing w:after="0" w:line="281" w:lineRule="auto"/>
        <w:tabs>
          <w:tab w:leader="none" w:pos="1295" w:val="left"/>
        </w:tabs>
        <w:numPr>
          <w:ilvl w:val="0"/>
          <w:numId w:val="8"/>
        </w:numPr>
        <w:rPr>
          <w:rFonts w:ascii="Arial" w:cs="Arial" w:eastAsia="Arial" w:hAnsi="Arial"/>
          <w:sz w:val="16"/>
          <w:szCs w:val="16"/>
          <w:color w:val="auto"/>
        </w:rPr>
      </w:pPr>
      <w:r>
        <w:rPr>
          <w:rFonts w:ascii="Arial" w:cs="Arial" w:eastAsia="Arial" w:hAnsi="Arial"/>
          <w:sz w:val="16"/>
          <w:szCs w:val="16"/>
          <w:color w:val="auto"/>
        </w:rPr>
        <w:t>Slot machine win is the amount of handle (representing the total amount wagered) that is retained by us and is recorded as casino revenues. Slot machine win is after adjustment for progressive accruals and free play, but before discounts and the allocation of casino revenues to rooms, food and beverage and other revenues for services provided to casino customers on a complimentary basis.</w:t>
      </w:r>
    </w:p>
    <w:p>
      <w:pPr>
        <w:spacing w:after="0" w:line="1" w:lineRule="exact"/>
        <w:rPr>
          <w:rFonts w:ascii="Arial" w:cs="Arial" w:eastAsia="Arial" w:hAnsi="Arial"/>
          <w:sz w:val="16"/>
          <w:szCs w:val="16"/>
          <w:color w:val="auto"/>
        </w:rPr>
      </w:pPr>
    </w:p>
    <w:p>
      <w:pPr>
        <w:jc w:val="both"/>
        <w:ind w:left="1300" w:hanging="644"/>
        <w:spacing w:after="0" w:line="281" w:lineRule="auto"/>
        <w:tabs>
          <w:tab w:leader="none" w:pos="1295" w:val="left"/>
        </w:tabs>
        <w:numPr>
          <w:ilvl w:val="0"/>
          <w:numId w:val="8"/>
        </w:numPr>
        <w:rPr>
          <w:rFonts w:ascii="Arial" w:cs="Arial" w:eastAsia="Arial" w:hAnsi="Arial"/>
          <w:sz w:val="16"/>
          <w:szCs w:val="16"/>
          <w:color w:val="auto"/>
        </w:rPr>
      </w:pPr>
      <w:r>
        <w:rPr>
          <w:rFonts w:ascii="Arial" w:cs="Arial" w:eastAsia="Arial" w:hAnsi="Arial"/>
          <w:sz w:val="16"/>
          <w:szCs w:val="16"/>
          <w:color w:val="auto"/>
        </w:rPr>
        <w:t>Poker rake is the portion of cash wagered by patrons in our poker rooms that is retained by the casino as a service fee, after adjustment for progressive accruals, but before the allocation of casino revenues to rooms, food and beverage and other revenues for services provided to casino customers on a complimentary basis. Poker tables are not included in our measure of average number of table games.</w:t>
      </w:r>
    </w:p>
    <w:p>
      <w:pPr>
        <w:spacing w:after="0" w:line="1" w:lineRule="exact"/>
        <w:rPr>
          <w:rFonts w:ascii="Arial" w:cs="Arial" w:eastAsia="Arial" w:hAnsi="Arial"/>
          <w:sz w:val="16"/>
          <w:szCs w:val="16"/>
          <w:color w:val="auto"/>
        </w:rPr>
      </w:pPr>
    </w:p>
    <w:p>
      <w:pPr>
        <w:ind w:left="1300" w:right="20" w:hanging="644"/>
        <w:spacing w:after="0" w:line="250"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revenues, including complimentaries (less service charges, if any), by total rooms occupied.</w:t>
      </w:r>
    </w:p>
    <w:p>
      <w:pPr>
        <w:ind w:left="1300" w:hanging="644"/>
        <w:spacing w:after="0" w:line="250"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revenues, including complimentaries (less service charges, if any), by total rooms available.</w:t>
      </w: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the total rooms available.</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 discussion of the methodologies used to calculate win percentages at our resorts.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expect our win as a percentage of turnover from these operations to be within the range of 2.7% to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 our mass market operations in Macau, customers may purchase cash chips at either the gaming tables or at the casino cage. 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lower in the VIP operations when compared to the mass market operations.</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Las Vegas, customers purchase chips at the gaming tables in exchange for cash and markers. Customers may then redeem markers at the gaming tables or at the casino cage. The cash and markers, net of redemptions, used to purchase chips are deposited in the gaming table's drop box. This is the base of measurement that we use for calculating win percentage. Each type of table game has its own theoretical win percentage. Our expected table games win percentage is 22% to 26%.</w:t>
      </w:r>
    </w:p>
    <w:p>
      <w:pPr>
        <w:spacing w:after="0" w:line="21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Encore Boston Harbor, customers purchase chips at the gaming tables in exchange for cash and markers. Customers may then redeem markers only at the casino cage. The cash and gross markers used to purchase chips are deposited in the gaming table's drop box. This is the base of measurement that we use for calculating win percentage. Each type of table game has its own theoretical win percentage. Our expected table games win percentage is 16% to 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first quarter 2020 results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financial results for the periods presented (in thousands, except per share data):</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6"/>
        </w:trPr>
        <w:tc>
          <w:tcPr>
            <w:tcW w:w="5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540" w:type="dxa"/>
            <w:vAlign w:val="bottom"/>
            <w:gridSpan w:val="3"/>
          </w:tcPr>
          <w:p>
            <w:pPr>
              <w:ind w:left="100"/>
              <w:spacing w:after="0"/>
              <w:rPr>
                <w:sz w:val="20"/>
                <w:szCs w:val="20"/>
                <w:color w:val="auto"/>
              </w:rPr>
            </w:pPr>
            <w:r>
              <w:rPr>
                <w:rFonts w:ascii="Arial" w:cs="Arial" w:eastAsia="Arial" w:hAnsi="Arial"/>
                <w:sz w:val="14"/>
                <w:szCs w:val="14"/>
                <w:b w:val="1"/>
                <w:bCs w:val="1"/>
                <w:color w:val="auto"/>
              </w:rPr>
              <w:t>Increase/ (Decrease)</w:t>
            </w: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rPr>
              <w:t>Percent Change</w:t>
            </w:r>
          </w:p>
        </w:tc>
      </w:tr>
      <w:tr>
        <w:trPr>
          <w:trHeight w:val="250"/>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953,716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1,651,546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(697,830)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(42.3)</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Net income (loss) attributable to Wynn Resorts, Limited</w:t>
            </w:r>
          </w:p>
        </w:tc>
        <w:tc>
          <w:tcPr>
            <w:tcW w:w="30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(402,037)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104,872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(506,909)</w:t>
            </w:r>
          </w:p>
        </w:tc>
        <w:tc>
          <w:tcPr>
            <w:tcW w:w="10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(483.4)</w:t>
            </w: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 (loss)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(484.7)</w:t>
            </w:r>
          </w:p>
        </w:tc>
      </w:tr>
      <w:tr>
        <w:trPr>
          <w:trHeight w:val="270"/>
        </w:trPr>
        <w:tc>
          <w:tcPr>
            <w:tcW w:w="5200" w:type="dxa"/>
            <w:vAlign w:val="bottom"/>
          </w:tcPr>
          <w:p>
            <w:pPr>
              <w:ind w:left="20"/>
              <w:spacing w:after="0"/>
              <w:rPr>
                <w:sz w:val="20"/>
                <w:szCs w:val="20"/>
                <w:color w:val="auto"/>
              </w:rPr>
            </w:pPr>
            <w:r>
              <w:rPr>
                <w:rFonts w:ascii="Arial" w:cs="Arial" w:eastAsia="Arial" w:hAnsi="Arial"/>
                <w:sz w:val="18"/>
                <w:szCs w:val="18"/>
                <w:color w:val="auto"/>
              </w:rPr>
              <w:t xml:space="preserve">Adjusted Property EBITDA </w:t>
            </w:r>
            <w:r>
              <w:rPr>
                <w:rFonts w:ascii="Arial" w:cs="Arial" w:eastAsia="Arial" w:hAnsi="Arial"/>
                <w:sz w:val="14"/>
                <w:szCs w:val="14"/>
                <w:color w:val="auto"/>
              </w:rPr>
              <w:t>(1)</w:t>
            </w:r>
          </w:p>
        </w:tc>
        <w:tc>
          <w:tcPr>
            <w:tcW w:w="300" w:type="dxa"/>
            <w:vAlign w:val="bottom"/>
          </w:tcPr>
          <w:p>
            <w:pPr>
              <w:spacing w:after="0"/>
              <w:rPr>
                <w:sz w:val="23"/>
                <w:szCs w:val="23"/>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(5,329)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494,777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(500,106)</w:t>
            </w:r>
          </w:p>
        </w:tc>
        <w:tc>
          <w:tcPr>
            <w:tcW w:w="100" w:type="dxa"/>
            <w:vAlign w:val="bottom"/>
          </w:tcPr>
          <w:p>
            <w:pPr>
              <w:spacing w:after="0"/>
              <w:rPr>
                <w:sz w:val="23"/>
                <w:szCs w:val="23"/>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(101.1)</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(1) See Item 1—"Financial Statements," Note 16, "Segment Information," for a reconciliation of Adjusted Property EBITDA to net income (loss) attributable to Wynn Resorts, Limited.</w:t>
      </w:r>
    </w:p>
    <w:p>
      <w:pPr>
        <w:spacing w:after="0" w:line="24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decrease in operating revenues for the three months ended March 31, 2020 was primarily driven by decreases of $467.1 million, $294.4 million, and $77.2 million from Wynn Palace, Wynn Macau, and our Las Vegas Operations, respectively. These declines were precipitated by the adverse effects of the COVID-19 outbreak during the three months ended March 31, 2020, which include the closure of our casino operations in Macau for a 15-day period and their subsequent reopening on a reduced basis, and the closure of our Las Vegas Operations on March 17, 2020 for the remainder of the first quarter of 2020. Operating revenues from Encore Boston Harbor were $140.9 million. Encore Boston Harbor closed to the public on March 15, 2020 for the remainder of the first quarter of 2020.</w:t>
      </w:r>
    </w:p>
    <w:p>
      <w:pPr>
        <w:spacing w:after="0" w:line="21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decrease in net income (loss) attributable to Wynn Resorts, Limited for the three months ended March 31, 2020 was primarily related to the adverse effects of the COVID-19 outbreak on the results of our operations for the three months ended March 31, 2020, and includes the impact of $75.7 million of expense accrued during the quarter related to our commitment to pay salary, tips, and benefits continuation for all of our U.S. employees for the period from April 1 through May 15, 2020.</w:t>
      </w:r>
    </w:p>
    <w:p>
      <w:pPr>
        <w:spacing w:after="0" w:line="21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decrease in Adjusted Property EBITDA for the three months ended March 31, 2020 was driven by decreases of $212.4 million, $144.7 million, and $130.4 million from Wynn Palace, Wynn Macau, and our Las Vegas Operations, respectively. Adjusted Property EBITDA from Encore Boston Harbor was $(12.6) million. Adjusted Property EBITDA for the first quarter of 2020 includes the impact of $75.7 million of expense related to our commitment to pay salary, tips, and benefits continuation for all of our U.S. employees for the period from April 1 through May 15, 2020.</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March 31, 2020 compared to the three months ended March 31,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operating revenues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6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ind w:right="235"/>
              <w:spacing w:after="0" w:line="139"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2"/>
                <w:szCs w:val="12"/>
                <w:color w:val="auto"/>
              </w:rPr>
            </w:pPr>
          </w:p>
        </w:tc>
        <w:tc>
          <w:tcPr>
            <w:tcW w:w="1200" w:type="dxa"/>
            <w:vAlign w:val="bottom"/>
          </w:tcPr>
          <w:p>
            <w:pPr>
              <w:jc w:val="right"/>
              <w:ind w:right="282"/>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6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160"/>
              <w:spacing w:after="0"/>
              <w:rPr>
                <w:sz w:val="20"/>
                <w:szCs w:val="20"/>
                <w:color w:val="auto"/>
              </w:rPr>
            </w:pPr>
            <w:r>
              <w:rPr>
                <w:rFonts w:ascii="Arial" w:cs="Arial" w:eastAsia="Arial" w:hAnsi="Arial"/>
                <w:sz w:val="18"/>
                <w:szCs w:val="18"/>
                <w:color w:val="auto"/>
              </w:rPr>
              <w:t>Macau Operations: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Wynn Palace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259,513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726,622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(467,109)</w:t>
            </w:r>
          </w:p>
        </w:tc>
        <w:tc>
          <w:tcPr>
            <w:tcW w:w="13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43"/>
        </w:trPr>
        <w:tc>
          <w:tcPr>
            <w:tcW w:w="5640" w:type="dxa"/>
            <w:vAlign w:val="bottom"/>
          </w:tcPr>
          <w:p>
            <w:pPr>
              <w:ind w:left="340"/>
              <w:spacing w:after="0"/>
              <w:rPr>
                <w:sz w:val="20"/>
                <w:szCs w:val="20"/>
                <w:color w:val="auto"/>
              </w:rPr>
            </w:pPr>
            <w:r>
              <w:rPr>
                <w:rFonts w:ascii="Arial" w:cs="Arial" w:eastAsia="Arial" w:hAnsi="Arial"/>
                <w:sz w:val="18"/>
                <w:szCs w:val="18"/>
                <w:color w:val="auto"/>
              </w:rPr>
              <w:t>Wynn Macau</w:t>
            </w:r>
          </w:p>
        </w:tc>
        <w:tc>
          <w:tcPr>
            <w:tcW w:w="300" w:type="dxa"/>
            <w:vAlign w:val="bottom"/>
          </w:tcPr>
          <w:p>
            <w:pPr>
              <w:spacing w:after="0"/>
              <w:rPr>
                <w:sz w:val="21"/>
                <w:szCs w:val="21"/>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229,489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523,891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(294,402)</w:t>
            </w:r>
          </w:p>
        </w:tc>
        <w:tc>
          <w:tcPr>
            <w:tcW w:w="1300" w:type="dxa"/>
            <w:vAlign w:val="bottom"/>
            <w:gridSpan w:val="2"/>
          </w:tcPr>
          <w:p>
            <w:pPr>
              <w:jc w:val="right"/>
              <w:ind w:right="42"/>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Macau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489,002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1,250,513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(761,511)</w:t>
            </w:r>
          </w:p>
        </w:tc>
        <w:tc>
          <w:tcPr>
            <w:tcW w:w="13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43"/>
        </w:trPr>
        <w:tc>
          <w:tcPr>
            <w:tcW w:w="5640" w:type="dxa"/>
            <w:vAlign w:val="bottom"/>
          </w:tcPr>
          <w:p>
            <w:pPr>
              <w:ind w:left="160"/>
              <w:spacing w:after="0"/>
              <w:rPr>
                <w:sz w:val="20"/>
                <w:szCs w:val="20"/>
                <w:color w:val="auto"/>
              </w:rPr>
            </w:pPr>
            <w:r>
              <w:rPr>
                <w:rFonts w:ascii="Arial" w:cs="Arial" w:eastAsia="Arial" w:hAnsi="Arial"/>
                <w:sz w:val="18"/>
                <w:szCs w:val="18"/>
                <w:color w:val="auto"/>
              </w:rPr>
              <w:t>Las Vegas Operations</w:t>
            </w:r>
          </w:p>
        </w:tc>
        <w:tc>
          <w:tcPr>
            <w:tcW w:w="300" w:type="dxa"/>
            <w:vAlign w:val="bottom"/>
          </w:tcPr>
          <w:p>
            <w:pPr>
              <w:spacing w:after="0"/>
              <w:rPr>
                <w:sz w:val="21"/>
                <w:szCs w:val="21"/>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323,824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401,033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(77,209)</w:t>
            </w:r>
          </w:p>
        </w:tc>
        <w:tc>
          <w:tcPr>
            <w:tcW w:w="1300" w:type="dxa"/>
            <w:vAlign w:val="bottom"/>
            <w:gridSpan w:val="2"/>
          </w:tcPr>
          <w:p>
            <w:pPr>
              <w:jc w:val="right"/>
              <w:ind w:right="42"/>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 xml:space="preserve">Encore Boston Harbor </w:t>
            </w:r>
            <w:r>
              <w:rPr>
                <w:rFonts w:ascii="Arial" w:cs="Arial" w:eastAsia="Arial" w:hAnsi="Arial"/>
                <w:sz w:val="14"/>
                <w:szCs w:val="14"/>
                <w:color w:val="auto"/>
              </w:rPr>
              <w:t>(1)</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140,890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140,890</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6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953,716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1,651,546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(697,830)</w:t>
            </w:r>
          </w:p>
        </w:tc>
        <w:tc>
          <w:tcPr>
            <w:tcW w:w="1300" w:type="dxa"/>
            <w:vAlign w:val="bottom"/>
            <w:gridSpan w:val="2"/>
          </w:tcPr>
          <w:p>
            <w:pPr>
              <w:jc w:val="right"/>
              <w:ind w:right="42"/>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(1) Encore Boston Harbor opened on June 23, 2019.</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casino and non-casino operating revenues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6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ind w:right="235"/>
              <w:spacing w:after="0" w:line="139"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2"/>
                <w:szCs w:val="12"/>
                <w:color w:val="auto"/>
              </w:rPr>
            </w:pPr>
          </w:p>
        </w:tc>
        <w:tc>
          <w:tcPr>
            <w:tcW w:w="1200" w:type="dxa"/>
            <w:vAlign w:val="bottom"/>
          </w:tcPr>
          <w:p>
            <w:pPr>
              <w:jc w:val="right"/>
              <w:ind w:right="28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6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340"/>
              <w:spacing w:after="0"/>
              <w:rPr>
                <w:sz w:val="20"/>
                <w:szCs w:val="20"/>
                <w:color w:val="auto"/>
              </w:rPr>
            </w:pPr>
            <w:r>
              <w:rPr>
                <w:rFonts w:ascii="Arial" w:cs="Arial" w:eastAsia="Arial" w:hAnsi="Arial"/>
                <w:sz w:val="18"/>
                <w:szCs w:val="18"/>
                <w:b w:val="1"/>
                <w:bCs w:val="1"/>
                <w:color w:val="auto"/>
              </w:rPr>
              <w:t>Casino revenues</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55"/>
              <w:spacing w:after="0"/>
              <w:rPr>
                <w:sz w:val="20"/>
                <w:szCs w:val="20"/>
                <w:color w:val="auto"/>
              </w:rPr>
            </w:pPr>
            <w:r>
              <w:rPr>
                <w:rFonts w:ascii="Arial" w:cs="Arial" w:eastAsia="Arial" w:hAnsi="Arial"/>
                <w:sz w:val="18"/>
                <w:szCs w:val="18"/>
                <w:b w:val="1"/>
                <w:bCs w:val="1"/>
                <w:color w:val="auto"/>
              </w:rPr>
              <w:t>570,789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ind w:right="53"/>
              <w:spacing w:after="0"/>
              <w:rPr>
                <w:sz w:val="20"/>
                <w:szCs w:val="20"/>
                <w:color w:val="auto"/>
              </w:rPr>
            </w:pPr>
            <w:r>
              <w:rPr>
                <w:rFonts w:ascii="Arial" w:cs="Arial" w:eastAsia="Arial" w:hAnsi="Arial"/>
                <w:sz w:val="18"/>
                <w:szCs w:val="18"/>
                <w:b w:val="1"/>
                <w:bCs w:val="1"/>
                <w:color w:val="auto"/>
              </w:rPr>
              <w:t>1,185,101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ind w:right="35"/>
              <w:spacing w:after="0"/>
              <w:rPr>
                <w:sz w:val="20"/>
                <w:szCs w:val="20"/>
                <w:color w:val="auto"/>
              </w:rPr>
            </w:pPr>
            <w:r>
              <w:rPr>
                <w:rFonts w:ascii="Arial" w:cs="Arial" w:eastAsia="Arial" w:hAnsi="Arial"/>
                <w:sz w:val="18"/>
                <w:szCs w:val="18"/>
                <w:b w:val="1"/>
                <w:bCs w:val="1"/>
                <w:color w:val="auto"/>
              </w:rPr>
              <w:t>(614,312)</w:t>
            </w:r>
          </w:p>
        </w:tc>
        <w:tc>
          <w:tcPr>
            <w:tcW w:w="1300" w:type="dxa"/>
            <w:vAlign w:val="bottom"/>
            <w:gridSpan w:val="2"/>
          </w:tcPr>
          <w:p>
            <w:pPr>
              <w:jc w:val="right"/>
              <w:ind w:right="48"/>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Non-casino revenues: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480"/>
              <w:spacing w:after="0"/>
              <w:rPr>
                <w:sz w:val="20"/>
                <w:szCs w:val="20"/>
                <w:color w:val="auto"/>
              </w:rPr>
            </w:pPr>
            <w:r>
              <w:rPr>
                <w:rFonts w:ascii="Arial" w:cs="Arial" w:eastAsia="Arial" w:hAnsi="Arial"/>
                <w:sz w:val="18"/>
                <w:szCs w:val="18"/>
                <w:color w:val="auto"/>
              </w:rPr>
              <w:t>Rooms</w:t>
            </w:r>
          </w:p>
        </w:tc>
        <w:tc>
          <w:tcPr>
            <w:tcW w:w="300" w:type="dxa"/>
            <w:vAlign w:val="bottom"/>
          </w:tcPr>
          <w:p>
            <w:pPr>
              <w:spacing w:after="0"/>
              <w:rPr>
                <w:sz w:val="21"/>
                <w:szCs w:val="21"/>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152,681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191,270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(38,589)</w:t>
            </w:r>
          </w:p>
        </w:tc>
        <w:tc>
          <w:tcPr>
            <w:tcW w:w="1300" w:type="dxa"/>
            <w:vAlign w:val="bottom"/>
            <w:gridSpan w:val="2"/>
          </w:tcPr>
          <w:p>
            <w:pPr>
              <w:jc w:val="right"/>
              <w:ind w:right="48"/>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Food and beverage</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149,414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173,219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(23,805)</w:t>
            </w:r>
          </w:p>
        </w:tc>
        <w:tc>
          <w:tcPr>
            <w:tcW w:w="13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3"/>
        </w:trPr>
        <w:tc>
          <w:tcPr>
            <w:tcW w:w="5640" w:type="dxa"/>
            <w:vAlign w:val="bottom"/>
          </w:tcPr>
          <w:p>
            <w:pPr>
              <w:ind w:left="480"/>
              <w:spacing w:after="0"/>
              <w:rPr>
                <w:sz w:val="20"/>
                <w:szCs w:val="20"/>
                <w:color w:val="auto"/>
              </w:rPr>
            </w:pPr>
            <w:r>
              <w:rPr>
                <w:rFonts w:ascii="Arial" w:cs="Arial" w:eastAsia="Arial" w:hAnsi="Arial"/>
                <w:sz w:val="18"/>
                <w:szCs w:val="18"/>
                <w:color w:val="auto"/>
              </w:rPr>
              <w:t>Entertainment, retail and other</w:t>
            </w:r>
          </w:p>
        </w:tc>
        <w:tc>
          <w:tcPr>
            <w:tcW w:w="300" w:type="dxa"/>
            <w:vAlign w:val="bottom"/>
          </w:tcPr>
          <w:p>
            <w:pPr>
              <w:spacing w:after="0"/>
              <w:rPr>
                <w:sz w:val="21"/>
                <w:szCs w:val="21"/>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80,832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101,956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(21,124)</w:t>
            </w:r>
          </w:p>
        </w:tc>
        <w:tc>
          <w:tcPr>
            <w:tcW w:w="1300" w:type="dxa"/>
            <w:vAlign w:val="bottom"/>
            <w:gridSpan w:val="2"/>
          </w:tcPr>
          <w:p>
            <w:pPr>
              <w:jc w:val="right"/>
              <w:ind w:right="48"/>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 non-casino revenues</w:t>
            </w: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382,927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466,445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(83,518)</w:t>
            </w:r>
          </w:p>
        </w:tc>
        <w:tc>
          <w:tcPr>
            <w:tcW w:w="13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64"/>
        </w:trPr>
        <w:tc>
          <w:tcPr>
            <w:tcW w:w="56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953,716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1,651,546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(697,830)</w:t>
            </w:r>
          </w:p>
        </w:tc>
        <w:tc>
          <w:tcPr>
            <w:tcW w:w="1300" w:type="dxa"/>
            <w:vAlign w:val="bottom"/>
            <w:gridSpan w:val="2"/>
          </w:tcPr>
          <w:p>
            <w:pPr>
              <w:jc w:val="right"/>
              <w:ind w:right="48"/>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Casino revenues for the three months ended March 31, 2020 were 59.8% of operating revenues, compared to 71.8% for the same period of 2019.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Non-casino revenues for the three months ended March 31, 2020 were 40.2% of operating revenues, compared to 28.2% for the same period of 2019.</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revenues</w:t>
      </w:r>
    </w:p>
    <w:p>
      <w:pPr>
        <w:spacing w:after="0" w:line="252"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Casino revenues decreased primarily due to the adverse effects of the COVID-19 outbreak, including the closure of our casino operations in Macau for a 15-day period and their subsequent reopening on a reduced basis, and the closure of Encore Boston Harbor on March 15, 2020 and our Las Vegas Operations on March 17, 2020 for the remainder of the first quarter of 2020. Casino revenues from Encore Boston Harbor totaled $101.8 million. The table below sets forth our casino revenues and associated key operating measures (dollars in thousands, except for win per unit per day):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right"/>
              <w:ind w:right="291"/>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92"/>
              </w:rPr>
              <w:t>Increase/</w:t>
            </w:r>
          </w:p>
        </w:tc>
        <w:tc>
          <w:tcPr>
            <w:tcW w:w="1400" w:type="dxa"/>
            <w:vAlign w:val="bottom"/>
          </w:tcPr>
          <w:p>
            <w:pPr>
              <w:jc w:val="right"/>
              <w:ind w:right="371"/>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400" w:type="dxa"/>
            <w:vAlign w:val="bottom"/>
          </w:tcPr>
          <w:p>
            <w:pPr>
              <w:jc w:val="right"/>
              <w:ind w:right="37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Macau Operations:</w:t>
            </w: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120"/>
              <w:spacing w:after="0"/>
              <w:rPr>
                <w:sz w:val="20"/>
                <w:szCs w:val="20"/>
                <w:color w:val="auto"/>
              </w:rPr>
            </w:pPr>
            <w:r>
              <w:rPr>
                <w:rFonts w:ascii="Arial" w:cs="Arial" w:eastAsia="Arial" w:hAnsi="Arial"/>
                <w:sz w:val="18"/>
                <w:szCs w:val="18"/>
                <w:color w:val="auto"/>
              </w:rPr>
              <w:t>Wynn Palace:</w:t>
            </w: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casino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207,576</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623,175</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(415,599)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43"/>
        </w:trPr>
        <w:tc>
          <w:tcPr>
            <w:tcW w:w="5080" w:type="dxa"/>
            <w:vAlign w:val="bottom"/>
          </w:tcPr>
          <w:p>
            <w:pPr>
              <w:ind w:left="340"/>
              <w:spacing w:after="0"/>
              <w:rPr>
                <w:sz w:val="20"/>
                <w:szCs w:val="20"/>
                <w:color w:val="auto"/>
              </w:rPr>
            </w:pPr>
            <w:r>
              <w:rPr>
                <w:rFonts w:ascii="Arial" w:cs="Arial" w:eastAsia="Arial" w:hAnsi="Arial"/>
                <w:sz w:val="18"/>
                <w:szCs w:val="18"/>
                <w:color w:val="auto"/>
              </w:rPr>
              <w:t>VIP:</w:t>
            </w: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VIP turnover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4,792,454</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12,627,262</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(7,834,808)</w:t>
            </w:r>
          </w:p>
        </w:tc>
        <w:tc>
          <w:tcPr>
            <w:tcW w:w="1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VIP 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139,569</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493,184</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(353,615)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VIP win as a % of turnover</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20,257</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49,156</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(28,899)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43"/>
        </w:trPr>
        <w:tc>
          <w:tcPr>
            <w:tcW w:w="5080" w:type="dxa"/>
            <w:vAlign w:val="bottom"/>
          </w:tcPr>
          <w:p>
            <w:pPr>
              <w:ind w:left="340"/>
              <w:spacing w:after="0"/>
              <w:rPr>
                <w:sz w:val="20"/>
                <w:szCs w:val="20"/>
                <w:color w:val="auto"/>
              </w:rPr>
            </w:pPr>
            <w:r>
              <w:rPr>
                <w:rFonts w:ascii="Arial" w:cs="Arial" w:eastAsia="Arial" w:hAnsi="Arial"/>
                <w:sz w:val="18"/>
                <w:szCs w:val="18"/>
                <w:color w:val="auto"/>
              </w:rPr>
              <w:t>Mass market:</w:t>
            </w: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Table drop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475,223</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1,303,924</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(828,701)</w:t>
            </w:r>
          </w:p>
        </w:tc>
        <w:tc>
          <w:tcPr>
            <w:tcW w:w="1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130,714</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315,469</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(184,755)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Table games win %</w:t>
            </w:r>
          </w:p>
        </w:tc>
        <w:tc>
          <w:tcPr>
            <w:tcW w:w="3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27.5 %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24.2 %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9,507</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16,646</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(7,139)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733</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Slot machine handle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424,714</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975,048</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(550,334)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Slot machine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18,405</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51,401</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(32,996)</w:t>
            </w:r>
          </w:p>
        </w:tc>
        <w:tc>
          <w:tcPr>
            <w:tcW w:w="1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43"/>
        </w:trPr>
        <w:tc>
          <w:tcPr>
            <w:tcW w:w="5080" w:type="dxa"/>
            <w:vAlign w:val="bottom"/>
          </w:tcPr>
          <w:p>
            <w:pPr>
              <w:ind w:left="120"/>
              <w:spacing w:after="0"/>
              <w:rPr>
                <w:sz w:val="20"/>
                <w:szCs w:val="20"/>
                <w:color w:val="auto"/>
              </w:rPr>
            </w:pPr>
            <w:r>
              <w:rPr>
                <w:rFonts w:ascii="Arial" w:cs="Arial" w:eastAsia="Arial" w:hAnsi="Arial"/>
                <w:sz w:val="18"/>
                <w:szCs w:val="18"/>
                <w:color w:val="auto"/>
              </w:rPr>
              <w:t>Wynn Macau:</w:t>
            </w: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casino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190,128</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450,242</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(260,114)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43"/>
        </w:trPr>
        <w:tc>
          <w:tcPr>
            <w:tcW w:w="5080" w:type="dxa"/>
            <w:vAlign w:val="bottom"/>
          </w:tcPr>
          <w:p>
            <w:pPr>
              <w:ind w:left="340"/>
              <w:spacing w:after="0"/>
              <w:rPr>
                <w:sz w:val="20"/>
                <w:szCs w:val="20"/>
                <w:color w:val="auto"/>
              </w:rPr>
            </w:pPr>
            <w:r>
              <w:rPr>
                <w:rFonts w:ascii="Arial" w:cs="Arial" w:eastAsia="Arial" w:hAnsi="Arial"/>
                <w:sz w:val="18"/>
                <w:szCs w:val="18"/>
                <w:color w:val="auto"/>
              </w:rPr>
              <w:t>VIP:</w:t>
            </w: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VIP turnover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2,964,146</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10,194,031</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(7,229,885)</w:t>
            </w:r>
          </w:p>
        </w:tc>
        <w:tc>
          <w:tcPr>
            <w:tcW w:w="1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VIP 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122,625</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295,298</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(172,673)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VIP win as a % of turnover</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19,702</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29,099</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(9,397)</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43"/>
        </w:trPr>
        <w:tc>
          <w:tcPr>
            <w:tcW w:w="5080" w:type="dxa"/>
            <w:vAlign w:val="bottom"/>
          </w:tcPr>
          <w:p>
            <w:pPr>
              <w:ind w:left="340"/>
              <w:spacing w:after="0"/>
              <w:rPr>
                <w:sz w:val="20"/>
                <w:szCs w:val="20"/>
                <w:color w:val="auto"/>
              </w:rPr>
            </w:pPr>
            <w:r>
              <w:rPr>
                <w:rFonts w:ascii="Arial" w:cs="Arial" w:eastAsia="Arial" w:hAnsi="Arial"/>
                <w:sz w:val="18"/>
                <w:szCs w:val="18"/>
                <w:color w:val="auto"/>
              </w:rPr>
              <w:t>Mass market:</w:t>
            </w: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Table drop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578,235</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1,351,693</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(773,458)</w:t>
            </w:r>
          </w:p>
        </w:tc>
        <w:tc>
          <w:tcPr>
            <w:tcW w:w="1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117,941</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264,542</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(146,601)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Table games win %</w:t>
            </w:r>
          </w:p>
        </w:tc>
        <w:tc>
          <w:tcPr>
            <w:tcW w:w="3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20.4 %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19.6 %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8,372</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14,283</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826</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Slot machine handle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366,537</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794,367</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(427,830)</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Slot machine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13,295</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37,894</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(24,599)</w:t>
            </w:r>
          </w:p>
        </w:tc>
        <w:tc>
          <w:tcPr>
            <w:tcW w:w="1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Poker rake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2,083</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5,752</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(3,669)</w:t>
            </w:r>
          </w:p>
        </w:tc>
        <w:tc>
          <w:tcPr>
            <w:tcW w:w="1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jc w:val="right"/>
              <w:ind w:right="271"/>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92"/>
              </w:rPr>
              <w:t>Increase/</w:t>
            </w:r>
          </w:p>
        </w:tc>
        <w:tc>
          <w:tcPr>
            <w:tcW w:w="1400" w:type="dxa"/>
            <w:vAlign w:val="bottom"/>
          </w:tcPr>
          <w:p>
            <w:pPr>
              <w:jc w:val="right"/>
              <w:ind w:right="372"/>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400" w:type="dxa"/>
            <w:vAlign w:val="bottom"/>
          </w:tcPr>
          <w:p>
            <w:pPr>
              <w:jc w:val="right"/>
              <w:ind w:right="37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340"/>
              <w:spacing w:after="0"/>
              <w:rPr>
                <w:sz w:val="20"/>
                <w:szCs w:val="20"/>
                <w:color w:val="auto"/>
              </w:rPr>
            </w:pPr>
            <w:r>
              <w:rPr>
                <w:rFonts w:ascii="Arial" w:cs="Arial" w:eastAsia="Arial" w:hAnsi="Arial"/>
                <w:sz w:val="18"/>
                <w:szCs w:val="18"/>
                <w:color w:val="auto"/>
              </w:rPr>
              <w:t>Total casino revenues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71,295</w:t>
            </w: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111,684</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(40,389)</w:t>
            </w:r>
          </w:p>
        </w:tc>
        <w:tc>
          <w:tcPr>
            <w:tcW w:w="12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5100" w:type="dxa"/>
            <w:vAlign w:val="bottom"/>
          </w:tcPr>
          <w:p>
            <w:pPr>
              <w:ind w:left="540"/>
              <w:spacing w:after="0"/>
              <w:rPr>
                <w:sz w:val="20"/>
                <w:szCs w:val="20"/>
                <w:color w:val="auto"/>
              </w:rPr>
            </w:pPr>
            <w:r>
              <w:rPr>
                <w:rFonts w:ascii="Arial" w:cs="Arial" w:eastAsia="Arial" w:hAnsi="Arial"/>
                <w:sz w:val="18"/>
                <w:szCs w:val="18"/>
                <w:color w:val="auto"/>
              </w:rPr>
              <w:t>Table drop</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414,933</w:t>
            </w: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404,073</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10,860</w:t>
            </w:r>
          </w:p>
        </w:tc>
        <w:tc>
          <w:tcPr>
            <w:tcW w:w="12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82,666</w:t>
            </w:r>
          </w:p>
        </w:tc>
        <w:tc>
          <w:tcPr>
            <w:tcW w:w="6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111,370</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(28,704)</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43"/>
        </w:trPr>
        <w:tc>
          <w:tcPr>
            <w:tcW w:w="5100" w:type="dxa"/>
            <w:vAlign w:val="bottom"/>
          </w:tcPr>
          <w:p>
            <w:pPr>
              <w:ind w:left="540"/>
              <w:spacing w:after="0"/>
              <w:rPr>
                <w:sz w:val="20"/>
                <w:szCs w:val="20"/>
                <w:color w:val="auto"/>
              </w:rPr>
            </w:pPr>
            <w:r>
              <w:rPr>
                <w:rFonts w:ascii="Arial" w:cs="Arial" w:eastAsia="Arial" w:hAnsi="Arial"/>
                <w:sz w:val="18"/>
                <w:szCs w:val="18"/>
                <w:color w:val="auto"/>
              </w:rPr>
              <w:t>Table games win %</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4,530</w:t>
            </w:r>
          </w:p>
        </w:tc>
        <w:tc>
          <w:tcPr>
            <w:tcW w:w="6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5,198</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(668)</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5100" w:type="dxa"/>
            <w:vAlign w:val="bottom"/>
          </w:tcPr>
          <w:p>
            <w:pPr>
              <w:ind w:left="54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Slot machine handle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664,834</w:t>
            </w:r>
          </w:p>
        </w:tc>
        <w:tc>
          <w:tcPr>
            <w:tcW w:w="6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789,310</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(124,476)</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43"/>
        </w:trPr>
        <w:tc>
          <w:tcPr>
            <w:tcW w:w="5100" w:type="dxa"/>
            <w:vAlign w:val="bottom"/>
          </w:tcPr>
          <w:p>
            <w:pPr>
              <w:ind w:left="540"/>
              <w:spacing w:after="0"/>
              <w:rPr>
                <w:sz w:val="20"/>
                <w:szCs w:val="20"/>
                <w:color w:val="auto"/>
              </w:rPr>
            </w:pPr>
            <w:r>
              <w:rPr>
                <w:rFonts w:ascii="Arial" w:cs="Arial" w:eastAsia="Arial" w:hAnsi="Arial"/>
                <w:sz w:val="18"/>
                <w:szCs w:val="18"/>
                <w:color w:val="auto"/>
              </w:rPr>
              <w:t>Slot machine win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46,674</w:t>
            </w: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54,544</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(7,870)</w:t>
            </w:r>
          </w:p>
        </w:tc>
        <w:tc>
          <w:tcPr>
            <w:tcW w:w="12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6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5100" w:type="dxa"/>
            <w:vAlign w:val="bottom"/>
          </w:tcPr>
          <w:p>
            <w:pPr>
              <w:ind w:left="540"/>
              <w:spacing w:after="0"/>
              <w:rPr>
                <w:sz w:val="20"/>
                <w:szCs w:val="20"/>
                <w:color w:val="auto"/>
              </w:rPr>
            </w:pPr>
            <w:r>
              <w:rPr>
                <w:rFonts w:ascii="Arial" w:cs="Arial" w:eastAsia="Arial" w:hAnsi="Arial"/>
                <w:sz w:val="18"/>
                <w:szCs w:val="18"/>
                <w:color w:val="auto"/>
              </w:rPr>
              <w:t>Poker rake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2,175</w:t>
            </w: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2,460</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Encore Boston Harbor </w:t>
            </w:r>
            <w:r>
              <w:rPr>
                <w:rFonts w:ascii="Arial" w:cs="Arial" w:eastAsia="Arial" w:hAnsi="Arial"/>
                <w:sz w:val="14"/>
                <w:szCs w:val="14"/>
                <w:b w:val="1"/>
                <w:bCs w:val="1"/>
                <w:color w:val="auto"/>
              </w:rPr>
              <w:t>(1)</w:t>
            </w: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340"/>
              <w:spacing w:after="0"/>
              <w:rPr>
                <w:sz w:val="20"/>
                <w:szCs w:val="20"/>
                <w:color w:val="auto"/>
              </w:rPr>
            </w:pPr>
            <w:r>
              <w:rPr>
                <w:rFonts w:ascii="Arial" w:cs="Arial" w:eastAsia="Arial" w:hAnsi="Arial"/>
                <w:sz w:val="18"/>
                <w:szCs w:val="18"/>
                <w:color w:val="auto"/>
              </w:rPr>
              <w:t>Total casino revenues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101,790</w:t>
            </w: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101,790</w:t>
            </w:r>
          </w:p>
        </w:tc>
        <w:tc>
          <w:tcPr>
            <w:tcW w:w="12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00" w:type="dxa"/>
            <w:vAlign w:val="bottom"/>
          </w:tcPr>
          <w:p>
            <w:pPr>
              <w:ind w:left="540"/>
              <w:spacing w:after="0"/>
              <w:rPr>
                <w:sz w:val="20"/>
                <w:szCs w:val="20"/>
                <w:color w:val="auto"/>
              </w:rPr>
            </w:pPr>
            <w:r>
              <w:rPr>
                <w:rFonts w:ascii="Arial" w:cs="Arial" w:eastAsia="Arial" w:hAnsi="Arial"/>
                <w:sz w:val="18"/>
                <w:szCs w:val="18"/>
                <w:color w:val="auto"/>
              </w:rPr>
              <w:t>Table drop</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275,631</w:t>
            </w: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275,631</w:t>
            </w:r>
          </w:p>
        </w:tc>
        <w:tc>
          <w:tcPr>
            <w:tcW w:w="12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57,286</w:t>
            </w:r>
          </w:p>
        </w:tc>
        <w:tc>
          <w:tcPr>
            <w:tcW w:w="6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57,286</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00" w:type="dxa"/>
            <w:vAlign w:val="bottom"/>
          </w:tcPr>
          <w:p>
            <w:pPr>
              <w:ind w:left="540"/>
              <w:spacing w:after="0"/>
              <w:rPr>
                <w:sz w:val="20"/>
                <w:szCs w:val="20"/>
                <w:color w:val="auto"/>
              </w:rPr>
            </w:pPr>
            <w:r>
              <w:rPr>
                <w:rFonts w:ascii="Arial" w:cs="Arial" w:eastAsia="Arial" w:hAnsi="Arial"/>
                <w:sz w:val="18"/>
                <w:szCs w:val="18"/>
                <w:color w:val="auto"/>
              </w:rPr>
              <w:t>Table games win %</w:t>
            </w:r>
          </w:p>
        </w:tc>
        <w:tc>
          <w:tcPr>
            <w:tcW w:w="3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20.8 %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gridSpan w:val="4"/>
          </w:tcPr>
          <w:p>
            <w:pPr>
              <w:jc w:val="right"/>
              <w:ind w:right="380"/>
              <w:spacing w:after="0"/>
              <w:rPr>
                <w:sz w:val="20"/>
                <w:szCs w:val="20"/>
                <w:color w:val="auto"/>
              </w:rPr>
            </w:pPr>
            <w:r>
              <w:rPr>
                <w:rFonts w:ascii="Arial" w:cs="Arial" w:eastAsia="Arial" w:hAnsi="Arial"/>
                <w:sz w:val="18"/>
                <w:szCs w:val="18"/>
                <w:color w:val="auto"/>
              </w:rPr>
              <w:t>— %</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6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4,826</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00" w:type="dxa"/>
            <w:vAlign w:val="bottom"/>
          </w:tcPr>
          <w:p>
            <w:pPr>
              <w:ind w:left="54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2,837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2,837</w:t>
            </w:r>
          </w:p>
        </w:tc>
        <w:tc>
          <w:tcPr>
            <w:tcW w:w="12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Slot machine handle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767,739</w:t>
            </w:r>
          </w:p>
        </w:tc>
        <w:tc>
          <w:tcPr>
            <w:tcW w:w="6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767,739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00" w:type="dxa"/>
            <w:vAlign w:val="bottom"/>
          </w:tcPr>
          <w:p>
            <w:pPr>
              <w:ind w:left="540"/>
              <w:spacing w:after="0"/>
              <w:rPr>
                <w:sz w:val="20"/>
                <w:szCs w:val="20"/>
                <w:color w:val="auto"/>
              </w:rPr>
            </w:pPr>
            <w:r>
              <w:rPr>
                <w:rFonts w:ascii="Arial" w:cs="Arial" w:eastAsia="Arial" w:hAnsi="Arial"/>
                <w:sz w:val="18"/>
                <w:szCs w:val="18"/>
                <w:color w:val="auto"/>
              </w:rPr>
              <w:t>Slot machine win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59,448</w:t>
            </w: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59,448</w:t>
            </w:r>
          </w:p>
        </w:tc>
        <w:tc>
          <w:tcPr>
            <w:tcW w:w="12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6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00" w:type="dxa"/>
            <w:vAlign w:val="bottom"/>
          </w:tcPr>
          <w:p>
            <w:pPr>
              <w:ind w:left="540"/>
              <w:spacing w:after="0"/>
              <w:rPr>
                <w:sz w:val="20"/>
                <w:szCs w:val="20"/>
                <w:color w:val="auto"/>
              </w:rPr>
            </w:pPr>
            <w:r>
              <w:rPr>
                <w:rFonts w:ascii="Arial" w:cs="Arial" w:eastAsia="Arial" w:hAnsi="Arial"/>
                <w:sz w:val="18"/>
                <w:szCs w:val="18"/>
                <w:color w:val="auto"/>
              </w:rPr>
              <w:t>Poker rake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5,105</w:t>
            </w: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5,105</w:t>
            </w:r>
          </w:p>
        </w:tc>
        <w:tc>
          <w:tcPr>
            <w:tcW w:w="12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(1) Encore Boston Harbor opened on June 23,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Non-casino revenues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sets forth our room revenues and associated key operating measures: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jc w:val="right"/>
              <w:ind w:right="271"/>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92"/>
              </w:rPr>
              <w:t>Increase/</w:t>
            </w:r>
          </w:p>
        </w:tc>
        <w:tc>
          <w:tcPr>
            <w:tcW w:w="14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Macau Operations:</w:t>
            </w: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60"/>
              <w:spacing w:after="0"/>
              <w:rPr>
                <w:sz w:val="20"/>
                <w:szCs w:val="20"/>
                <w:color w:val="auto"/>
              </w:rPr>
            </w:pPr>
            <w:r>
              <w:rPr>
                <w:rFonts w:ascii="Arial" w:cs="Arial" w:eastAsia="Arial" w:hAnsi="Arial"/>
                <w:sz w:val="18"/>
                <w:szCs w:val="18"/>
                <w:color w:val="auto"/>
              </w:rPr>
              <w:t>Wynn Palace</w:t>
            </w: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room revenues (dollars in thousands)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19,710</w:t>
            </w:r>
          </w:p>
        </w:tc>
        <w:tc>
          <w:tcPr>
            <w:tcW w:w="6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43,314</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(23,604)</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43"/>
        </w:trPr>
        <w:tc>
          <w:tcPr>
            <w:tcW w:w="5100" w:type="dxa"/>
            <w:vAlign w:val="bottom"/>
          </w:tcPr>
          <w:p>
            <w:pPr>
              <w:ind w:left="340"/>
              <w:spacing w:after="0"/>
              <w:rPr>
                <w:sz w:val="20"/>
                <w:szCs w:val="20"/>
                <w:color w:val="auto"/>
              </w:rPr>
            </w:pPr>
            <w:r>
              <w:rPr>
                <w:rFonts w:ascii="Arial" w:cs="Arial" w:eastAsia="Arial" w:hAnsi="Arial"/>
                <w:sz w:val="18"/>
                <w:szCs w:val="18"/>
                <w:color w:val="auto"/>
              </w:rPr>
              <w:t>Occupancy</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ADR</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6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5100" w:type="dxa"/>
            <w:vAlign w:val="bottom"/>
          </w:tcPr>
          <w:p>
            <w:pPr>
              <w:ind w:left="340"/>
              <w:spacing w:after="0"/>
              <w:rPr>
                <w:sz w:val="20"/>
                <w:szCs w:val="20"/>
                <w:color w:val="auto"/>
              </w:rPr>
            </w:pPr>
            <w:r>
              <w:rPr>
                <w:rFonts w:ascii="Arial" w:cs="Arial" w:eastAsia="Arial" w:hAnsi="Arial"/>
                <w:sz w:val="18"/>
                <w:szCs w:val="18"/>
                <w:color w:val="auto"/>
              </w:rPr>
              <w:t>REVPAR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264</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Wynn Macau:</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340"/>
              <w:spacing w:after="0"/>
              <w:rPr>
                <w:sz w:val="20"/>
                <w:szCs w:val="20"/>
                <w:color w:val="auto"/>
              </w:rPr>
            </w:pPr>
            <w:r>
              <w:rPr>
                <w:rFonts w:ascii="Arial" w:cs="Arial" w:eastAsia="Arial" w:hAnsi="Arial"/>
                <w:sz w:val="18"/>
                <w:szCs w:val="18"/>
                <w:color w:val="auto"/>
              </w:rPr>
              <w:t>Total room revenues (dollars in thousands)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15,911</w:t>
            </w: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28,867</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(12,956)</w:t>
            </w:r>
          </w:p>
        </w:tc>
        <w:tc>
          <w:tcPr>
            <w:tcW w:w="1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Occupancy</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340"/>
              <w:spacing w:after="0"/>
              <w:rPr>
                <w:sz w:val="20"/>
                <w:szCs w:val="20"/>
                <w:color w:val="auto"/>
              </w:rPr>
            </w:pPr>
            <w:r>
              <w:rPr>
                <w:rFonts w:ascii="Arial" w:cs="Arial" w:eastAsia="Arial" w:hAnsi="Arial"/>
                <w:sz w:val="18"/>
                <w:szCs w:val="18"/>
                <w:color w:val="auto"/>
              </w:rPr>
              <w:t>ADR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321</w:t>
            </w: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290</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REVPAR</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6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room revenues (dollars in thousands)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106,105</w:t>
            </w:r>
          </w:p>
        </w:tc>
        <w:tc>
          <w:tcPr>
            <w:tcW w:w="6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119,089</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(12,984)</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5100" w:type="dxa"/>
            <w:vAlign w:val="bottom"/>
          </w:tcPr>
          <w:p>
            <w:pPr>
              <w:ind w:left="340"/>
              <w:spacing w:after="0"/>
              <w:rPr>
                <w:sz w:val="20"/>
                <w:szCs w:val="20"/>
                <w:color w:val="auto"/>
              </w:rPr>
            </w:pPr>
            <w:r>
              <w:rPr>
                <w:rFonts w:ascii="Arial" w:cs="Arial" w:eastAsia="Arial" w:hAnsi="Arial"/>
                <w:sz w:val="18"/>
                <w:szCs w:val="18"/>
                <w:color w:val="auto"/>
              </w:rPr>
              <w:t>Occupancy</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ADR</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6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5100" w:type="dxa"/>
            <w:vAlign w:val="bottom"/>
          </w:tcPr>
          <w:p>
            <w:pPr>
              <w:ind w:left="340"/>
              <w:spacing w:after="0"/>
              <w:rPr>
                <w:sz w:val="20"/>
                <w:szCs w:val="20"/>
                <w:color w:val="auto"/>
              </w:rPr>
            </w:pPr>
            <w:r>
              <w:rPr>
                <w:rFonts w:ascii="Arial" w:cs="Arial" w:eastAsia="Arial" w:hAnsi="Arial"/>
                <w:sz w:val="18"/>
                <w:szCs w:val="18"/>
                <w:color w:val="auto"/>
              </w:rPr>
              <w:t>REVPAR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299</w:t>
            </w: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279</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Encore Boston Harbor </w:t>
            </w:r>
            <w:r>
              <w:rPr>
                <w:rFonts w:ascii="Arial" w:cs="Arial" w:eastAsia="Arial" w:hAnsi="Arial"/>
                <w:sz w:val="14"/>
                <w:szCs w:val="14"/>
                <w:b w:val="1"/>
                <w:bCs w:val="1"/>
                <w:color w:val="auto"/>
              </w:rPr>
              <w:t>(1)</w:t>
            </w: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340"/>
              <w:spacing w:after="0"/>
              <w:rPr>
                <w:sz w:val="20"/>
                <w:szCs w:val="20"/>
                <w:color w:val="auto"/>
              </w:rPr>
            </w:pPr>
            <w:r>
              <w:rPr>
                <w:rFonts w:ascii="Arial" w:cs="Arial" w:eastAsia="Arial" w:hAnsi="Arial"/>
                <w:sz w:val="18"/>
                <w:szCs w:val="18"/>
                <w:color w:val="auto"/>
              </w:rPr>
              <w:t>Total room revenues (dollars in thousands)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10,955</w:t>
            </w: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10,955</w:t>
            </w:r>
          </w:p>
        </w:tc>
        <w:tc>
          <w:tcPr>
            <w:tcW w:w="12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Occupancy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75.8 %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75.8</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340"/>
              <w:spacing w:after="0"/>
              <w:rPr>
                <w:sz w:val="20"/>
                <w:szCs w:val="20"/>
                <w:color w:val="auto"/>
              </w:rPr>
            </w:pPr>
            <w:r>
              <w:rPr>
                <w:rFonts w:ascii="Arial" w:cs="Arial" w:eastAsia="Arial" w:hAnsi="Arial"/>
                <w:sz w:val="18"/>
                <w:szCs w:val="18"/>
                <w:color w:val="auto"/>
              </w:rPr>
              <w:t>ADR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292</w:t>
            </w: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REVPAR</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(1) Encore Boston Harbor opened on June 23, 2019.</w:t>
      </w:r>
    </w:p>
    <w:p>
      <w:pPr>
        <w:spacing w:after="0" w:line="24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Room revenues decreased $38.6 million, primarily due to lower occupancy at Wynn Palace and Wynn Macau and the closure of our Las Vegas Operations resulting from the adverse effects of the COVID-19 outbreak. Room revenues from Encore Boston Harbor were $11.0 million.</w:t>
      </w:r>
    </w:p>
    <w:p>
      <w:pPr>
        <w:spacing w:after="0" w:line="17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Food and beverage revenues decreased $23.8 million, primarily due to decreased covers at our restaurants at our Macau Operations and closure of our Las Vegas Operations resulting from the adverse effects of the COVID-19 outbreak. Food and beverage revenues from Encore Boston Harbor were $20.6 million.</w:t>
      </w:r>
    </w:p>
    <w:p>
      <w:pPr>
        <w:spacing w:after="0" w:line="2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Entertainment, retail and other revenues decreased $21.1 million, primarily due to a decrease in visitation to our Macau Operations and closure of our Las Vegas Operations resulting from the adverse effects of the COVID-19 outbreak. Entertainment, retail and other revenues from Encore Boston Harbor were $7.5 million.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operating expenses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6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ind w:right="233"/>
              <w:spacing w:after="0" w:line="139"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2"/>
                <w:szCs w:val="12"/>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9"/>
              </w:rPr>
              <w:t>Percent Change</w:t>
            </w:r>
          </w:p>
        </w:tc>
        <w:tc>
          <w:tcPr>
            <w:tcW w:w="0" w:type="dxa"/>
            <w:vAlign w:val="bottom"/>
          </w:tcPr>
          <w:p>
            <w:pPr>
              <w:spacing w:after="0"/>
              <w:rPr>
                <w:sz w:val="1"/>
                <w:szCs w:val="1"/>
                <w:color w:val="auto"/>
              </w:rPr>
            </w:pPr>
          </w:p>
        </w:tc>
      </w:tr>
      <w:tr>
        <w:trPr>
          <w:trHeight w:val="192"/>
        </w:trPr>
        <w:tc>
          <w:tcPr>
            <w:tcW w:w="56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340"/>
              <w:spacing w:after="0"/>
              <w:rPr>
                <w:sz w:val="20"/>
                <w:szCs w:val="20"/>
                <w:color w:val="auto"/>
              </w:rPr>
            </w:pPr>
            <w:r>
              <w:rPr>
                <w:rFonts w:ascii="Arial" w:cs="Arial" w:eastAsia="Arial" w:hAnsi="Arial"/>
                <w:sz w:val="18"/>
                <w:szCs w:val="18"/>
                <w:color w:val="auto"/>
              </w:rPr>
              <w:t>Casino</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442,690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750,071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(307,381)</w:t>
            </w:r>
          </w:p>
        </w:tc>
        <w:tc>
          <w:tcPr>
            <w:tcW w:w="1300" w:type="dxa"/>
            <w:vAlign w:val="bottom"/>
            <w:gridSpan w:val="2"/>
          </w:tcPr>
          <w:p>
            <w:pPr>
              <w:jc w:val="right"/>
              <w:ind w:right="48"/>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73,480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63,706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9,774</w:t>
            </w:r>
          </w:p>
        </w:tc>
        <w:tc>
          <w:tcPr>
            <w:tcW w:w="13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564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300" w:type="dxa"/>
            <w:vAlign w:val="bottom"/>
          </w:tcPr>
          <w:p>
            <w:pPr>
              <w:spacing w:after="0"/>
              <w:rPr>
                <w:sz w:val="21"/>
                <w:szCs w:val="21"/>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175,910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148,761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27,149</w:t>
            </w:r>
          </w:p>
        </w:tc>
        <w:tc>
          <w:tcPr>
            <w:tcW w:w="1300" w:type="dxa"/>
            <w:vAlign w:val="bottom"/>
            <w:gridSpan w:val="2"/>
          </w:tcPr>
          <w:p>
            <w:pPr>
              <w:jc w:val="right"/>
              <w:ind w:right="88"/>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Entertainment, retail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45,580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44,044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1,536</w:t>
            </w:r>
          </w:p>
        </w:tc>
        <w:tc>
          <w:tcPr>
            <w:tcW w:w="13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56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234,328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217,322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17,006</w:t>
            </w:r>
          </w:p>
        </w:tc>
        <w:tc>
          <w:tcPr>
            <w:tcW w:w="1300" w:type="dxa"/>
            <w:vAlign w:val="bottom"/>
            <w:gridSpan w:val="2"/>
          </w:tcPr>
          <w:p>
            <w:pPr>
              <w:jc w:val="right"/>
              <w:ind w:right="88"/>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Provision for credit losses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20,613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5,422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15,191</w:t>
            </w:r>
          </w:p>
        </w:tc>
        <w:tc>
          <w:tcPr>
            <w:tcW w:w="13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280.2</w:t>
            </w:r>
          </w:p>
        </w:tc>
        <w:tc>
          <w:tcPr>
            <w:tcW w:w="0" w:type="dxa"/>
            <w:vAlign w:val="bottom"/>
          </w:tcPr>
          <w:p>
            <w:pPr>
              <w:spacing w:after="0"/>
              <w:rPr>
                <w:sz w:val="1"/>
                <w:szCs w:val="1"/>
                <w:color w:val="auto"/>
              </w:rPr>
            </w:pPr>
          </w:p>
        </w:tc>
      </w:tr>
      <w:tr>
        <w:trPr>
          <w:trHeight w:val="243"/>
        </w:trPr>
        <w:tc>
          <w:tcPr>
            <w:tcW w:w="5640" w:type="dxa"/>
            <w:vAlign w:val="bottom"/>
          </w:tcPr>
          <w:p>
            <w:pPr>
              <w:ind w:left="340"/>
              <w:spacing w:after="0"/>
              <w:rPr>
                <w:sz w:val="20"/>
                <w:szCs w:val="20"/>
                <w:color w:val="auto"/>
              </w:rPr>
            </w:pPr>
            <w:r>
              <w:rPr>
                <w:rFonts w:ascii="Arial" w:cs="Arial" w:eastAsia="Arial" w:hAnsi="Arial"/>
                <w:sz w:val="18"/>
                <w:szCs w:val="18"/>
                <w:color w:val="auto"/>
              </w:rPr>
              <w:t>Pre-opening</w:t>
            </w:r>
          </w:p>
        </w:tc>
        <w:tc>
          <w:tcPr>
            <w:tcW w:w="300" w:type="dxa"/>
            <w:vAlign w:val="bottom"/>
          </w:tcPr>
          <w:p>
            <w:pPr>
              <w:spacing w:after="0"/>
              <w:rPr>
                <w:sz w:val="21"/>
                <w:szCs w:val="21"/>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2,551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27,713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(25,162)</w:t>
            </w:r>
          </w:p>
        </w:tc>
        <w:tc>
          <w:tcPr>
            <w:tcW w:w="1300" w:type="dxa"/>
            <w:vAlign w:val="bottom"/>
            <w:gridSpan w:val="2"/>
          </w:tcPr>
          <w:p>
            <w:pPr>
              <w:jc w:val="right"/>
              <w:ind w:right="48"/>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178,746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136,557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42,189</w:t>
            </w:r>
          </w:p>
        </w:tc>
        <w:tc>
          <w:tcPr>
            <w:tcW w:w="13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43"/>
        </w:trPr>
        <w:tc>
          <w:tcPr>
            <w:tcW w:w="5640" w:type="dxa"/>
            <w:vAlign w:val="bottom"/>
          </w:tcPr>
          <w:p>
            <w:pPr>
              <w:ind w:left="340"/>
              <w:spacing w:after="0"/>
              <w:rPr>
                <w:sz w:val="20"/>
                <w:szCs w:val="20"/>
                <w:color w:val="auto"/>
              </w:rPr>
            </w:pPr>
            <w:r>
              <w:rPr>
                <w:rFonts w:ascii="Arial" w:cs="Arial" w:eastAsia="Arial" w:hAnsi="Arial"/>
                <w:sz w:val="18"/>
                <w:szCs w:val="18"/>
                <w:color w:val="auto"/>
              </w:rPr>
              <w:t>Property charges and other</w:t>
            </w:r>
          </w:p>
        </w:tc>
        <w:tc>
          <w:tcPr>
            <w:tcW w:w="300" w:type="dxa"/>
            <w:vAlign w:val="bottom"/>
          </w:tcPr>
          <w:p>
            <w:pPr>
              <w:spacing w:after="0"/>
              <w:rPr>
                <w:sz w:val="21"/>
                <w:szCs w:val="21"/>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27,229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2,774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24,455</w:t>
            </w:r>
          </w:p>
        </w:tc>
        <w:tc>
          <w:tcPr>
            <w:tcW w:w="1300" w:type="dxa"/>
            <w:vAlign w:val="bottom"/>
            <w:gridSpan w:val="2"/>
          </w:tcPr>
          <w:p>
            <w:pPr>
              <w:jc w:val="right"/>
              <w:ind w:right="88"/>
              <w:spacing w:after="0"/>
              <w:rPr>
                <w:sz w:val="20"/>
                <w:szCs w:val="20"/>
                <w:color w:val="auto"/>
              </w:rPr>
            </w:pPr>
            <w:r>
              <w:rPr>
                <w:rFonts w:ascii="Arial" w:cs="Arial" w:eastAsia="Arial" w:hAnsi="Arial"/>
                <w:sz w:val="18"/>
                <w:szCs w:val="18"/>
                <w:color w:val="auto"/>
              </w:rPr>
              <w:t>881.6</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1,201,127</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1,396,370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(195,243)</w:t>
            </w:r>
          </w:p>
        </w:tc>
        <w:tc>
          <w:tcPr>
            <w:tcW w:w="13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Total operating expenses decreased $195.2 million compared to the first quarter of 2019, primarily due to decreased casino and pre-opening expenses, partially offset by $75.7 million of expense accrued during the quarter related to our commitment to pay salary, tips, and benefits continuation for all of our U.S. employees for the period from April 1 through May 15, 2020, and increased depreciation and amortization expense of $36.9 million following the opening of Encore Boston Harbor in June 2019.</w:t>
      </w:r>
    </w:p>
    <w:p>
      <w:pPr>
        <w:spacing w:after="0" w:line="11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Casino expenses decreased primarily due to decreases of $235.6 million and $147.4 million at Wynn Palace and Wynn Macau, respectively, commensurate with the decreases in casino revenues at each property. These decreases were partially offset by $67.1 million from Encore Boston Harbor and an increase of $8.6 million from our Las Vegas Operations, inclusive of $7.9 million and $12.8 million, respectively, of expense accrued during the quarter related to our commitment to pay salary, tips, and benefits continuation for all of our U.S. employees for the period from April 1 through May 15, 2020.</w:t>
      </w:r>
    </w:p>
    <w:p>
      <w:pPr>
        <w:spacing w:after="0" w:line="10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Room expenses increased primarily due to $9.6 million from Encore Boston Harbor and an increase of $3.4 million at our Las Vegas Operations, inclusive of $1.5 million and $8.3 million, respectively, of expense accrued during the quarter related to our commitment to pay salary, tips, and benefits continuation for all of our U.S. employees for the period from April 1 through May 15, 2020. The increase was partially offset by a decrease of $2.8 million at Wynn Palace, commensurate with the decrease in room revenues.</w:t>
      </w:r>
    </w:p>
    <w:p>
      <w:pPr>
        <w:spacing w:after="0" w:line="119"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Food and beverage expenses increased primarily due to $26.2 million from Encore Boston Harbor and an increase of $12.9 million at our Las Vegas Operations, inclusive of $4.8 million and $20.8 million, respectively, of expense accrued during the quarter related to our commitment to pay salary, tips, and benefits continuation for all of our U.S. employees for the period from April 1 through May 15, 2020. The increase was partially offset by decreases of $9.1 million and $2.9 million at Wynn Palace and Wynn Macau, respectively, primarily due to decreased costs of sales associated with a decrease in covers.</w:t>
      </w:r>
    </w:p>
    <w:p>
      <w:pPr>
        <w:spacing w:after="0" w:line="9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Entertainment, retail and other expenses increased primarily due to $5.0 million from Encore Boston Harbor and an increase of $3.2 million at our Las Vegas Operations, inclusive of $0.7 million and $4.1 million, respectively, of expense accrued during the quarter related to our commitment to pay salary, tips, and benefits continuation for all of our U.S. employees for the period from April 1 through May 15, 2020. The increase was partially offset by decreases of $4.5 million and $2.3 million at Wynn Palace and Wynn Macau, respectively, primarily due to the closure of certain owned retail outlets at our Macau Operations and their conversion to leased outlets during 2019.</w:t>
      </w:r>
    </w:p>
    <w:p>
      <w:pPr>
        <w:spacing w:after="0" w:line="10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General and administrative expenses increased primarily due to $45.6 million from Encore Boston Harbor and an increase of $13.1 million at our Las Vegas Operations, inclusive of $4.4 million and $10.2 million, respectively, of expense accrued during the quarter related to our commitment to pay salary, tips, and benefits continuation for all of our U.S. employees for the period from April 1 through May 15, 2020. The increase was partially offset by decreases of $4.3 million and $0.6 million at Wynn Palace and Wynn Macau, respectively. In addition, corporate and other general and administrative expenses decreased $38.5 million, primarily due to a fine of $35 million assessed by the Massachusetts Gaming Commission incurred during the three months ended March 31, 2019.</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Provision for credit losses increased primarily due to increases of $11.7 million, $1.8 million and $0.9 million at our Las Vegas Operations, Wynn Palace, and Wynn Macau, respectively. The increases were primarily due to the impact of historical collection patterns and current collection trends in light of the COVID-19 outbreak, as well as the specific review of customer accounts, on our estimated credit loss for the respective periods.</w:t>
      </w:r>
    </w:p>
    <w:p>
      <w:pPr>
        <w:spacing w:after="0" w:line="9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three months ended March 31, 2020, pre-opening expenses totaled $2.6 million, which primarily related to restaurant remodels at our Las Vegas Operations. For the three months ended March 31, 2019, pre-opening expenses totaled $27.7 million, which primarily related to the development of Encore Boston Harbor.</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Depreciation and amortization increased primarily due to additional depreciation expense of $36.9 million associated with the opening of Encore Boston Harbor in June 2019 and an increase of $2.7 million at our Las Vegas Operations associated with the opening of the meeting and convention expansion in February 2020.</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property charges and other expenses for the quarter ended March 31, 2020 consisted primarily of asset abandonments and retirements of $22.2 million and $1.4 million at Wynn Palace and Wynn Macau, respectively.</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 of capitalized interest</w:t>
      </w:r>
    </w:p>
    <w:p>
      <w:pPr>
        <w:spacing w:after="0" w:line="3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information related to interest expense (dollars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right"/>
              <w:ind w:right="393"/>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17"/>
              <w:spacing w:after="0" w:line="139" w:lineRule="exact"/>
              <w:rPr>
                <w:sz w:val="20"/>
                <w:szCs w:val="20"/>
                <w:color w:val="auto"/>
              </w:rPr>
            </w:pPr>
            <w:r>
              <w:rPr>
                <w:rFonts w:ascii="Arial" w:cs="Arial" w:eastAsia="Arial" w:hAnsi="Arial"/>
                <w:sz w:val="14"/>
                <w:szCs w:val="14"/>
                <w:b w:val="1"/>
                <w:bCs w:val="1"/>
                <w:color w:val="auto"/>
                <w:w w:val="92"/>
              </w:rPr>
              <w:t>Increase/</w:t>
            </w:r>
          </w:p>
        </w:tc>
        <w:tc>
          <w:tcPr>
            <w:tcW w:w="100" w:type="dxa"/>
            <w:vAlign w:val="bottom"/>
          </w:tcPr>
          <w:p>
            <w:pPr>
              <w:spacing w:after="0"/>
              <w:rPr>
                <w:sz w:val="12"/>
                <w:szCs w:val="12"/>
                <w:color w:val="auto"/>
              </w:rPr>
            </w:pPr>
          </w:p>
        </w:tc>
        <w:tc>
          <w:tcPr>
            <w:tcW w:w="1180" w:type="dxa"/>
            <w:vAlign w:val="bottom"/>
          </w:tcPr>
          <w:p>
            <w:pPr>
              <w:ind w:left="360"/>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340"/>
              <w:spacing w:after="0"/>
              <w:rPr>
                <w:sz w:val="20"/>
                <w:szCs w:val="20"/>
                <w:color w:val="auto"/>
              </w:rPr>
            </w:pPr>
            <w:r>
              <w:rPr>
                <w:rFonts w:ascii="Arial" w:cs="Arial" w:eastAsia="Arial" w:hAnsi="Arial"/>
                <w:sz w:val="18"/>
                <w:szCs w:val="18"/>
                <w:color w:val="auto"/>
                <w:w w:val="99"/>
              </w:rPr>
              <w:t>Interest cost, including amortization of debt issuance costs and</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340"/>
              <w:spacing w:after="0"/>
              <w:rPr>
                <w:sz w:val="20"/>
                <w:szCs w:val="20"/>
                <w:color w:val="auto"/>
              </w:rPr>
            </w:pPr>
            <w:r>
              <w:rPr>
                <w:rFonts w:ascii="Arial" w:cs="Arial" w:eastAsia="Arial" w:hAnsi="Arial"/>
                <w:sz w:val="18"/>
                <w:szCs w:val="18"/>
                <w:color w:val="auto"/>
              </w:rPr>
              <w:t>original issue discount and premium</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130,079</w:t>
            </w:r>
          </w:p>
        </w:tc>
        <w:tc>
          <w:tcPr>
            <w:tcW w:w="68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115,898</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97"/>
              <w:spacing w:after="0"/>
              <w:rPr>
                <w:sz w:val="20"/>
                <w:szCs w:val="20"/>
                <w:color w:val="auto"/>
              </w:rPr>
            </w:pPr>
            <w:r>
              <w:rPr>
                <w:rFonts w:ascii="Arial" w:cs="Arial" w:eastAsia="Arial" w:hAnsi="Arial"/>
                <w:sz w:val="18"/>
                <w:szCs w:val="18"/>
                <w:color w:val="auto"/>
                <w:w w:val="90"/>
              </w:rPr>
              <w:t>14,181</w:t>
            </w:r>
          </w:p>
        </w:tc>
        <w:tc>
          <w:tcPr>
            <w:tcW w:w="1280" w:type="dxa"/>
            <w:vAlign w:val="bottom"/>
            <w:gridSpan w:val="2"/>
          </w:tcPr>
          <w:p>
            <w:pPr>
              <w:jc w:val="center"/>
              <w:ind w:left="570"/>
              <w:spacing w:after="0"/>
              <w:rPr>
                <w:sz w:val="20"/>
                <w:szCs w:val="20"/>
                <w:color w:val="auto"/>
              </w:rPr>
            </w:pPr>
            <w:r>
              <w:rPr>
                <w:rFonts w:ascii="Arial" w:cs="Arial" w:eastAsia="Arial" w:hAnsi="Arial"/>
                <w:sz w:val="18"/>
                <w:szCs w:val="18"/>
                <w:color w:val="auto"/>
                <w:w w:val="85"/>
              </w:rPr>
              <w:t>12.2</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Capitalized interest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(22,718)</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ind w:left="77"/>
              <w:spacing w:after="0"/>
              <w:rPr>
                <w:sz w:val="20"/>
                <w:szCs w:val="20"/>
                <w:color w:val="auto"/>
              </w:rPr>
            </w:pPr>
            <w:r>
              <w:rPr>
                <w:rFonts w:ascii="Arial" w:cs="Arial" w:eastAsia="Arial" w:hAnsi="Arial"/>
                <w:sz w:val="18"/>
                <w:szCs w:val="18"/>
                <w:color w:val="auto"/>
                <w:w w:val="89"/>
              </w:rPr>
              <w:t>(21,466)</w:t>
            </w:r>
          </w:p>
        </w:tc>
        <w:tc>
          <w:tcPr>
            <w:tcW w:w="1280" w:type="dxa"/>
            <w:vAlign w:val="bottom"/>
            <w:tcBorders>
              <w:bottom w:val="single" w:sz="8" w:color="CCEEFF"/>
            </w:tcBorders>
            <w:gridSpan w:val="2"/>
            <w:shd w:val="clear" w:color="auto" w:fill="CCEEFF"/>
          </w:tcPr>
          <w:p>
            <w:pPr>
              <w:jc w:val="center"/>
              <w:ind w:left="550"/>
              <w:spacing w:after="0"/>
              <w:rPr>
                <w:sz w:val="20"/>
                <w:szCs w:val="20"/>
                <w:color w:val="auto"/>
              </w:rPr>
            </w:pPr>
            <w:r>
              <w:rPr>
                <w:rFonts w:ascii="Arial" w:cs="Arial" w:eastAsia="Arial" w:hAnsi="Arial"/>
                <w:sz w:val="18"/>
                <w:szCs w:val="18"/>
                <w:color w:val="auto"/>
                <w:w w:val="93"/>
              </w:rPr>
              <w:t>(94.5)</w:t>
            </w:r>
          </w:p>
        </w:tc>
        <w:tc>
          <w:tcPr>
            <w:tcW w:w="0" w:type="dxa"/>
            <w:vAlign w:val="bottom"/>
          </w:tcPr>
          <w:p>
            <w:pPr>
              <w:spacing w:after="0"/>
              <w:rPr>
                <w:sz w:val="1"/>
                <w:szCs w:val="1"/>
                <w:color w:val="auto"/>
              </w:rPr>
            </w:pPr>
          </w:p>
        </w:tc>
      </w:tr>
      <w:tr>
        <w:trPr>
          <w:trHeight w:val="263"/>
        </w:trPr>
        <w:tc>
          <w:tcPr>
            <w:tcW w:w="53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128,827</w:t>
            </w:r>
          </w:p>
        </w:tc>
        <w:tc>
          <w:tcPr>
            <w:tcW w:w="1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93,180</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center"/>
              <w:ind w:left="97"/>
              <w:spacing w:after="0"/>
              <w:rPr>
                <w:sz w:val="20"/>
                <w:szCs w:val="20"/>
                <w:color w:val="auto"/>
              </w:rPr>
            </w:pPr>
            <w:r>
              <w:rPr>
                <w:rFonts w:ascii="Arial" w:cs="Arial" w:eastAsia="Arial" w:hAnsi="Arial"/>
                <w:sz w:val="18"/>
                <w:szCs w:val="18"/>
                <w:b w:val="1"/>
                <w:bCs w:val="1"/>
                <w:color w:val="auto"/>
                <w:w w:val="90"/>
              </w:rPr>
              <w:t>35,647</w:t>
            </w:r>
          </w:p>
        </w:tc>
        <w:tc>
          <w:tcPr>
            <w:tcW w:w="1280" w:type="dxa"/>
            <w:vAlign w:val="bottom"/>
            <w:gridSpan w:val="2"/>
          </w:tcPr>
          <w:p>
            <w:pPr>
              <w:jc w:val="center"/>
              <w:ind w:left="570"/>
              <w:spacing w:after="0"/>
              <w:rPr>
                <w:sz w:val="20"/>
                <w:szCs w:val="20"/>
                <w:color w:val="auto"/>
              </w:rPr>
            </w:pPr>
            <w:r>
              <w:rPr>
                <w:rFonts w:ascii="Arial" w:cs="Arial" w:eastAsia="Arial" w:hAnsi="Arial"/>
                <w:sz w:val="18"/>
                <w:szCs w:val="18"/>
                <w:color w:val="auto"/>
                <w:w w:val="85"/>
              </w:rPr>
              <w:t>38.3</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Weighted average total debt balance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10,850,355</w:t>
            </w:r>
          </w:p>
        </w:tc>
        <w:tc>
          <w:tcPr>
            <w:tcW w:w="68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9,214,600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interest rate</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costs increased due to an increase in the weighted average debt balance, partially offset by the decrease in the weighted average interest 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Capitalized interest decreased due to the completion of Encore Boston Harbor construction activities on June 23, 2019.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incurred a foreign currency remeasurement gain of $10.3 million and loss of $6.4 million for the three months ended March 31, 2020 and 2019, respectively. The impact of the exchange rate fluctuation of the Macau pataca, in relation to the U.S. dollar, on the remeasurements of U.S. dollar denominated debt and other obligations from our Macau-related entities drove the variability between periods.</w:t>
      </w:r>
    </w:p>
    <w:p>
      <w:pPr>
        <w:spacing w:after="0" w:line="2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recorded a loss of $15.7 million and $1.5 million for the three months ended March 31, 2020 and 2019, respectively, from change in derivatives fair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recorded an income tax expense of $75.8 million and $1.7 million for the three months ended March 31, 2020 and 2019, respectively. The 2020 and 2019 income tax expense primarily related to the increase in the valuation allowance for U.S foreign tax credits.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attributable to noncontrolling interests</w:t>
      </w:r>
    </w:p>
    <w:p>
      <w:pPr>
        <w:spacing w:after="0" w:line="252"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Net loss attributable to noncontrolling interests was $48.2 million for the three months ended March 31, 2020, compared to income of $54.9 million for the same period of 2019. These amounts are primarily related to the noncontrolling interests' share of net income (loss) from WML.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256" w:lineRule="exact"/>
        <w:rPr>
          <w:sz w:val="20"/>
          <w:szCs w:val="20"/>
          <w:color w:val="auto"/>
        </w:rPr>
      </w:pPr>
    </w:p>
    <w:p>
      <w:pPr>
        <w:jc w:val="both"/>
        <w:ind w:firstLine="405"/>
        <w:spacing w:after="0" w:line="267" w:lineRule="auto"/>
        <w:rPr>
          <w:sz w:val="20"/>
          <w:szCs w:val="20"/>
          <w:color w:val="auto"/>
        </w:rPr>
      </w:pPr>
      <w:r>
        <w:rPr>
          <w:rFonts w:ascii="Arial" w:cs="Arial" w:eastAsia="Arial" w:hAnsi="Arial"/>
          <w:sz w:val="17"/>
          <w:szCs w:val="17"/>
          <w:color w:val="auto"/>
        </w:rPr>
        <w:t>We use Adjusted Property EBITDA to manage the operating results of our segments. Adjusted Property EBITDA is net income (loss) before interest, income taxes, depreciation and amortization, pre-opening expenses, property charges and other, management and license fees, corporate expenses and other (including intercompany golf course and water rights leases), stock-based compensation, change in derivatives fair value, loss on extinguishment of debt,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We also present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24"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following table summarizes Adjusted Property EBITDA (in thousands) for Wynn Palace, Wynn Macau, Las Vegas Operations, and Encore Boston Harbor as reviewed by management and summarized in Item 1—"Notes to Condensed Consolidated Financial Statements," Note 16, "Segment Information." That footnote also presents a reconciliation of Adjusted Property EBITDA to net income (loss) attributable to Wynn Resorts, Limited.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6"/>
        </w:trPr>
        <w:tc>
          <w:tcPr>
            <w:tcW w:w="5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540" w:type="dxa"/>
            <w:vAlign w:val="bottom"/>
            <w:gridSpan w:val="3"/>
          </w:tcPr>
          <w:p>
            <w:pPr>
              <w:ind w:left="100"/>
              <w:spacing w:after="0"/>
              <w:rPr>
                <w:sz w:val="20"/>
                <w:szCs w:val="20"/>
                <w:color w:val="auto"/>
              </w:rPr>
            </w:pPr>
            <w:r>
              <w:rPr>
                <w:rFonts w:ascii="Arial" w:cs="Arial" w:eastAsia="Arial" w:hAnsi="Arial"/>
                <w:sz w:val="14"/>
                <w:szCs w:val="14"/>
                <w:b w:val="1"/>
                <w:bCs w:val="1"/>
                <w:color w:val="auto"/>
              </w:rPr>
              <w:t>Increase/ (Decrease)</w:t>
            </w: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rPr>
              <w:t>Percent Change</w:t>
            </w:r>
          </w:p>
        </w:tc>
      </w:tr>
      <w:tr>
        <w:trPr>
          <w:trHeight w:val="250"/>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Wynn Palace</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center"/>
              <w:ind w:left="236"/>
              <w:spacing w:after="0"/>
              <w:rPr>
                <w:sz w:val="20"/>
                <w:szCs w:val="20"/>
                <w:color w:val="auto"/>
              </w:rPr>
            </w:pPr>
            <w:r>
              <w:rPr>
                <w:rFonts w:ascii="Arial" w:cs="Arial" w:eastAsia="Arial" w:hAnsi="Arial"/>
                <w:sz w:val="18"/>
                <w:szCs w:val="18"/>
                <w:color w:val="auto"/>
                <w:w w:val="90"/>
              </w:rPr>
              <w:t>10,176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222,586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(212,410)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(95.4)</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Wynn Macau</w:t>
            </w:r>
          </w:p>
        </w:tc>
        <w:tc>
          <w:tcPr>
            <w:tcW w:w="300" w:type="dxa"/>
            <w:vAlign w:val="bottom"/>
          </w:tcPr>
          <w:p>
            <w:pPr>
              <w:spacing w:after="0"/>
              <w:rPr>
                <w:sz w:val="21"/>
                <w:szCs w:val="21"/>
                <w:color w:val="auto"/>
              </w:rPr>
            </w:pPr>
          </w:p>
        </w:tc>
        <w:tc>
          <w:tcPr>
            <w:tcW w:w="1140" w:type="dxa"/>
            <w:vAlign w:val="bottom"/>
          </w:tcPr>
          <w:p>
            <w:pPr>
              <w:jc w:val="center"/>
              <w:ind w:left="236"/>
              <w:spacing w:after="0"/>
              <w:rPr>
                <w:sz w:val="20"/>
                <w:szCs w:val="20"/>
                <w:color w:val="auto"/>
              </w:rPr>
            </w:pPr>
            <w:r>
              <w:rPr>
                <w:rFonts w:ascii="Arial" w:cs="Arial" w:eastAsia="Arial" w:hAnsi="Arial"/>
                <w:sz w:val="18"/>
                <w:szCs w:val="18"/>
                <w:color w:val="auto"/>
                <w:w w:val="90"/>
              </w:rPr>
              <w:t>19,208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163,889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(144,681)</w:t>
            </w:r>
          </w:p>
        </w:tc>
        <w:tc>
          <w:tcPr>
            <w:tcW w:w="10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(88.3)</w:t>
            </w: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Las Vegas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ind w:left="216"/>
              <w:spacing w:after="0"/>
              <w:rPr>
                <w:sz w:val="20"/>
                <w:szCs w:val="20"/>
                <w:color w:val="auto"/>
              </w:rPr>
            </w:pPr>
            <w:r>
              <w:rPr>
                <w:rFonts w:ascii="Arial" w:cs="Arial" w:eastAsia="Arial" w:hAnsi="Arial"/>
                <w:sz w:val="18"/>
                <w:szCs w:val="18"/>
                <w:color w:val="auto"/>
                <w:w w:val="89"/>
              </w:rPr>
              <w:t>(22,077)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108,302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(130,379)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(120.4)</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 xml:space="preserve">Encore Boston Harbor </w:t>
            </w:r>
            <w:r>
              <w:rPr>
                <w:rFonts w:ascii="Arial" w:cs="Arial" w:eastAsia="Arial" w:hAnsi="Arial"/>
                <w:sz w:val="14"/>
                <w:szCs w:val="14"/>
                <w:color w:val="auto"/>
              </w:rPr>
              <w:t>(1)</w:t>
            </w:r>
          </w:p>
        </w:tc>
        <w:tc>
          <w:tcPr>
            <w:tcW w:w="300" w:type="dxa"/>
            <w:vAlign w:val="bottom"/>
          </w:tcPr>
          <w:p>
            <w:pPr>
              <w:spacing w:after="0"/>
              <w:rPr>
                <w:sz w:val="21"/>
                <w:szCs w:val="21"/>
                <w:color w:val="auto"/>
              </w:rPr>
            </w:pPr>
          </w:p>
        </w:tc>
        <w:tc>
          <w:tcPr>
            <w:tcW w:w="1140" w:type="dxa"/>
            <w:vAlign w:val="bottom"/>
          </w:tcPr>
          <w:p>
            <w:pPr>
              <w:jc w:val="center"/>
              <w:ind w:left="216"/>
              <w:spacing w:after="0"/>
              <w:rPr>
                <w:sz w:val="20"/>
                <w:szCs w:val="20"/>
                <w:color w:val="auto"/>
              </w:rPr>
            </w:pPr>
            <w:r>
              <w:rPr>
                <w:rFonts w:ascii="Arial" w:cs="Arial" w:eastAsia="Arial" w:hAnsi="Arial"/>
                <w:sz w:val="18"/>
                <w:szCs w:val="18"/>
                <w:color w:val="auto"/>
                <w:w w:val="89"/>
              </w:rPr>
              <w:t>(12,636)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(12,636)</w:t>
            </w:r>
          </w:p>
        </w:tc>
        <w:tc>
          <w:tcPr>
            <w:tcW w:w="10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(1) Encore Boston Harbor opened on June 23, 2019.</w:t>
      </w:r>
    </w:p>
    <w:p>
      <w:pPr>
        <w:spacing w:after="0" w:line="2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Adjusted Property EBITDA decreased $212.4 million and $144.7 million at Wynn Palace and Wynn Macau, respectively. The decreases were primarily attributable to a decline in operating revenues precipitated by the adverse effects of the COVID-19 outbreak during the three months ended March 31, 2020, which include the closure of our casino operations in Macau for a 15-day period and their subsequent reopening on a reduced basis.</w:t>
      </w:r>
    </w:p>
    <w:p>
      <w:pPr>
        <w:spacing w:after="0" w:line="8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Adjusted Property EBITDA decreased $130.4 million at our Las Vegas Operations, primarily due to the adverse effects of the COVID-19 outbreak during the three months ended March 31, 2020, including the closure of our Las Vegas Operations on March 17, 2020 for the remainder of the quarter. In addition, Adjusted Property EBITDA for our Las Vegas Operations includes the impact of $56.4 million of expense related to our commitment to pay salary, tips, and benefits continuation for all of our U.S. employees for the period from April 1 through May 15, 2020.</w:t>
      </w:r>
    </w:p>
    <w:p>
      <w:pPr>
        <w:spacing w:after="0" w:line="10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Adjusted Property EBITDA from Encore Boston Harbor for the three months ended March 31, 2020 was $(12.6) million, which includes the impact of $19.3 million of expense related to our commitment to pay salary, tips, and benefits continuation for all of our U.S. employees for the period from April 1 through May 15, 2020. Encore Boston Harbor closed to the public on March 15, 2020 for the remainder of the first quarter of 2020.</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Refer to the discussions above regarding the specific details of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cash flows were as follows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4"/>
          </w:tcPr>
          <w:p>
            <w:pPr>
              <w:jc w:val="right"/>
              <w:ind w:right="951"/>
              <w:spacing w:after="0"/>
              <w:rPr>
                <w:sz w:val="20"/>
                <w:szCs w:val="20"/>
                <w:color w:val="auto"/>
              </w:rPr>
            </w:pPr>
            <w:r>
              <w:rPr>
                <w:rFonts w:ascii="Arial" w:cs="Arial" w:eastAsia="Arial" w:hAnsi="Arial"/>
                <w:sz w:val="14"/>
                <w:szCs w:val="14"/>
                <w:b w:val="1"/>
                <w:bCs w:val="1"/>
                <w:color w:val="auto"/>
              </w:rPr>
              <w:t>Three Months Ended March 31,</w:t>
            </w:r>
          </w:p>
        </w:tc>
      </w:tr>
      <w:tr>
        <w:trPr>
          <w:trHeight w:val="250"/>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i w:val="1"/>
                <w:iCs w:val="1"/>
                <w:color w:val="auto"/>
              </w:rPr>
              <w:t>Cash Flows - Summary</w:t>
            </w:r>
          </w:p>
        </w:tc>
        <w:tc>
          <w:tcPr>
            <w:tcW w:w="4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b w:val="1"/>
                <w:bCs w:val="1"/>
                <w:color w:val="auto"/>
              </w:rPr>
              <w:t>2019</w:t>
            </w: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(176,500)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263,858</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Capital expenditures, net of construction payables and retention</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(139,316)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(310,279)</w:t>
            </w:r>
          </w:p>
        </w:tc>
      </w:tr>
      <w:tr>
        <w:trPr>
          <w:trHeight w:val="243"/>
        </w:trPr>
        <w:tc>
          <w:tcPr>
            <w:tcW w:w="7200" w:type="dxa"/>
            <w:vAlign w:val="bottom"/>
          </w:tcPr>
          <w:p>
            <w:pPr>
              <w:ind w:left="340"/>
              <w:spacing w:after="0"/>
              <w:rPr>
                <w:sz w:val="20"/>
                <w:szCs w:val="20"/>
                <w:color w:val="auto"/>
              </w:rPr>
            </w:pPr>
            <w:r>
              <w:rPr>
                <w:rFonts w:ascii="Arial" w:cs="Arial" w:eastAsia="Arial" w:hAnsi="Arial"/>
                <w:sz w:val="18"/>
                <w:szCs w:val="18"/>
                <w:color w:val="auto"/>
              </w:rPr>
              <w:t>Purchase of intangible and other assets</w:t>
            </w:r>
          </w:p>
        </w:tc>
        <w:tc>
          <w:tcPr>
            <w:tcW w:w="480" w:type="dxa"/>
            <w:vAlign w:val="bottom"/>
          </w:tcPr>
          <w:p>
            <w:pPr>
              <w:spacing w:after="0"/>
              <w:rPr>
                <w:sz w:val="21"/>
                <w:szCs w:val="21"/>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(1,000)</w:t>
            </w:r>
          </w:p>
        </w:tc>
      </w:tr>
      <w:tr>
        <w:trPr>
          <w:trHeight w:val="27"/>
        </w:trPr>
        <w:tc>
          <w:tcPr>
            <w:tcW w:w="7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Proceeds from sale of assets and other</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2,162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404</w:t>
            </w:r>
          </w:p>
        </w:tc>
      </w:tr>
      <w:tr>
        <w:trPr>
          <w:trHeight w:val="237"/>
        </w:trPr>
        <w:tc>
          <w:tcPr>
            <w:tcW w:w="7200" w:type="dxa"/>
            <w:vAlign w:val="bottom"/>
          </w:tcPr>
          <w:p>
            <w:pPr>
              <w:ind w:left="1100"/>
              <w:spacing w:after="0"/>
              <w:rPr>
                <w:sz w:val="20"/>
                <w:szCs w:val="20"/>
                <w:color w:val="auto"/>
              </w:rPr>
            </w:pPr>
            <w:r>
              <w:rPr>
                <w:rFonts w:ascii="Arial" w:cs="Arial" w:eastAsia="Arial" w:hAnsi="Arial"/>
                <w:sz w:val="18"/>
                <w:szCs w:val="18"/>
                <w:b w:val="1"/>
                <w:bCs w:val="1"/>
                <w:color w:val="auto"/>
              </w:rPr>
              <w:t>Net cash used in investing activities</w:t>
            </w:r>
          </w:p>
        </w:tc>
        <w:tc>
          <w:tcPr>
            <w:tcW w:w="4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(137,154)</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(310,875)</w:t>
            </w:r>
          </w:p>
        </w:tc>
      </w:tr>
      <w:tr>
        <w:trPr>
          <w:trHeight w:val="27"/>
        </w:trPr>
        <w:tc>
          <w:tcPr>
            <w:tcW w:w="7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2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Proceeds from issuance of long-term debt</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1,469,028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250,000</w:t>
            </w:r>
          </w:p>
        </w:tc>
      </w:tr>
      <w:tr>
        <w:trPr>
          <w:trHeight w:val="243"/>
        </w:trPr>
        <w:tc>
          <w:tcPr>
            <w:tcW w:w="7200" w:type="dxa"/>
            <w:vAlign w:val="bottom"/>
          </w:tcPr>
          <w:p>
            <w:pPr>
              <w:ind w:left="340"/>
              <w:spacing w:after="0"/>
              <w:rPr>
                <w:sz w:val="20"/>
                <w:szCs w:val="20"/>
                <w:color w:val="auto"/>
              </w:rPr>
            </w:pPr>
            <w:r>
              <w:rPr>
                <w:rFonts w:ascii="Arial" w:cs="Arial" w:eastAsia="Arial" w:hAnsi="Arial"/>
                <w:sz w:val="18"/>
                <w:szCs w:val="18"/>
                <w:color w:val="auto"/>
              </w:rPr>
              <w:t>Repayments of long-term debt</w:t>
            </w:r>
          </w:p>
        </w:tc>
        <w:tc>
          <w:tcPr>
            <w:tcW w:w="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(515,194)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(500,503)</w:t>
            </w:r>
          </w:p>
        </w:tc>
      </w:tr>
      <w:tr>
        <w:trPr>
          <w:trHeight w:val="27"/>
        </w:trPr>
        <w:tc>
          <w:tcPr>
            <w:tcW w:w="7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Repurchase of common stock</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(5,527)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(5,401)</w:t>
            </w:r>
          </w:p>
        </w:tc>
      </w:tr>
      <w:tr>
        <w:trPr>
          <w:trHeight w:val="243"/>
        </w:trPr>
        <w:tc>
          <w:tcPr>
            <w:tcW w:w="7200" w:type="dxa"/>
            <w:vAlign w:val="bottom"/>
          </w:tcPr>
          <w:p>
            <w:pPr>
              <w:ind w:left="340"/>
              <w:spacing w:after="0"/>
              <w:rPr>
                <w:sz w:val="20"/>
                <w:szCs w:val="20"/>
                <w:color w:val="auto"/>
              </w:rPr>
            </w:pPr>
            <w:r>
              <w:rPr>
                <w:rFonts w:ascii="Arial" w:cs="Arial" w:eastAsia="Arial" w:hAnsi="Arial"/>
                <w:sz w:val="18"/>
                <w:szCs w:val="18"/>
                <w:color w:val="auto"/>
              </w:rPr>
              <w:t>Finance lease payment</w:t>
            </w:r>
          </w:p>
        </w:tc>
        <w:tc>
          <w:tcPr>
            <w:tcW w:w="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4,064</w:t>
            </w:r>
          </w:p>
        </w:tc>
      </w:tr>
      <w:tr>
        <w:trPr>
          <w:trHeight w:val="243"/>
        </w:trPr>
        <w:tc>
          <w:tcPr>
            <w:tcW w:w="7200" w:type="dxa"/>
            <w:vAlign w:val="bottom"/>
          </w:tcPr>
          <w:p>
            <w:pPr>
              <w:ind w:left="340"/>
              <w:spacing w:after="0"/>
              <w:rPr>
                <w:sz w:val="20"/>
                <w:szCs w:val="20"/>
                <w:color w:val="auto"/>
              </w:rPr>
            </w:pPr>
            <w:r>
              <w:rPr>
                <w:rFonts w:ascii="Arial" w:cs="Arial" w:eastAsia="Arial" w:hAnsi="Arial"/>
                <w:sz w:val="18"/>
                <w:szCs w:val="18"/>
                <w:color w:val="auto"/>
              </w:rPr>
              <w:t>Dividends paid</w:t>
            </w:r>
          </w:p>
        </w:tc>
        <w:tc>
          <w:tcPr>
            <w:tcW w:w="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(107,426)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(80,773)</w:t>
            </w:r>
          </w:p>
        </w:tc>
      </w:tr>
      <w:tr>
        <w:trPr>
          <w:trHeight w:val="27"/>
        </w:trPr>
        <w:tc>
          <w:tcPr>
            <w:tcW w:w="7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Distribution to noncontrolling interest</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340"/>
              <w:spacing w:after="0"/>
              <w:rPr>
                <w:sz w:val="20"/>
                <w:szCs w:val="20"/>
                <w:color w:val="auto"/>
              </w:rPr>
            </w:pPr>
            <w:r>
              <w:rPr>
                <w:rFonts w:ascii="Arial" w:cs="Arial" w:eastAsia="Arial" w:hAnsi="Arial"/>
                <w:sz w:val="18"/>
                <w:szCs w:val="18"/>
                <w:color w:val="auto"/>
              </w:rPr>
              <w:t>Payments for financing costs</w:t>
            </w:r>
          </w:p>
        </w:tc>
        <w:tc>
          <w:tcPr>
            <w:tcW w:w="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(1,919)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(10,496)</w:t>
            </w:r>
          </w:p>
        </w:tc>
      </w:tr>
      <w:tr>
        <w:trPr>
          <w:trHeight w:val="27"/>
        </w:trPr>
        <w:tc>
          <w:tcPr>
            <w:tcW w:w="7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837,997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(343,109)</w:t>
            </w:r>
          </w:p>
        </w:tc>
      </w:tr>
      <w:tr>
        <w:trPr>
          <w:trHeight w:val="270"/>
        </w:trPr>
        <w:tc>
          <w:tcPr>
            <w:tcW w:w="7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Effect of exchange rate on cash, cash equivalents and restricted cash</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3,266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(2,404)</w:t>
            </w:r>
          </w:p>
        </w:tc>
      </w:tr>
      <w:tr>
        <w:trPr>
          <w:trHeight w:val="264"/>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Increase (decrease) in cash, cash equivalents and restricted cash</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527,609</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(392,530)</w:t>
            </w:r>
          </w:p>
        </w:tc>
      </w:tr>
      <w:tr>
        <w:trPr>
          <w:trHeight w:val="20"/>
        </w:trPr>
        <w:tc>
          <w:tcPr>
            <w:tcW w:w="7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operating cash flows primarily consist of operating income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international customers who gamble on credit. The ability to collect these gaming receivables may impact our operating cash flow for the period. Our rooms, food and beverage, and entertainment, retail and other revenue is conducted on a cash and credit basis. Accordingly, operating cash flows will be impacted by changes in operating income and accounts receivable, net.</w:t>
      </w:r>
    </w:p>
    <w:p>
      <w:pPr>
        <w:spacing w:after="0" w:line="19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three months ended March 31, 2020, the decrease in net cash provided by operations was primarily due to the adverse effects of the COVID-19 outbreak on the results of our operations for the three months ended March 31, 2020. During the three months ended March 31, 2019, the increase in net cash provided by operations was primarily driven by an increase in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investing activities primarily consist of project capital expenditures, such as the construction of Encore Boston Harbor, which opened in June 2019, and the construction of the meeting and convention expansion, which opened in February 2020, as well as maintenance capital expenditures associated with maintaining and continually refining our world-class integrated resort properties. In light of the unprecedented COVID-19 outbreak and our focus on safeguarding the Company's operations and the well-being of our employees, we expect to temporarily postpone major project capital expenditures for the remainder of fiscal year 2020, including the Wynn Tower room remodel at Wynn Las Vegas. We will be continuously monitoring the situation and conditions in the markets in which we operate, and will resume such project capital expenditures when conditions have stabilized.</w:t>
      </w:r>
    </w:p>
    <w:p>
      <w:pPr>
        <w:spacing w:after="0" w:line="19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During the three months ended March 31, 2020, we incurred capital expenditures of $43.6 million at Encore Boston Harbor primarily for the payment of construction retention and other payables related to its construction, $37.0 million at our Las Vegas Operations for restaurant remodels and maintenance capital expenditures, $12.2 million for the construction of the additional meeting and convention space at Wynn Las Vegas, and $17.5 million and $26.6 million at Wynn Palace and Wynn Macau, respectively, primarily related to maintenance capital expenditures.</w:t>
      </w:r>
    </w:p>
    <w:p>
      <w:pPr>
        <w:spacing w:after="0" w:line="19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three months ended March 31, 2019, we incurred capital expenditures of $170.6 million related to the construction of Encore Boston Harbor and $48.8 million related to the construction of the additional meeting and convention space at Wynn Las Vegas and the reconfiguration of the Wynn Las Vegas golf course.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During the three months ended March 31, 2020, we borrowed $325.8 million, net of amounts repaid, under the Wynn Macau Revolver, borrowed $791.0 million under the WRF Revolver, prepaid $150.2 million of outstanding principal owed under the Wynn Macau Term Loan, and made a $12.5 million quarterly amortization payment under the WRF Term Loan. In addition, we used cash of $107.4 million for the payment of dividends.</w:t>
      </w:r>
    </w:p>
    <w:p>
      <w:pPr>
        <w:spacing w:after="0" w:line="17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three months ended March 31, 2019, we repaid $498.8 million on the Wynn Macau Revolver and borrowed an additional $250.0 million term loan under the Wynn Resorts Term Loan. In addition, we used cash of $80.8 million for the payment of dividends.</w:t>
      </w:r>
    </w:p>
    <w:p>
      <w:pPr>
        <w:spacing w:after="0" w:line="19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April 2020, Wynn Resorts Finance, LLC ("WRF") and its subsidiary, Wynn Resorts Capital Corp., each an indirect wholly-owned subsidiary of the Company, issued $600 million aggregate principal amount of 7 3/4% Senior Notes due 2025. Also in April 2020, WRF and certain of its subsidiaries entered into an amendment to its existing credit agreement to provide for certain financial covenant relief through fiscal year 2021. Refer to </w:t>
      </w:r>
      <w:r>
        <w:rPr>
          <w:rFonts w:ascii="Arial" w:cs="Arial" w:eastAsia="Arial" w:hAnsi="Arial"/>
          <w:sz w:val="18"/>
          <w:szCs w:val="18"/>
          <w:i w:val="1"/>
          <w:iCs w:val="1"/>
          <w:color w:val="auto"/>
        </w:rPr>
        <w:t>Capital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Resources </w:t>
      </w:r>
      <w:r>
        <w:rPr>
          <w:rFonts w:ascii="Arial" w:cs="Arial" w:eastAsia="Arial" w:hAnsi="Arial"/>
          <w:sz w:val="18"/>
          <w:szCs w:val="18"/>
          <w:color w:val="auto"/>
        </w:rPr>
        <w:t>below for further discussion.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52"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COVID-19 pandemic has caused, and is continuing to cause, significant disruption in the financial markets both globally and in the United States, and has impacted and will continue to impact, materially, our business, financial condition and results of operations. While we believe our strong liquidity position will enable us to fund our current obligations for the foreseeable future, COVID-19 has resulted in significant disruption, which has had and will continue to have a negative impact on our operating income and could have a negative impact on our ability to access capital in the future. We continue to monitor the rapidly evolving situation and guidance from international and domestic authorities.</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unrestricted cash and cash equivalents and available revolver borrowing capacity under the Company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2020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Total Cash and Cash</w:t>
            </w:r>
          </w:p>
        </w:tc>
        <w:tc>
          <w:tcPr>
            <w:tcW w:w="180" w:type="dxa"/>
            <w:vAlign w:val="bottom"/>
          </w:tcPr>
          <w:p>
            <w:pPr>
              <w:spacing w:after="0"/>
              <w:rPr>
                <w:sz w:val="14"/>
                <w:szCs w:val="14"/>
                <w:color w:val="auto"/>
              </w:rPr>
            </w:pPr>
          </w:p>
        </w:tc>
        <w:tc>
          <w:tcPr>
            <w:tcW w:w="1580" w:type="dxa"/>
            <w:vAlign w:val="bottom"/>
          </w:tcPr>
          <w:p>
            <w:pPr>
              <w:jc w:val="right"/>
              <w:ind w:right="175"/>
              <w:spacing w:after="0"/>
              <w:rPr>
                <w:sz w:val="20"/>
                <w:szCs w:val="20"/>
                <w:color w:val="auto"/>
              </w:rPr>
            </w:pPr>
            <w:r>
              <w:rPr>
                <w:rFonts w:ascii="Arial" w:cs="Arial" w:eastAsia="Arial" w:hAnsi="Arial"/>
                <w:sz w:val="14"/>
                <w:szCs w:val="14"/>
                <w:b w:val="1"/>
                <w:bCs w:val="1"/>
                <w:color w:val="auto"/>
                <w:w w:val="97"/>
              </w:rPr>
              <w:t>Revolver Borrowing</w:t>
            </w:r>
          </w:p>
        </w:tc>
      </w:tr>
      <w:tr>
        <w:trPr>
          <w:trHeight w:val="192"/>
        </w:trPr>
        <w:tc>
          <w:tcPr>
            <w:tcW w:w="7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Equivalents</w:t>
            </w:r>
          </w:p>
        </w:tc>
        <w:tc>
          <w:tcPr>
            <w:tcW w:w="180" w:type="dxa"/>
            <w:vAlign w:val="bottom"/>
          </w:tcPr>
          <w:p>
            <w:pPr>
              <w:spacing w:after="0"/>
              <w:rPr>
                <w:sz w:val="16"/>
                <w:szCs w:val="16"/>
                <w:color w:val="auto"/>
              </w:rPr>
            </w:pPr>
          </w:p>
        </w:tc>
        <w:tc>
          <w:tcPr>
            <w:tcW w:w="1580" w:type="dxa"/>
            <w:vAlign w:val="bottom"/>
          </w:tcPr>
          <w:p>
            <w:pPr>
              <w:jc w:val="right"/>
              <w:ind w:right="515"/>
              <w:spacing w:after="0"/>
              <w:rPr>
                <w:sz w:val="20"/>
                <w:szCs w:val="20"/>
                <w:color w:val="auto"/>
              </w:rPr>
            </w:pPr>
            <w:r>
              <w:rPr>
                <w:rFonts w:ascii="Arial" w:cs="Arial" w:eastAsia="Arial" w:hAnsi="Arial"/>
                <w:sz w:val="14"/>
                <w:szCs w:val="14"/>
                <w:b w:val="1"/>
                <w:bCs w:val="1"/>
                <w:color w:val="auto"/>
              </w:rPr>
              <w:t>Capacity</w:t>
            </w:r>
          </w:p>
        </w:tc>
      </w:tr>
      <w:tr>
        <w:trPr>
          <w:trHeight w:val="249"/>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Wynn Resorts (Macau) S.A. and subsidiaries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819,279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74,186</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Wynn Macau, Limited and subsidiaries (1)</w:t>
            </w:r>
          </w:p>
        </w:tc>
        <w:tc>
          <w:tcPr>
            <w:tcW w:w="160" w:type="dxa"/>
            <w:vAlign w:val="bottom"/>
          </w:tcPr>
          <w:p>
            <w:pPr>
              <w:spacing w:after="0"/>
              <w:rPr>
                <w:sz w:val="21"/>
                <w:szCs w:val="21"/>
                <w:color w:val="auto"/>
              </w:rPr>
            </w:pPr>
          </w:p>
        </w:tc>
        <w:tc>
          <w:tcPr>
            <w:tcW w:w="1580" w:type="dxa"/>
            <w:vAlign w:val="bottom"/>
          </w:tcPr>
          <w:p>
            <w:pPr>
              <w:jc w:val="right"/>
              <w:ind w:right="55"/>
              <w:spacing w:after="0"/>
              <w:rPr>
                <w:sz w:val="20"/>
                <w:szCs w:val="20"/>
                <w:color w:val="auto"/>
              </w:rPr>
            </w:pPr>
            <w:r>
              <w:rPr>
                <w:rFonts w:ascii="Arial" w:cs="Arial" w:eastAsia="Arial" w:hAnsi="Arial"/>
                <w:sz w:val="18"/>
                <w:szCs w:val="18"/>
                <w:color w:val="auto"/>
              </w:rPr>
              <w:t>1,013,443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ind w:right="75"/>
              <w:spacing w:after="0"/>
              <w:rPr>
                <w:sz w:val="20"/>
                <w:szCs w:val="20"/>
                <w:color w:val="auto"/>
              </w:rPr>
            </w:pPr>
            <w:r>
              <w:rPr>
                <w:rFonts w:ascii="Arial" w:cs="Arial" w:eastAsia="Arial" w:hAnsi="Arial"/>
                <w:sz w:val="18"/>
                <w:szCs w:val="18"/>
                <w:color w:val="auto"/>
              </w:rPr>
              <w:t>—</w:t>
            </w:r>
          </w:p>
        </w:tc>
      </w:tr>
      <w:tr>
        <w:trPr>
          <w:trHeight w:val="27"/>
        </w:trPr>
        <w:tc>
          <w:tcPr>
            <w:tcW w:w="7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Wynn Resorts Finance, LLC (2)</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73,229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40,950</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Wynn Resorts, Limited and other</w:t>
            </w:r>
          </w:p>
        </w:tc>
        <w:tc>
          <w:tcPr>
            <w:tcW w:w="160" w:type="dxa"/>
            <w:vAlign w:val="bottom"/>
          </w:tcPr>
          <w:p>
            <w:pPr>
              <w:spacing w:after="0"/>
              <w:rPr>
                <w:sz w:val="21"/>
                <w:szCs w:val="21"/>
                <w:color w:val="auto"/>
              </w:rPr>
            </w:pPr>
          </w:p>
        </w:tc>
        <w:tc>
          <w:tcPr>
            <w:tcW w:w="1580" w:type="dxa"/>
            <w:vAlign w:val="bottom"/>
          </w:tcPr>
          <w:p>
            <w:pPr>
              <w:jc w:val="right"/>
              <w:ind w:right="55"/>
              <w:spacing w:after="0"/>
              <w:rPr>
                <w:sz w:val="20"/>
                <w:szCs w:val="20"/>
                <w:color w:val="auto"/>
              </w:rPr>
            </w:pPr>
            <w:r>
              <w:rPr>
                <w:rFonts w:ascii="Arial" w:cs="Arial" w:eastAsia="Arial" w:hAnsi="Arial"/>
                <w:sz w:val="18"/>
                <w:szCs w:val="18"/>
                <w:color w:val="auto"/>
              </w:rPr>
              <w:t>975,020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ind w:right="75"/>
              <w:spacing w:after="0"/>
              <w:rPr>
                <w:sz w:val="20"/>
                <w:szCs w:val="20"/>
                <w:color w:val="auto"/>
              </w:rPr>
            </w:pPr>
            <w:r>
              <w:rPr>
                <w:rFonts w:ascii="Arial" w:cs="Arial" w:eastAsia="Arial" w:hAnsi="Arial"/>
                <w:sz w:val="18"/>
                <w:szCs w:val="18"/>
                <w:color w:val="auto"/>
              </w:rPr>
              <w:t>—</w:t>
            </w:r>
          </w:p>
        </w:tc>
      </w:tr>
      <w:tr>
        <w:trPr>
          <w:trHeight w:val="27"/>
        </w:trPr>
        <w:tc>
          <w:tcPr>
            <w:tcW w:w="7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9"/>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2,880,971</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115,136</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Excluding Wynn Resorts (Macau) S.A. and subsidiaries.</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Excluding Wynn Macau, Limited and subsidiaries.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Wynn Resorts (Macau) S.A. and subsidiaries. </w:t>
      </w:r>
      <w:r>
        <w:rPr>
          <w:rFonts w:ascii="Arial" w:cs="Arial" w:eastAsia="Arial" w:hAnsi="Arial"/>
          <w:sz w:val="18"/>
          <w:szCs w:val="18"/>
          <w:color w:val="auto"/>
        </w:rPr>
        <w:t>Wynn Resorts (Macau) S.A. ("Wynn Macau SA") generates cash from our Macau Operations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utilizes its revolver to fund short term working capital requirements as needed. We expect to use this cash to service our existing Wynn Macau Credit Facilities, make distributions to WML, and fund working capital and capital expenditure requirements at our Macau Operations. In April 2020, Wynn Macau SA drew an additional $50.0 million under the Wynn Macau Revolver.</w:t>
      </w:r>
    </w:p>
    <w:p>
      <w:pPr>
        <w:spacing w:after="0" w:line="21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Wynn Macau Credit Facilities contain customary negative and financial covenants, including, but not limited to, leverage ratio and interest coverage ratio tests (as defined in the Wynn Macau Credit Facilities) that could restrict its ability to make distributions to WML and incur additional indebtedness. Wynn Macau SA is required to maintain a leverage ratio of not greater than 4.00 to 1 and an interest coverage ratio of not less than 2.00 to 1. Wynn Macau SA complied with these ratios for the three months ended March 31, 2020.</w:t>
      </w:r>
    </w:p>
    <w:p>
      <w:pPr>
        <w:spacing w:after="0" w:line="21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 xml:space="preserve">Wynn Macau, Limited and subsidiaries. </w:t>
      </w:r>
      <w:r>
        <w:rPr>
          <w:rFonts w:ascii="Arial" w:cs="Arial" w:eastAsia="Arial" w:hAnsi="Arial"/>
          <w:sz w:val="18"/>
          <w:szCs w:val="18"/>
          <w:color w:val="auto"/>
        </w:rPr>
        <w:t>Wynn Macau, Limited ("WML") primarily generates cash through distributions from Wynn Macau SA. We</w:t>
      </w:r>
      <w:r>
        <w:rPr>
          <w:rFonts w:ascii="Arial" w:cs="Arial" w:eastAsia="Arial" w:hAnsi="Arial"/>
          <w:sz w:val="18"/>
          <w:szCs w:val="18"/>
          <w:i w:val="1"/>
          <w:iCs w:val="1"/>
          <w:color w:val="auto"/>
        </w:rPr>
        <w:t xml:space="preserve"> </w:t>
      </w:r>
      <w:r>
        <w:rPr>
          <w:rFonts w:ascii="Arial" w:cs="Arial" w:eastAsia="Arial" w:hAnsi="Arial"/>
          <w:sz w:val="18"/>
          <w:szCs w:val="18"/>
          <w:color w:val="auto"/>
        </w:rPr>
        <w:t>expect to use WML's cash to service our existing WML Notes, pay dividends to shareholders of WML (of which we own approximately 72%), and fund working capital requirements at WML.</w:t>
      </w:r>
    </w:p>
    <w:p>
      <w:pPr>
        <w:spacing w:after="0" w:line="2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board of directors of WML concluded not to recommend the payment of a final dividend with respect to the year ended December 31, 2019, in light of the unprecedented COVID-19 outbreak and our focus on safeguarding the Company's Macau Operations and the well-being of our employees. The WML board of directors will be continuously monitoring the situation and market conditions in Macau and Greater China and may consider a special dividend in the future when such conditions have stabilized.</w:t>
      </w:r>
    </w:p>
    <w:p>
      <w:pPr>
        <w:spacing w:after="0" w:line="21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If our portion of our cash and cash equivalents were repatriated to the U.S. on March 31, 2020, it would be subject to minimal U.S. taxes in the year of repatriation.</w:t>
      </w:r>
    </w:p>
    <w:p>
      <w:pPr>
        <w:spacing w:after="0" w:line="19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i w:val="1"/>
          <w:iCs w:val="1"/>
          <w:color w:val="auto"/>
        </w:rPr>
        <w:t xml:space="preserve">Wynn Resorts Finance, LLC and subsidiaries. </w:t>
      </w:r>
      <w:r>
        <w:rPr>
          <w:rFonts w:ascii="Arial" w:cs="Arial" w:eastAsia="Arial" w:hAnsi="Arial"/>
          <w:sz w:val="18"/>
          <w:szCs w:val="18"/>
          <w:color w:val="auto"/>
        </w:rPr>
        <w:t>Wynn Resorts Finance, LLC ("WRF" or "Wynn Resorts Finance") generates cash from distributions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from its subsidiaries, which include our Macau Operations, Wynn Las Vegas, and Encore Boston Harbor, and contributions from Wynn Resorts, as required. In addition, WRF may utilize its available revolving borrowing capacity as needed. We expect to use this cash to service our WRF Credit Facilities, 2025 WRF Notes (as defined below), 2029 WRF Notes, and WLV Notes, and to fund working capital and capital expenditure requirements as needed. As discussed within our Results of Operations, Encore Boston Harbor ceased all operations and closed to the public on March 15, 2020 and Wynn Las Vegas ceased all operations and closed to the public on March 17, 2020, and will remain closed until authorized to re-open under U.S. and state government directives. During the first quarter of 2020, we committed to pay salary, tips and benefits continuation for all of our U.S. employees, inclusive of part-time employees, through May 15, 2020, and in May 2020 we announced the extension of this commitment through May 31, 2020. We expect to fund this commitment using WRF's cash and available revolver borrowing capacity. In April 2020, WRF drew an additional $25.0 million under the WRF Revolver.</w:t>
      </w:r>
    </w:p>
    <w:p>
      <w:pPr>
        <w:spacing w:after="0" w:line="2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April 2020, WRF and its subsidiary, Wynn Resorts Capital Corp. (collectively with WRF, the “WRF Issuers”), each an indirect wholly-owned subsidiary of the Company, issued $600 million aggregate principal amount of 7 3/4% Senior Notes due 2025 (the “2025 WRF Notes”) pursuant to an indenture (the “2025 Indenture”) among the WRF Issuers, the guarantors party thereto and U.S. Bank National Association, as trustee (the “Trustee”), in a private offering. The 2025 WRF Notes were issued at par. WRF plans to use the net proceeds from the offering for general corporate purposes and to pay related fees and expenses.</w:t>
      </w:r>
    </w:p>
    <w:p>
      <w:pPr>
        <w:spacing w:after="0" w:line="21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In April 2020, WRF and certain of its subsidiaries entered into an amendment (the “WRF Credit Agreement Amendment”) to its existing credit agreement (the “WRF Credit Agreement”). The WRF Credit Agreement Amendment provides for a financial covenant relief period through April 1, 2021, during which the existing consolidated first lien net leverage ratio financial covenant is replaced by a requirement for WRF to maintain minimum liquidity of at least $300.0 million at all times. Following the financial covenant relief period, WRF is subject to a financial covenant increase period beginning on the first day after the expiration of the financial covenant relief period and ending on the first day of the fourth fiscal quarter after the expiration of the financial covenant relief period, during which WRF must maintain a consolidated first lien net leverage ratio no greater than 4.50 to 1 during the first quarter of the financial covenant increase period, no greater than 4.25 to 1 for the second fiscal quarter, no greater than 4.00 to 1 for the third fiscal quarter, and no greater than 3.75 to 1 for the fourth fiscal quarter of the financial covenant increase period and for each subsequent fiscal quarter thereafter. The WRF Credit Agreement Amendment also adds certain restrictions on restricted payments during the financial covenant relief period and the financial covenant increase period.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WRF is a holding company and, as a result, its ability to pay dividends to Wynn Resorts is dependent on WRF receiving distributions from its subsidiaries, which include WML, Wynn Las Vegas, LLC, and Wynn MA, LLC (the owner and operator of Encore Boston Harbor). The WRF Credit Agreement contains customary negative and financial covenants, including, but not limited to, covenants that restrict WRF's ability to pay dividends or distributions and incur additional indebtedness.</w:t>
      </w:r>
    </w:p>
    <w:p>
      <w:pPr>
        <w:spacing w:after="0" w:line="21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As previously disclosed, we are in the planning phase of a room remodel of the Wynn Tower at Wynn Las Vegas. We have concluded to temporarily postpone the remodel until conditions have stabilized (as discussed above within </w:t>
      </w:r>
      <w:r>
        <w:rPr>
          <w:rFonts w:ascii="Arial" w:cs="Arial" w:eastAsia="Arial" w:hAnsi="Arial"/>
          <w:sz w:val="17"/>
          <w:szCs w:val="17"/>
          <w:i w:val="1"/>
          <w:iCs w:val="1"/>
          <w:color w:val="auto"/>
        </w:rPr>
        <w:t>Investing Activities</w:t>
      </w:r>
      <w:r>
        <w:rPr>
          <w:rFonts w:ascii="Arial" w:cs="Arial" w:eastAsia="Arial" w:hAnsi="Arial"/>
          <w:sz w:val="17"/>
          <w:szCs w:val="17"/>
          <w:color w:val="auto"/>
        </w:rPr>
        <w:t>). Accordingly, at this time we do not expect to incur significant capital expenditures associated with the Wynn Tower room remodel during the remainder of fiscal year 2020.</w:t>
      </w:r>
    </w:p>
    <w:p>
      <w:pPr>
        <w:spacing w:after="0" w:line="19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 xml:space="preserve">Wynn Resorts, Limited and other subsidiaries. </w:t>
      </w:r>
      <w:r>
        <w:rPr>
          <w:rFonts w:ascii="Arial" w:cs="Arial" w:eastAsia="Arial" w:hAnsi="Arial"/>
          <w:sz w:val="17"/>
          <w:szCs w:val="17"/>
          <w:color w:val="auto"/>
        </w:rPr>
        <w:t>Wynn Resorts, Limited is a holding company and, as a result, our ability to pay dividends is dependent</w:t>
      </w:r>
      <w:r>
        <w:rPr>
          <w:rFonts w:ascii="Arial" w:cs="Arial" w:eastAsia="Arial" w:hAnsi="Arial"/>
          <w:sz w:val="17"/>
          <w:szCs w:val="17"/>
          <w:i w:val="1"/>
          <w:iCs w:val="1"/>
          <w:color w:val="auto"/>
        </w:rPr>
        <w:t xml:space="preserve"> </w:t>
      </w:r>
      <w:r>
        <w:rPr>
          <w:rFonts w:ascii="Arial" w:cs="Arial" w:eastAsia="Arial" w:hAnsi="Arial"/>
          <w:sz w:val="17"/>
          <w:szCs w:val="17"/>
          <w:color w:val="auto"/>
        </w:rPr>
        <w:t>on our ability to obtain funds and our subsidiaries' ability to provide funds to us. Wynn Resorts, Limited and other primarily generates cash from royalty and management agreements with our resorts, dividends and distributions from our subsidiaries, and the operations of the Retail Joint Venture of which we own 50.1%. We expect to use this cash to service our Retail Term Loan and for general corporate purposes.</w:t>
      </w:r>
    </w:p>
    <w:p>
      <w:pPr>
        <w:spacing w:after="0" w:line="198" w:lineRule="exact"/>
        <w:rPr>
          <w:sz w:val="20"/>
          <w:szCs w:val="20"/>
          <w:color w:val="auto"/>
        </w:rPr>
      </w:pPr>
    </w:p>
    <w:p>
      <w:pPr>
        <w:jc w:val="both"/>
        <w:ind w:right="20" w:firstLine="405"/>
        <w:spacing w:after="0" w:line="261" w:lineRule="auto"/>
        <w:rPr>
          <w:sz w:val="20"/>
          <w:szCs w:val="20"/>
          <w:color w:val="auto"/>
        </w:rPr>
      </w:pPr>
      <w:r>
        <w:rPr>
          <w:rFonts w:ascii="Arial" w:cs="Arial" w:eastAsia="Arial" w:hAnsi="Arial"/>
          <w:sz w:val="18"/>
          <w:szCs w:val="18"/>
          <w:color w:val="auto"/>
        </w:rPr>
        <w:t>On March 6, 2020, the Company paid a cash dividend of $1.00 per share, for a total of $106.7 million. On May 6, 2020, the Company announced that it has suspended its quarterly dividend program due to the financial impact of the COVID-19 pandemic.</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Factors Affecting Liquidity</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may refinance all or a portion of our indebtedness on or before maturity. We cannot assure you that we will be able to refinance any of the indebtedness on acceptable terms or at all.</w:t>
      </w:r>
    </w:p>
    <w:p>
      <w:pPr>
        <w:spacing w:after="0" w:line="1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Item 1 — "Notes to Condensed Consolidated Financial Statements," Note 14, "Commitments and Contingencies."</w:t>
      </w:r>
    </w:p>
    <w:p>
      <w:pPr>
        <w:spacing w:after="0" w:line="21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Our Board of Directors has authorized an equity repurchase program of up to $1.0 billion. Under the equity repurchase program, we may repurchase the Company's outstanding shares from time to time through open market purchases, in privately negotiated transactions, and under plans complying with Rules 10b5-1 and 10b-18 under the Exchange Act. As of March 31, 2020, we had $800.1 million in repurchase authority remaining under the program.</w:t>
      </w:r>
    </w:p>
    <w:p>
      <w:pPr>
        <w:spacing w:after="0" w:line="17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w:t>
      </w:r>
    </w:p>
    <w:p>
      <w:pPr>
        <w:spacing w:after="0" w:line="21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may require us to obtain additional financing. We may decide to conduct any such development through Wynn Resorts, Limited or through subsidiaries separate from the Las Vegas, Boston or Macau-related entities.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Off-Balance Sheet Arrangements</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an interest rate collar associated with our Retail Term Loan. We do not have any retained or contingent interest in assets transferred to an unconsolidated entity. As of March 31, 2020, we had outstanding letters of credit totaling $18.1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 description of our critical accounting policies is included in Item 7 of our Annual Report on Form 10-K for the year ended December 31, 2019.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to these policies for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 and Accounting Standards Issued But Not Yet Adopted</w:t>
      </w:r>
    </w:p>
    <w:p>
      <w:pPr>
        <w:spacing w:after="0" w:line="25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See related disclosure in Item 1—"Notes to Condensed Consolidated Financial Statements," Note 2, "Basis of Presentation and Significant Accounting Policies."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make forward-looking statements in this Annual Report on Form 10-K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21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1A—"Risk Factors" and other factors we describe from time to time in our periodic filings with the SEC, such as:</w:t>
      </w:r>
    </w:p>
    <w:p>
      <w:pPr>
        <w:spacing w:after="0" w:line="211"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recent global pandemic of COVID-19, caused by a novel strain of the coronavirus, and the continued impact of its consequences;</w:t>
      </w:r>
    </w:p>
    <w:p>
      <w:pPr>
        <w:spacing w:after="0" w:line="46" w:lineRule="exact"/>
        <w:rPr>
          <w:rFonts w:ascii="Arial" w:cs="Arial" w:eastAsia="Arial" w:hAnsi="Arial"/>
          <w:sz w:val="16"/>
          <w:szCs w:val="16"/>
          <w:color w:val="auto"/>
        </w:rPr>
      </w:pPr>
    </w:p>
    <w:p>
      <w:pPr>
        <w:jc w:val="both"/>
        <w:ind w:left="1300" w:hanging="644"/>
        <w:spacing w:after="0" w:line="250" w:lineRule="auto"/>
        <w:tabs>
          <w:tab w:leader="none" w:pos="12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uncertainty of the extent, duration and effects of the COVID-19 pandemic and the response of governments, including government mandated property closures of travel restrictions, and other third parties on our business, results of operations, cash flows, liquidity, and development projects;</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extensive regulation of our business and the cost of compliance or failure to comply with applicable laws and regulations;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pending or future claims and legal proceedings, regulatory or enforcement actions or probity investigations;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our gaming licenses and concessions;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key employees;</w:t>
      </w:r>
    </w:p>
    <w:p>
      <w:pPr>
        <w:spacing w:after="0" w:line="9" w:lineRule="exact"/>
        <w:rPr>
          <w:rFonts w:ascii="Arial" w:cs="Arial" w:eastAsia="Arial" w:hAnsi="Arial"/>
          <w:sz w:val="18"/>
          <w:szCs w:val="18"/>
          <w:color w:val="auto"/>
        </w:rPr>
      </w:pPr>
    </w:p>
    <w:p>
      <w:pPr>
        <w:ind w:left="1300" w:hanging="644"/>
        <w:spacing w:after="0" w:line="250" w:lineRule="auto"/>
        <w:tabs>
          <w:tab w:leader="none" w:pos="12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global political and economic conditions, in the U.S. and China (including COVID-19 and the Chinese government's ongoing anti-corruption campaign), which may impact levels of travel, leisure, and consumer spending;</w:t>
      </w: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or conditions on visitation (caused by COVID-19 or otherwise) by citizens of mainland China to Macau;</w:t>
      </w:r>
    </w:p>
    <w:p>
      <w:pPr>
        <w:spacing w:after="0" w:line="9" w:lineRule="exact"/>
        <w:rPr>
          <w:rFonts w:ascii="Arial" w:cs="Arial" w:eastAsia="Arial" w:hAnsi="Arial"/>
          <w:sz w:val="18"/>
          <w:szCs w:val="18"/>
          <w:color w:val="auto"/>
        </w:rPr>
      </w:pPr>
    </w:p>
    <w:p>
      <w:pPr>
        <w:jc w:val="both"/>
        <w:ind w:left="1300" w:hanging="644"/>
        <w:spacing w:after="0" w:line="250" w:lineRule="auto"/>
        <w:tabs>
          <w:tab w:leader="none" w:pos="12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continued impact on the travel and leisure industry from factors such as an outbreak of an infectious disease, such as COVID-19, public incidents of violence, riots, demonstrations, extreme weather patterns or natural disasters, military conflicts, civil unrest, and any future security alerts and/or terrorist attacks;</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doing business in foreign locations such as Macau;</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receivables;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relationships with Macau gaming promoters;</w:t>
      </w:r>
    </w:p>
    <w:p>
      <w:pPr>
        <w:spacing w:after="0" w:line="9" w:lineRule="exact"/>
        <w:rPr>
          <w:rFonts w:ascii="Arial" w:cs="Arial" w:eastAsia="Arial" w:hAnsi="Arial"/>
          <w:sz w:val="18"/>
          <w:szCs w:val="18"/>
          <w:color w:val="auto"/>
        </w:rPr>
      </w:pPr>
    </w:p>
    <w:p>
      <w:pPr>
        <w:ind w:left="1300" w:hanging="644"/>
        <w:spacing w:after="0" w:line="250" w:lineRule="auto"/>
        <w:tabs>
          <w:tab w:leader="none" w:pos="12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 and our subsidiaries' ability to pay us dividends and distributions;</w:t>
      </w:r>
    </w:p>
    <w:p>
      <w:pPr>
        <w:ind w:left="1300" w:right="20" w:hanging="644"/>
        <w:spacing w:after="0" w:line="250" w:lineRule="auto"/>
        <w:tabs>
          <w:tab w:leader="none" w:pos="12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 including new development and construction activities of competitors;</w:t>
      </w:r>
    </w:p>
    <w:p>
      <w:pPr>
        <w:jc w:val="both"/>
        <w:ind w:left="1300" w:hanging="644"/>
        <w:spacing w:after="0" w:line="250" w:lineRule="auto"/>
        <w:tabs>
          <w:tab w:leader="none" w:pos="12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factors affecting the development and success of new gaming and resort properties (including limited labor resources, government labor and gaming policies and transportation infrastructure in Macau; and cost increases, environmental regulation, and our ability to secure necessary permits and approvals);</w:t>
      </w:r>
    </w:p>
    <w:p>
      <w:pPr>
        <w:spacing w:after="0" w:line="1" w:lineRule="exact"/>
        <w:rPr>
          <w:rFonts w:ascii="Arial" w:cs="Arial" w:eastAsia="Arial" w:hAnsi="Arial"/>
          <w:sz w:val="18"/>
          <w:szCs w:val="18"/>
          <w:color w:val="auto"/>
        </w:rPr>
      </w:pPr>
    </w:p>
    <w:p>
      <w:pPr>
        <w:ind w:left="1300" w:hanging="644"/>
        <w:spacing w:after="0" w:line="265" w:lineRule="auto"/>
        <w:tabs>
          <w:tab w:leader="none" w:pos="1295"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construction risks (including disputes with and defaults by contractors and subcontractors; construction, equipment or staffing problems; shortages of materials or skilled labor; environment, health and safety issues; and unanticipated cost increases);</w:t>
      </w: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legalization and growth of gaming in other jurisdictions;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violations by us of the anti-money laundering laws or Foreign Corrupt Practices Act;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incidents or adverse publicity concerning our resorts or our corporate responsibilities;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gaming laws or regulations;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federal, foreign, or state tax laws or the administration of such laws;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continued compliance with all provisions in our debt agreements;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300" w:hanging="644"/>
        <w:spacing w:after="0" w:line="258"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cybersecurity risk, including cyber and physical security breaches, system failure, computer viruses, and negligent or intentional misuse by customers, company employees, or employees of third-party vendors;</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2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252"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will have the desired effect, and interest rate fluctuations could have a negative impact on our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March 31, 2020, approximately 55% of our long-term debt was based on fixed rates. Based on our borrowings as of March 31, 2020, an assumed 100 basis point change in the variable rates would cause our annual interest expense to change by $52.1 million.</w:t>
      </w:r>
    </w:p>
    <w:p>
      <w:pPr>
        <w:spacing w:after="0" w:line="19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order to mitigate exposure to interest rate fluctuations on the Retail Term Loan, the Company entered into a five year interest rate collar with a notional value of $615.0 million. The interest rate collar establishes a range whereby the Company will pay the counterparty if one-month LIBOR falls below the established floor rate of 1.00%, and the counterparty will pay the Company if one-month LIBOR exceeds the ceiling rate of 3.75%.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Risks</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expect most of the revenues and expenses for any casino that we operate in Macau will be denominated in Hong Kong dollars or Macau patacas; however, a significant portion of our Wynn Macau, Limited debt is denominated in U.S. dollars. Fluctuations in the exchange rates resulting in weakening of the Macau pataca or the Hong Kong dollar in relation to the U.S. dollar could have materially adverse effects on our results, financial condition and ability to service debt. Based on our balances as of March 31, 2020, an assumed 1% change in the U.S. dollar/Hong Kong dollar exchange rate would cause a foreign currency transaction gain/loss of $26.6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Company's management, with the participation of the Company's Chief Executive Officer ("CEO") and Chief Financial Officer ("CFO"),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CEO and CFO have concluded that, as of the period covered by this report,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CEO and CFO, as appropriate to allow timely decisions regarding required disclosure.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Exchange Act) during the quarter to which this report relates that materially affected, or are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proceedings see Item 1—"Notes to Condensed Consolidated Financial Statements," Note 14, "Commitments and Contingencies" of Part I in this Quarterly Report on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 description of our risk factors can be found in Item 1A, Part I of our Annual Report on Form 10-K for the year ended December 31, 2019. There were no material changes to those risk factors during the three months ended March 31, 2020 other than the risk factor described below:</w:t>
      </w:r>
    </w:p>
    <w:p>
      <w:pPr>
        <w:spacing w:after="0" w:line="173"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b w:val="1"/>
          <w:bCs w:val="1"/>
          <w:i w:val="1"/>
          <w:iCs w:val="1"/>
          <w:color w:val="auto"/>
        </w:rPr>
        <w:t>The outbreak of the novel coronavirus COVID-19 ("COVID 19") has had and will likely continue to have an adverse effect on our business, operations, financial condition and operating results, and the ability of our subsidiaries to pay dividends and distributions.</w:t>
      </w:r>
    </w:p>
    <w:p>
      <w:pPr>
        <w:spacing w:after="0" w:line="1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January 2020, an outbreak of a new strain of coronavirus, COVID-19, was identified and has spread around the world including the United States. Currently, there are no fully effective vaccines and there can be no assurance that an effective vaccine will be developed. The United States has not approved any specific treatments for COVID-19. The spread of COVID-19 and the recent developments surrounding the global pandemic are currently having negative impacts on all aspects of our business.</w:t>
      </w:r>
    </w:p>
    <w:p>
      <w:pPr>
        <w:spacing w:after="0" w:line="214"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current, and uncertain future, impact of the COVID-19 outbreak, including its effect on the ability or desire of people to travel (including to and from our properties), is expected to continue to impact our results, operations, outlooks, plans, goals, growth, reputation, cash flows and liquidity.</w:t>
      </w:r>
    </w:p>
    <w:p>
      <w:pPr>
        <w:spacing w:after="0" w:line="17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U.S. government has put in place restrictions on travel to the United States from Europe and Asia, and could expand the restrictions. A significant portion of our business in the United States relies on the willingness and ability of premium international customers to travel to the United States. As such, our Las Vegas Operations and operations at Encore Boston Harbor have been and may continue to be adversely impacted.</w:t>
      </w:r>
    </w:p>
    <w:p>
      <w:pPr>
        <w:spacing w:after="0" w:line="192"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Furthermore, in response to and as part of a continuing effort to reduce the spread of COVID-19, we have temporarily closed all operations at Wynn Las Vegas and at Encore Boston Harbor, and they will remain closed until authorized to re-open under U.S. and state government directives. In addition, we have been, and will continue to be further, negatively impacted by related developments, including heightened governmental regulations and travel advisories, including recommendations by the U.S. Department of State and the Centers for Disease Control and Prevention, and travel bans and restrictions, each of which has impacted, and is expected to continue to significantly impact, the casino resort industry.</w:t>
      </w:r>
    </w:p>
    <w:p>
      <w:pPr>
        <w:spacing w:after="0" w:line="20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Our casino operations in Macau were closed for a 15-day period in February 2020 and resumed operations on a reduced basis on February 20, 2020. On March 20, 2020, our casinos’ operations were fully restored; however certain health safeguards, such as limiting the number of seats per table game, slot machine spacing, temperature checks, mask protection, and health declarations remain in effect at the present time. Visitation to Macau has meaningfully decreased since the outbreak of COVID-19, driven by outbreak’s strong deterrent effect on travel and social activities, the Chinese government’s suspension of its visa and group tour schemes that allow mainland Chinese residents to travel to Macau, quarantine measures, travel and entry restrictions in Macau, Hong Kong and certain cities and regions in mainland China, the suspension of ferry services and other modes of transportation with Macau and regionally, and most recently, the ban on entry or enhanced quarantine requirements for any residents of Greater China attempting to enter Macau. Persons who are not residents of Greater China are barred from entry to Macau at this time.</w:t>
      </w:r>
    </w:p>
    <w:p>
      <w:pPr>
        <w:spacing w:after="0" w:line="205"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We cannot predict when any of our closed properties will be able to reopen, the conditions upon which such reopening may occur, and the effects of any such conditions. Moreover, even once travel advisories and restrictions are lifted, demand for casino resorts may remain weak for a significant length of time and we cannot predict if and when our properties will return to pre-outbreak demand or pricing. In particular, demand for casino resorts may be negatively impacted by the adverse changes in the perceived or actual economic climate, including higher unemployment rates, declines in income levels and loss of personal wealth resulting from the impact of COVID-19. In addition, we cannot predict the impact COVID-19 will have on our partners,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such as tenants, travel agencies, suppliers and other vendors. We may be adversely impacted as a result of the adverse impact our partners suffer.</w:t>
      </w:r>
    </w:p>
    <w:p>
      <w:pPr>
        <w:spacing w:after="0" w:line="26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As a result of all of the foregoing, we may be required to raise additional capital in the future and our access to and cost of financing will depend on, among other things, global economic conditions, conditions in the global financing markets, the availability of sufficient amounts of financing, our prospects and our credit ratings. If our credit ratings were to be downgraded, or general market conditions were to ascribe higher risk to our rating levels, our industry, or us, our access to capital and the cost of any debt financing will be further negatively impacted. In addition, the terms of future debt agreements could include more restrictive covenants, or require incremental collateral, which may further restrict our business operations or be unavailable due to our covenant restrictions then in effect. There is no guarantee that debt financings will be available in the future to fund our obligations, or that they will be available on terms consistent with our expectations.</w:t>
      </w:r>
    </w:p>
    <w:p>
      <w:pPr>
        <w:spacing w:after="0" w:line="22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addition, the COVID-19 outbreak has significantly increased economic and demand uncertainty. The current outbreak and continued spread of COVID-19 could cause a global recession, which would have a further adverse impact on our financial condition and operations. Current economic forecasts for significant increases in unemployment in the U.S. and other regions due to the adoption of social distancing and other policies to slow the spread of the virus is likely to have a negative impact on demand for casino resorts once our operations resume, and these impacts could exist for an extensive period of time.</w:t>
      </w:r>
    </w:p>
    <w:p>
      <w:pPr>
        <w:spacing w:after="0" w:line="21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extent of the effects of the outbreak on our business and the casino resort industry at large is highly uncertain and will ultimately depend on future developments, including, but not limited to, the duration and severity of the outbreak, the length of time it takes for demand and pricing to return and normal economic and operating conditions to resume.</w:t>
      </w:r>
    </w:p>
    <w:p>
      <w:pPr>
        <w:spacing w:after="0" w:line="2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COVID-19 outbreak has had and will continue to have an adverse effect on our results of operations and the ability of our subsidiaries to pay dividends and distributions. Given the uncertainty around the extent and timing of the potential future spread or mitigation of COVID-19 and around the imposition or relaxation of protective measures, we cannot reasonably estimate the impact to our future results of operations, cash flows, or financial condition.</w:t>
      </w:r>
    </w:p>
    <w:p>
      <w:pPr>
        <w:spacing w:after="0" w:line="21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To the extent COVID-19 adversely affects our business, operations, financial condition and operating results, it may also have the effect of heightening many of the other risks related to our business, including, but not limited to, those relating to our high level of indebtedness, our need to generate sufficient cash flows to service our indebtedness, and our ability to comply with the covenants contained in the agreements that govern our indebtedness.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52" w:lineRule="exact"/>
        <w:rPr>
          <w:sz w:val="20"/>
          <w:szCs w:val="20"/>
          <w:color w:val="auto"/>
        </w:rPr>
      </w:pPr>
    </w:p>
    <w:p>
      <w:pPr>
        <w:ind w:right="440" w:firstLine="405"/>
        <w:spacing w:after="0" w:line="276" w:lineRule="auto"/>
        <w:rPr>
          <w:sz w:val="20"/>
          <w:szCs w:val="20"/>
          <w:color w:val="auto"/>
        </w:rPr>
      </w:pPr>
      <w:r>
        <w:rPr>
          <w:rFonts w:ascii="Arial" w:cs="Arial" w:eastAsia="Arial" w:hAnsi="Arial"/>
          <w:sz w:val="18"/>
          <w:szCs w:val="18"/>
          <w:color w:val="auto"/>
        </w:rPr>
        <w:t>The following table summarizes the share repurchases in satisfaction of tax withholding obligations on vested restricted stock during the quarter ended March 31, 2020:</w:t>
      </w:r>
    </w:p>
    <w:tbl>
      <w:tblPr>
        <w:tblLayout w:type="fixed"/>
        <w:tblInd w:w="0" w:type="dxa"/>
        <w:tblCellMar>
          <w:top w:w="0" w:type="dxa"/>
          <w:left w:w="0" w:type="dxa"/>
          <w:bottom w:w="0" w:type="dxa"/>
          <w:right w:w="0" w:type="dxa"/>
        </w:tblCellMar>
      </w:tblPr>
      <w:tr>
        <w:trPr>
          <w:trHeight w:val="150"/>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Number of Shares</w:t>
            </w:r>
          </w:p>
        </w:tc>
        <w:tc>
          <w:tcPr>
            <w:tcW w:w="1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Weighted Average Price Paid</w:t>
            </w:r>
          </w:p>
        </w:tc>
        <w:tc>
          <w:tcPr>
            <w:tcW w:w="140" w:type="dxa"/>
            <w:vAlign w:val="bottom"/>
          </w:tcPr>
          <w:p>
            <w:pPr>
              <w:spacing w:after="0"/>
              <w:rPr>
                <w:sz w:val="13"/>
                <w:szCs w:val="13"/>
                <w:color w:val="auto"/>
              </w:rPr>
            </w:pPr>
          </w:p>
        </w:tc>
        <w:tc>
          <w:tcPr>
            <w:tcW w:w="2040" w:type="dxa"/>
            <w:vAlign w:val="bottom"/>
          </w:tcPr>
          <w:p>
            <w:pPr>
              <w:jc w:val="center"/>
              <w:ind w:right="59"/>
              <w:spacing w:after="0" w:line="150" w:lineRule="exact"/>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8"/>
        </w:trPr>
        <w:tc>
          <w:tcPr>
            <w:tcW w:w="5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 the Month Ended</w:t>
            </w:r>
          </w:p>
        </w:tc>
        <w:tc>
          <w:tcPr>
            <w:tcW w:w="120" w:type="dxa"/>
            <w:vAlign w:val="bottom"/>
            <w:vMerge w:val="restart"/>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0"/>
              </w:rPr>
              <w:t>Repurchased Shares</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Repurchased</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January 31, 2020</w:t>
            </w:r>
          </w:p>
        </w:tc>
        <w:tc>
          <w:tcPr>
            <w:tcW w:w="18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16,252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149.41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2,428</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February 29, 2020</w:t>
            </w:r>
          </w:p>
        </w:tc>
        <w:tc>
          <w:tcPr>
            <w:tcW w:w="1820" w:type="dxa"/>
            <w:vAlign w:val="bottom"/>
          </w:tcPr>
          <w:p>
            <w:pPr>
              <w:jc w:val="right"/>
              <w:ind w:right="57"/>
              <w:spacing w:after="0"/>
              <w:rPr>
                <w:sz w:val="20"/>
                <w:szCs w:val="20"/>
                <w:color w:val="auto"/>
              </w:rPr>
            </w:pPr>
            <w:r>
              <w:rPr>
                <w:rFonts w:ascii="Arial" w:cs="Arial" w:eastAsia="Arial" w:hAnsi="Arial"/>
                <w:sz w:val="18"/>
                <w:szCs w:val="18"/>
                <w:color w:val="auto"/>
              </w:rPr>
              <w:t>1,771</w:t>
            </w:r>
          </w:p>
        </w:tc>
        <w:tc>
          <w:tcPr>
            <w:tcW w:w="12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121.85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ind w:right="79"/>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March 31, 2020</w:t>
            </w:r>
          </w:p>
        </w:tc>
        <w:tc>
          <w:tcPr>
            <w:tcW w:w="18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26,932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107.68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None of the foregoing repurchases that occurred during the three months ended March 31, 2020 were part of the Company's publicly announced repurchase program. As of March 31, 2020, we had $800.1 million in repurchase authority under the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p>
      <w:pPr>
        <w:ind w:left="820" w:hanging="65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both"/>
        <w:ind w:left="440"/>
        <w:spacing w:after="0"/>
        <w:tabs>
          <w:tab w:leader="none" w:pos="12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47" w:lineRule="exact"/>
        <w:rPr>
          <w:sz w:val="20"/>
          <w:szCs w:val="20"/>
          <w:color w:val="auto"/>
        </w:rPr>
      </w:pPr>
    </w:p>
    <w:p>
      <w:pPr>
        <w:ind w:left="860"/>
        <w:spacing w:after="0"/>
        <w:rPr>
          <w:sz w:val="20"/>
          <w:szCs w:val="20"/>
          <w:color w:val="auto"/>
        </w:rPr>
      </w:pPr>
      <w:r>
        <w:rPr>
          <w:rFonts w:ascii="Arial" w:cs="Arial" w:eastAsia="Arial" w:hAnsi="Arial"/>
          <w:sz w:val="15"/>
          <w:szCs w:val="15"/>
          <w:color w:val="auto"/>
        </w:rPr>
        <w:t>3.1</w:t>
      </w:r>
    </w:p>
    <w:p>
      <w:pPr>
        <w:spacing w:after="0" w:line="23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3.2</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19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*10.1</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*31.1</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*31.2</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20"/>
        <w:spacing w:after="0" w:line="235" w:lineRule="auto"/>
        <w:rPr>
          <w:rFonts w:ascii="Arial" w:cs="Arial" w:eastAsia="Arial" w:hAnsi="Arial"/>
          <w:sz w:val="18"/>
          <w:szCs w:val="18"/>
          <w:u w:val="single" w:color="auto"/>
          <w:color w:val="0000FF"/>
        </w:rPr>
      </w:pPr>
      <w:hyperlink r:id="rId65">
        <w:r>
          <w:rPr>
            <w:rFonts w:ascii="Arial" w:cs="Arial" w:eastAsia="Arial" w:hAnsi="Arial"/>
            <w:sz w:val="18"/>
            <w:szCs w:val="18"/>
            <w:u w:val="single" w:color="auto"/>
            <w:color w:val="0000FF"/>
          </w:rPr>
          <w:t>Third Amended and Restated Articles of Incorporation of the Registrant. (Incorporated by reference from the Quarterly Report on Form</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10-Q filed by the Registrant on May 8, 2015.)</w:t>
        </w:r>
      </w:hyperlink>
    </w:p>
    <w:p>
      <w:pPr>
        <w:ind w:right="20"/>
        <w:spacing w:after="0" w:line="234" w:lineRule="auto"/>
        <w:rPr>
          <w:rFonts w:ascii="Arial" w:cs="Arial" w:eastAsia="Arial" w:hAnsi="Arial"/>
          <w:sz w:val="18"/>
          <w:szCs w:val="18"/>
          <w:u w:val="single" w:color="auto"/>
          <w:color w:val="0000FF"/>
        </w:rPr>
      </w:pPr>
      <w:hyperlink r:id="rId66">
        <w:r>
          <w:rPr>
            <w:rFonts w:ascii="Arial" w:cs="Arial" w:eastAsia="Arial" w:hAnsi="Arial"/>
            <w:sz w:val="18"/>
            <w:szCs w:val="18"/>
            <w:u w:val="single" w:color="auto"/>
            <w:color w:val="0000FF"/>
          </w:rPr>
          <w:t>Ninth Amended and Restated Bylaws of the Registrant. (Incorporated by reference from the Annual Report on Form 10-K filed by the</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Registrant on February 28, 2020.)</w:t>
        </w:r>
      </w:hyperlink>
    </w:p>
    <w:p>
      <w:pPr>
        <w:spacing w:after="0" w:line="1" w:lineRule="exact"/>
        <w:rPr>
          <w:sz w:val="20"/>
          <w:szCs w:val="20"/>
          <w:color w:val="auto"/>
        </w:rPr>
      </w:pPr>
    </w:p>
    <w:p>
      <w:pPr>
        <w:ind w:right="20"/>
        <w:spacing w:after="0" w:line="234" w:lineRule="auto"/>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Indenture, dated as of April 14, 2020, by and among Wynn Resorts Finance, LLC, and Wynn Resorts Capital Corp., as joint and several</w:t>
        </w:r>
      </w:hyperlink>
      <w:r>
        <w:rPr>
          <w:rFonts w:ascii="Arial" w:cs="Arial" w:eastAsia="Arial" w:hAnsi="Arial"/>
          <w:sz w:val="18"/>
          <w:szCs w:val="18"/>
          <w:u w:val="single" w:color="auto"/>
          <w:color w:val="0000FF"/>
        </w:rPr>
        <w:t xml:space="preserve"> </w:t>
      </w:r>
      <w:hyperlink w:anchor="page44">
        <w:r>
          <w:rPr>
            <w:rFonts w:ascii="Arial" w:cs="Arial" w:eastAsia="Arial" w:hAnsi="Arial"/>
            <w:sz w:val="18"/>
            <w:szCs w:val="18"/>
            <w:u w:val="single" w:color="auto"/>
            <w:color w:val="0000FF"/>
          </w:rPr>
          <w:t>obligors and the Guarantors named therein and U.S. Bank National Association, as trustee.</w:t>
        </w:r>
      </w:hyperlink>
    </w:p>
    <w:p>
      <w:pPr>
        <w:spacing w:after="0" w:line="1" w:lineRule="exact"/>
        <w:rPr>
          <w:sz w:val="20"/>
          <w:szCs w:val="20"/>
          <w:color w:val="auto"/>
        </w:rPr>
      </w:pPr>
    </w:p>
    <w:p>
      <w:pPr>
        <w:ind w:right="40"/>
        <w:spacing w:after="0" w:line="264" w:lineRule="auto"/>
        <w:rPr>
          <w:rFonts w:ascii="Arial" w:cs="Arial" w:eastAsia="Arial" w:hAnsi="Arial"/>
          <w:sz w:val="16"/>
          <w:szCs w:val="16"/>
          <w:u w:val="single" w:color="auto"/>
          <w:color w:val="0000FF"/>
        </w:rPr>
      </w:pPr>
      <w:hyperlink w:anchor="page196">
        <w:r>
          <w:rPr>
            <w:rFonts w:ascii="Arial" w:cs="Arial" w:eastAsia="Arial" w:hAnsi="Arial"/>
            <w:sz w:val="16"/>
            <w:szCs w:val="16"/>
            <w:u w:val="single" w:color="auto"/>
            <w:color w:val="0000FF"/>
          </w:rPr>
          <w:t>First Amendment to Credit Agreement, dated as of April 10, 2020, by and among Wynn Resorts Finance, LLC, as borrower, the</w:t>
        </w:r>
      </w:hyperlink>
      <w:r>
        <w:rPr>
          <w:rFonts w:ascii="Arial" w:cs="Arial" w:eastAsia="Arial" w:hAnsi="Arial"/>
          <w:sz w:val="16"/>
          <w:szCs w:val="16"/>
          <w:u w:val="single" w:color="auto"/>
          <w:color w:val="0000FF"/>
        </w:rPr>
        <w:t xml:space="preserve"> </w:t>
      </w:r>
      <w:hyperlink w:anchor="page196">
        <w:r>
          <w:rPr>
            <w:rFonts w:ascii="Arial" w:cs="Arial" w:eastAsia="Arial" w:hAnsi="Arial"/>
            <w:sz w:val="16"/>
            <w:szCs w:val="16"/>
            <w:u w:val="single" w:color="auto"/>
            <w:color w:val="0000FF"/>
          </w:rPr>
          <w:t>subsidiaries of borrower party hereto, as guarantors, Deutsche Bank AG New York Branch, as administrative agent and as collateral agent.</w:t>
        </w:r>
      </w:hyperlink>
    </w:p>
    <w:p>
      <w:pPr>
        <w:spacing w:after="0"/>
        <w:rPr>
          <w:rFonts w:ascii="Arial" w:cs="Arial" w:eastAsia="Arial" w:hAnsi="Arial"/>
          <w:sz w:val="18"/>
          <w:szCs w:val="18"/>
          <w:color w:val="0000FF"/>
        </w:rPr>
      </w:pPr>
      <w:hyperlink w:anchor="page223">
        <w:r>
          <w:rPr>
            <w:rFonts w:ascii="Arial" w:cs="Arial" w:eastAsia="Arial" w:hAnsi="Arial"/>
            <w:sz w:val="18"/>
            <w:szCs w:val="18"/>
            <w:u w:val="single" w:color="auto"/>
            <w:color w:val="0000FF"/>
          </w:rPr>
          <w:t>Certification of Chief Executive Officer of Periodic Report Pursuant to Rule 13a – 14(a) and Rule 15d – 14(a)</w:t>
        </w:r>
        <w:r>
          <w:rPr>
            <w:rFonts w:ascii="Arial" w:cs="Arial" w:eastAsia="Arial" w:hAnsi="Arial"/>
            <w:sz w:val="18"/>
            <w:szCs w:val="18"/>
            <w:color w:val="0000FF"/>
          </w:rPr>
          <w:t>.</w:t>
        </w:r>
      </w:hyperlink>
    </w:p>
    <w:p>
      <w:pPr>
        <w:spacing w:after="0" w:line="62" w:lineRule="exact"/>
        <w:rPr>
          <w:sz w:val="20"/>
          <w:szCs w:val="20"/>
          <w:color w:val="auto"/>
        </w:rPr>
      </w:pPr>
    </w:p>
    <w:p>
      <w:pPr>
        <w:spacing w:after="0"/>
        <w:rPr>
          <w:rFonts w:ascii="Arial" w:cs="Arial" w:eastAsia="Arial" w:hAnsi="Arial"/>
          <w:sz w:val="18"/>
          <w:szCs w:val="18"/>
          <w:u w:val="single" w:color="auto"/>
          <w:color w:val="0000FF"/>
        </w:rPr>
      </w:pPr>
      <w:hyperlink w:anchor="page224">
        <w:r>
          <w:rPr>
            <w:rFonts w:ascii="Arial" w:cs="Arial" w:eastAsia="Arial" w:hAnsi="Arial"/>
            <w:sz w:val="18"/>
            <w:szCs w:val="18"/>
            <w:u w:val="single" w:color="auto"/>
            <w:color w:val="0000FF"/>
          </w:rPr>
          <w:t>Certification of Chief Financial Officer of Periodic Report Pursuant to Rule 13a – 14(a) and Rule 15d – 14(a).</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225">
        <w:r>
          <w:rPr>
            <w:rFonts w:ascii="Arial" w:cs="Arial" w:eastAsia="Arial" w:hAnsi="Arial"/>
            <w:sz w:val="18"/>
            <w:szCs w:val="18"/>
            <w:u w:val="single" w:color="auto"/>
            <w:color w:val="0000FF"/>
          </w:rPr>
          <w:t>Certification of CEO and CFO Pursuant to 19 U.S.C. Section 1350.</w:t>
        </w:r>
      </w:hyperlink>
    </w:p>
    <w:p>
      <w:pPr>
        <w:spacing w:after="0" w:line="76" w:lineRule="exact"/>
        <w:rPr>
          <w:sz w:val="20"/>
          <w:szCs w:val="20"/>
          <w:color w:val="auto"/>
        </w:rPr>
      </w:pPr>
    </w:p>
    <w:p>
      <w:pPr>
        <w:sectPr>
          <w:pgSz w:w="11900" w:h="16838" w:orient="portrait"/>
          <w:cols w:equalWidth="0" w:num="2">
            <w:col w:w="1080" w:space="140"/>
            <w:col w:w="10020"/>
          </w:cols>
          <w:pgMar w:left="320" w:top="122" w:right="339" w:bottom="1440" w:gutter="0" w:footer="0" w:header="0"/>
          <w:type w:val="continuous"/>
        </w:sectPr>
      </w:pPr>
    </w:p>
    <w:p>
      <w:pPr>
        <w:jc w:val="both"/>
        <w:ind w:left="1220" w:right="20" w:hanging="406"/>
        <w:spacing w:after="0" w:line="254" w:lineRule="auto"/>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material from Wynn Resorts, Limited's Quarterly Report on Form 10-Q, formatted in Inline XBRL (Inline Extensible Business Reporting Language): (i) the Condensed Consolidated Balance Sheets as of March 31, 2020 and December 31, 2019; (ii) the Condensed Consolidated Statements of Operations for the three months ended March 31, 2020 and 2019; (iii) the Condensed Consolidated Statements of Comprehensive Income (Loss) for the three months ended March 31, 2020 and 2019; (iv) the Condensed Consolidated Statements of Stockholders' Equity for the three months ended March 31, 2020 and 2019; (v) the Condensed Consolidated Statements of Cash Flows for the three months ended March 31, 2020 and 2019; and (vi) Notes to Condensed Consolidated Financial Statements. The instance document does not appear in the Interactive Data File because its XBRL tags are embedded within the Inline XBRL document.</w:t>
      </w:r>
    </w:p>
    <w:p>
      <w:pPr>
        <w:spacing w:after="0" w:line="30"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Cover Page Interactive Data File - The cover page XBRL tags are embedded within the Inline XBRL document.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Wynn Resorts, Limited agrees to furnish to the U.S. Securities and Exchange Commission, upon request, a copy of each agreement with respect to long-term debt not filed herewith in reliance upon the exemption from filing applicable to any series of debt which does not exceed 10% of the total consolidated assets of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Filed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7220"/>
        <w:spacing w:after="0"/>
        <w:rPr>
          <w:sz w:val="20"/>
          <w:szCs w:val="20"/>
          <w:color w:val="auto"/>
        </w:rPr>
      </w:pPr>
      <w:r>
        <w:rPr>
          <w:rFonts w:ascii="Arial" w:cs="Arial" w:eastAsia="Arial" w:hAnsi="Arial"/>
          <w:sz w:val="18"/>
          <w:szCs w:val="18"/>
          <w:b w:val="1"/>
          <w:bCs w:val="1"/>
          <w:color w:val="auto"/>
        </w:rPr>
        <w:t>WYNN RESORTS, LIMITED</w:t>
      </w:r>
    </w:p>
    <w:p>
      <w:pPr>
        <w:spacing w:after="0" w:line="121" w:lineRule="exact"/>
        <w:rPr>
          <w:sz w:val="20"/>
          <w:szCs w:val="20"/>
          <w:color w:val="auto"/>
        </w:rPr>
      </w:pPr>
    </w:p>
    <w:p>
      <w:pPr>
        <w:ind w:left="20"/>
        <w:spacing w:after="0"/>
        <w:tabs>
          <w:tab w:leader="none" w:pos="6480" w:val="left"/>
          <w:tab w:leader="none" w:pos="7100" w:val="left"/>
        </w:tabs>
        <w:rPr>
          <w:sz w:val="20"/>
          <w:szCs w:val="20"/>
          <w:color w:val="auto"/>
        </w:rPr>
      </w:pPr>
      <w:r>
        <w:rPr>
          <w:rFonts w:ascii="Arial" w:cs="Arial" w:eastAsia="Arial" w:hAnsi="Arial"/>
          <w:sz w:val="18"/>
          <w:szCs w:val="18"/>
          <w:color w:val="auto"/>
        </w:rPr>
        <w:t>Dated: May 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31750</wp:posOffset>
            </wp:positionV>
            <wp:extent cx="26149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2614930" cy="8890"/>
                    </a:xfrm>
                    <a:prstGeom prst="rect">
                      <a:avLst/>
                    </a:prstGeom>
                    <a:noFill/>
                  </pic:spPr>
                </pic:pic>
              </a:graphicData>
            </a:graphic>
          </wp:anchor>
        </w:drawing>
      </w:r>
    </w:p>
    <w:p>
      <w:pPr>
        <w:spacing w:after="0" w:line="4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President, Chief Financial Officer and Treasurer</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740"/>
          </w:cols>
          <w:pgMar w:left="320" w:top="122" w:right="83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845820</wp:posOffset>
            </wp:positionV>
            <wp:extent cx="69862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WYNN RESORTS FINANCE, LLC</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and</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WYNN RESORTS CAPITAL CORP.,</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as joint and several obligors</w:t>
      </w: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AND</w:t>
      </w:r>
    </w:p>
    <w:p>
      <w:pPr>
        <w:spacing w:after="0" w:line="247"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EBH HOLDINGS, LLC,</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EBH MA PROPERTY, LLC,</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WYNN GROUP ASIA, INC.,</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EVERETT PROPERTY, LLC,</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WYNN AMERICA GROUP, LLC,</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WYNN LAS VEGAS HOLDINGS, LLC,</w:t>
      </w:r>
    </w:p>
    <w:p>
      <w:pPr>
        <w:spacing w:after="0" w:line="15"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WYNN LAS VEGAS, LLC,</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WYNN MA, LLC,</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WYNN SUNRISE, LLC</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and</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WYNN LAS VEGAS CAPITAL CORP.,</w:t>
      </w:r>
    </w:p>
    <w:p>
      <w:pPr>
        <w:spacing w:after="0" w:line="15"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as guarantors</w:t>
      </w:r>
    </w:p>
    <w:p>
      <w:pPr>
        <w:spacing w:after="0" w:line="229" w:lineRule="exact"/>
        <w:rPr>
          <w:sz w:val="20"/>
          <w:szCs w:val="20"/>
          <w:color w:val="auto"/>
        </w:rPr>
      </w:pPr>
    </w:p>
    <w:p>
      <w:pPr>
        <w:ind w:left="2880"/>
        <w:spacing w:after="0"/>
        <w:rPr>
          <w:sz w:val="20"/>
          <w:szCs w:val="20"/>
          <w:color w:val="auto"/>
        </w:rPr>
      </w:pPr>
      <w:r>
        <w:rPr>
          <w:rFonts w:ascii="Arial" w:cs="Arial" w:eastAsia="Arial" w:hAnsi="Arial"/>
          <w:sz w:val="22"/>
          <w:szCs w:val="22"/>
          <w:color w:val="auto"/>
        </w:rPr>
        <w:t>7.750% SENIOR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178435</wp:posOffset>
            </wp:positionV>
            <wp:extent cx="69862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INDENTURE</w:t>
      </w:r>
    </w:p>
    <w:p>
      <w:pPr>
        <w:spacing w:after="0" w:line="247"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Dated as of April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178435</wp:posOffset>
            </wp:positionV>
            <wp:extent cx="69862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744220</wp:posOffset>
            </wp:positionV>
            <wp:extent cx="69862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U.S. BANK NATIONAL ASSOCIATION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180"/>
        <w:spacing w:after="0"/>
        <w:rPr>
          <w:sz w:val="20"/>
          <w:szCs w:val="20"/>
          <w:color w:val="auto"/>
        </w:rPr>
      </w:pPr>
      <w:r>
        <w:rPr>
          <w:rFonts w:ascii="Arial" w:cs="Arial" w:eastAsia="Arial" w:hAnsi="Arial"/>
          <w:sz w:val="22"/>
          <w:szCs w:val="22"/>
          <w:color w:val="auto"/>
        </w:rPr>
        <w:t>Trustee</w:t>
      </w:r>
    </w:p>
    <w:p>
      <w:pPr>
        <w:sectPr>
          <w:pgSz w:w="11900" w:h="16838" w:orient="portrait"/>
          <w:cols w:equalWidth="0" w:num="1">
            <w:col w:w="10120"/>
          </w:cols>
          <w:pgMar w:left="1440" w:top="121"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80"/>
        </w:trPr>
        <w:tc>
          <w:tcPr>
            <w:tcW w:w="9800" w:type="dxa"/>
            <w:vAlign w:val="bottom"/>
          </w:tcPr>
          <w:p>
            <w:pPr>
              <w:jc w:val="center"/>
              <w:ind w:left="1292"/>
              <w:spacing w:after="0"/>
              <w:rPr>
                <w:sz w:val="20"/>
                <w:szCs w:val="20"/>
                <w:color w:val="auto"/>
              </w:rPr>
            </w:pPr>
            <w:r>
              <w:rPr>
                <w:rFonts w:ascii="Arial" w:cs="Arial" w:eastAsia="Arial" w:hAnsi="Arial"/>
                <w:sz w:val="22"/>
                <w:szCs w:val="22"/>
                <w:b w:val="1"/>
                <w:bCs w:val="1"/>
                <w:color w:val="auto"/>
                <w:w w:val="97"/>
              </w:rPr>
              <w:t>TABLE OF CONTENTS</w:t>
            </w:r>
          </w:p>
        </w:tc>
        <w:tc>
          <w:tcPr>
            <w:tcW w:w="1420" w:type="dxa"/>
            <w:vAlign w:val="bottom"/>
          </w:tcPr>
          <w:p>
            <w:pPr>
              <w:spacing w:after="0"/>
              <w:rPr>
                <w:sz w:val="24"/>
                <w:szCs w:val="24"/>
                <w:color w:val="auto"/>
              </w:rPr>
            </w:pPr>
          </w:p>
        </w:tc>
      </w:tr>
      <w:tr>
        <w:trPr>
          <w:trHeight w:val="473"/>
        </w:trPr>
        <w:tc>
          <w:tcPr>
            <w:tcW w:w="98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2"/>
                <w:szCs w:val="22"/>
                <w:i w:val="1"/>
                <w:iCs w:val="1"/>
                <w:color w:val="auto"/>
              </w:rPr>
              <w:t>Page</w:t>
            </w:r>
          </w:p>
        </w:tc>
      </w:tr>
      <w:tr>
        <w:trPr>
          <w:trHeight w:val="310"/>
        </w:trPr>
        <w:tc>
          <w:tcPr>
            <w:tcW w:w="9800" w:type="dxa"/>
            <w:vAlign w:val="bottom"/>
          </w:tcPr>
          <w:p>
            <w:pPr>
              <w:jc w:val="center"/>
              <w:ind w:left="1292"/>
              <w:spacing w:after="0"/>
              <w:rPr>
                <w:sz w:val="20"/>
                <w:szCs w:val="20"/>
                <w:color w:val="auto"/>
              </w:rPr>
            </w:pPr>
            <w:r>
              <w:rPr>
                <w:rFonts w:ascii="Arial" w:cs="Arial" w:eastAsia="Arial" w:hAnsi="Arial"/>
                <w:sz w:val="22"/>
                <w:szCs w:val="22"/>
                <w:color w:val="auto"/>
                <w:w w:val="94"/>
              </w:rPr>
              <w:t>ARTICLE 1. DEFINITIONS AND INCORPORATION BY REFERENCE</w:t>
            </w:r>
          </w:p>
        </w:tc>
        <w:tc>
          <w:tcPr>
            <w:tcW w:w="1420" w:type="dxa"/>
            <w:vAlign w:val="bottom"/>
          </w:tcPr>
          <w:p>
            <w:pPr>
              <w:spacing w:after="0"/>
              <w:rPr>
                <w:sz w:val="24"/>
                <w:szCs w:val="24"/>
                <w:color w:val="auto"/>
              </w:rPr>
            </w:pPr>
          </w:p>
        </w:tc>
      </w:tr>
      <w:tr>
        <w:trPr>
          <w:trHeight w:val="311"/>
        </w:trPr>
        <w:tc>
          <w:tcPr>
            <w:tcW w:w="980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1.01 Definitions.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10"/>
        </w:trPr>
        <w:tc>
          <w:tcPr>
            <w:tcW w:w="980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1.02 Other Definitions.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311"/>
        </w:trPr>
        <w:tc>
          <w:tcPr>
            <w:tcW w:w="980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1.03 Rules of Construction.</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10"/>
        </w:trPr>
        <w:tc>
          <w:tcPr>
            <w:tcW w:w="9800" w:type="dxa"/>
            <w:vAlign w:val="bottom"/>
          </w:tcPr>
          <w:p>
            <w:pPr>
              <w:jc w:val="center"/>
              <w:ind w:left="1312"/>
              <w:spacing w:after="0"/>
              <w:rPr>
                <w:sz w:val="20"/>
                <w:szCs w:val="20"/>
                <w:color w:val="auto"/>
              </w:rPr>
            </w:pPr>
            <w:r>
              <w:rPr>
                <w:rFonts w:ascii="Arial" w:cs="Arial" w:eastAsia="Arial" w:hAnsi="Arial"/>
                <w:sz w:val="22"/>
                <w:szCs w:val="22"/>
                <w:color w:val="auto"/>
                <w:w w:val="93"/>
              </w:rPr>
              <w:t>ARTICLE 2. THE NOTES</w:t>
            </w:r>
          </w:p>
        </w:tc>
        <w:tc>
          <w:tcPr>
            <w:tcW w:w="1420" w:type="dxa"/>
            <w:vAlign w:val="bottom"/>
          </w:tcPr>
          <w:p>
            <w:pPr>
              <w:spacing w:after="0"/>
              <w:rPr>
                <w:sz w:val="24"/>
                <w:szCs w:val="24"/>
                <w:color w:val="auto"/>
              </w:rPr>
            </w:pPr>
          </w:p>
        </w:tc>
      </w:tr>
      <w:tr>
        <w:trPr>
          <w:trHeight w:val="311"/>
        </w:trPr>
        <w:tc>
          <w:tcPr>
            <w:tcW w:w="980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2.01 Form and Dating.</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11"/>
        </w:trPr>
        <w:tc>
          <w:tcPr>
            <w:tcW w:w="980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2.02 Execution and Authentication.</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10"/>
        </w:trPr>
        <w:tc>
          <w:tcPr>
            <w:tcW w:w="980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2.03 Registrar and Paying Agent.</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11"/>
        </w:trPr>
        <w:tc>
          <w:tcPr>
            <w:tcW w:w="980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2.04 Paying Agent to Hold Money in Trust.</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310"/>
        </w:trPr>
        <w:tc>
          <w:tcPr>
            <w:tcW w:w="980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2.05 Holder Lists.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311"/>
        </w:trPr>
        <w:tc>
          <w:tcPr>
            <w:tcW w:w="980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2.06 Transfer and Exchange.</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310"/>
        </w:trPr>
        <w:tc>
          <w:tcPr>
            <w:tcW w:w="980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2.07 Replacement Notes.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311"/>
        </w:trPr>
        <w:tc>
          <w:tcPr>
            <w:tcW w:w="980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2.08 Outstanding Notes.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11"/>
        </w:trPr>
        <w:tc>
          <w:tcPr>
            <w:tcW w:w="980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2.09 Treasury Notes.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10"/>
        </w:trPr>
        <w:tc>
          <w:tcPr>
            <w:tcW w:w="980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2.10 Temporary Notes.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10"/>
        </w:trPr>
        <w:tc>
          <w:tcPr>
            <w:tcW w:w="980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2.11 Cancellation.</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10"/>
        </w:trPr>
        <w:tc>
          <w:tcPr>
            <w:tcW w:w="980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2.12 Defaulted Interest.</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311"/>
        </w:trPr>
        <w:tc>
          <w:tcPr>
            <w:tcW w:w="980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2.13 Issuance of Additional Notes.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310"/>
        </w:trPr>
        <w:tc>
          <w:tcPr>
            <w:tcW w:w="9800" w:type="dxa"/>
            <w:vAlign w:val="bottom"/>
          </w:tcPr>
          <w:p>
            <w:pPr>
              <w:jc w:val="center"/>
              <w:ind w:left="1312"/>
              <w:spacing w:after="0"/>
              <w:rPr>
                <w:sz w:val="20"/>
                <w:szCs w:val="20"/>
                <w:color w:val="auto"/>
              </w:rPr>
            </w:pPr>
            <w:r>
              <w:rPr>
                <w:rFonts w:ascii="Arial" w:cs="Arial" w:eastAsia="Arial" w:hAnsi="Arial"/>
                <w:sz w:val="22"/>
                <w:szCs w:val="22"/>
                <w:color w:val="auto"/>
                <w:w w:val="94"/>
              </w:rPr>
              <w:t>ARTICLE 3. REDEMPTION AND PREPAYMENT</w:t>
            </w:r>
          </w:p>
        </w:tc>
        <w:tc>
          <w:tcPr>
            <w:tcW w:w="1420" w:type="dxa"/>
            <w:vAlign w:val="bottom"/>
          </w:tcPr>
          <w:p>
            <w:pPr>
              <w:spacing w:after="0"/>
              <w:rPr>
                <w:sz w:val="24"/>
                <w:szCs w:val="24"/>
                <w:color w:val="auto"/>
              </w:rPr>
            </w:pPr>
          </w:p>
        </w:tc>
      </w:tr>
      <w:tr>
        <w:trPr>
          <w:trHeight w:val="310"/>
        </w:trPr>
        <w:tc>
          <w:tcPr>
            <w:tcW w:w="980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3.01 Notices to Trustee.</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310"/>
        </w:trPr>
        <w:tc>
          <w:tcPr>
            <w:tcW w:w="980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3.02 Selection of Notes to Be Redeemed or Purchased.</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310"/>
        </w:trPr>
        <w:tc>
          <w:tcPr>
            <w:tcW w:w="980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3.03 Notice of Redemption.</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310"/>
        </w:trPr>
        <w:tc>
          <w:tcPr>
            <w:tcW w:w="980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3.04 Effect of Notice of Redemption.</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310"/>
        </w:trPr>
        <w:tc>
          <w:tcPr>
            <w:tcW w:w="980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3.05 Deposit of Redemption or Purchase Price.</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311"/>
        </w:trPr>
        <w:tc>
          <w:tcPr>
            <w:tcW w:w="980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3.06 Notes Redeemed or Purchased in Part.</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310"/>
        </w:trPr>
        <w:tc>
          <w:tcPr>
            <w:tcW w:w="980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3.07 Optional Redemption.</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310"/>
        </w:trPr>
        <w:tc>
          <w:tcPr>
            <w:tcW w:w="980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3.08 Mandatory Redemption.</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310"/>
        </w:trPr>
        <w:tc>
          <w:tcPr>
            <w:tcW w:w="980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3.09 Mandatory Disposition or Redemption Pursuant to Gaming Laws.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310"/>
        </w:trPr>
        <w:tc>
          <w:tcPr>
            <w:tcW w:w="9800" w:type="dxa"/>
            <w:vAlign w:val="bottom"/>
          </w:tcPr>
          <w:p>
            <w:pPr>
              <w:jc w:val="center"/>
              <w:ind w:left="1292"/>
              <w:spacing w:after="0"/>
              <w:rPr>
                <w:sz w:val="20"/>
                <w:szCs w:val="20"/>
                <w:color w:val="auto"/>
              </w:rPr>
            </w:pPr>
            <w:r>
              <w:rPr>
                <w:rFonts w:ascii="Arial" w:cs="Arial" w:eastAsia="Arial" w:hAnsi="Arial"/>
                <w:sz w:val="22"/>
                <w:szCs w:val="22"/>
                <w:color w:val="auto"/>
                <w:w w:val="95"/>
              </w:rPr>
              <w:t>ARTICLE 4. COVENANTS</w:t>
            </w:r>
          </w:p>
        </w:tc>
        <w:tc>
          <w:tcPr>
            <w:tcW w:w="1420" w:type="dxa"/>
            <w:vAlign w:val="bottom"/>
          </w:tcPr>
          <w:p>
            <w:pPr>
              <w:spacing w:after="0"/>
              <w:rPr>
                <w:sz w:val="24"/>
                <w:szCs w:val="24"/>
                <w:color w:val="auto"/>
              </w:rPr>
            </w:pPr>
          </w:p>
        </w:tc>
      </w:tr>
      <w:tr>
        <w:trPr>
          <w:trHeight w:val="310"/>
        </w:trPr>
        <w:tc>
          <w:tcPr>
            <w:tcW w:w="980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4.01 Payment of Notes.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310"/>
        </w:trPr>
        <w:tc>
          <w:tcPr>
            <w:tcW w:w="980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4.02 Maintenance of Office or Agency.</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310"/>
        </w:trPr>
        <w:tc>
          <w:tcPr>
            <w:tcW w:w="980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4.03 Reports.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311"/>
        </w:trPr>
        <w:tc>
          <w:tcPr>
            <w:tcW w:w="980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4.04 Compliance Certificate.</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310"/>
        </w:trPr>
        <w:tc>
          <w:tcPr>
            <w:tcW w:w="980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4.05 Taxes.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310"/>
        </w:trPr>
        <w:tc>
          <w:tcPr>
            <w:tcW w:w="980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4.06 Stay, Extension and Usury Laws.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310"/>
        </w:trPr>
        <w:tc>
          <w:tcPr>
            <w:tcW w:w="980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4.07 Limitation on Liens Securing Indebtedness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311"/>
        </w:trPr>
        <w:tc>
          <w:tcPr>
            <w:tcW w:w="980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4.08 Limitation on Sale and Leaseback Transactions.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10"/>
        </w:trPr>
        <w:tc>
          <w:tcPr>
            <w:tcW w:w="980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4.09 Exempted Liens and Sale and Leaseback Transactions.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59</w:t>
            </w:r>
          </w:p>
        </w:tc>
      </w:tr>
    </w:tbl>
    <w:p>
      <w:pPr>
        <w:spacing w:after="0" w:line="200" w:lineRule="exact"/>
        <w:rPr>
          <w:sz w:val="20"/>
          <w:szCs w:val="20"/>
          <w:color w:val="auto"/>
        </w:rPr>
      </w:pPr>
    </w:p>
    <w:p>
      <w:pPr>
        <w:sectPr>
          <w:pgSz w:w="11900" w:h="16838" w:orient="portrait"/>
          <w:cols w:equalWidth="0" w:num="1">
            <w:col w:w="11220"/>
          </w:cols>
          <w:pgMar w:left="340" w:top="1422" w:right="33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20"/>
          </w:cols>
          <w:pgMar w:left="340" w:top="1422" w:right="339" w:bottom="1440" w:gutter="0" w:footer="0" w:header="0"/>
          <w:type w:val="continuous"/>
        </w:sectPr>
      </w:pPr>
    </w:p>
    <w:bookmarkStart w:id="45" w:name="page46"/>
    <w:bookmarkEnd w:id="45"/>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03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4.10 Corporate and Organizational Existence.</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11"/>
        </w:trPr>
        <w:tc>
          <w:tcPr>
            <w:tcW w:w="103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4.11 Offer to Purchase Upon Change of Control.</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311"/>
        </w:trPr>
        <w:tc>
          <w:tcPr>
            <w:tcW w:w="10340" w:type="dxa"/>
            <w:vAlign w:val="bottom"/>
          </w:tcPr>
          <w:p>
            <w:pPr>
              <w:jc w:val="center"/>
              <w:ind w:left="752"/>
              <w:spacing w:after="0"/>
              <w:rPr>
                <w:sz w:val="20"/>
                <w:szCs w:val="20"/>
                <w:color w:val="auto"/>
              </w:rPr>
            </w:pPr>
            <w:r>
              <w:rPr>
                <w:rFonts w:ascii="Arial" w:cs="Arial" w:eastAsia="Arial" w:hAnsi="Arial"/>
                <w:sz w:val="22"/>
                <w:szCs w:val="22"/>
                <w:color w:val="auto"/>
                <w:w w:val="90"/>
              </w:rPr>
              <w:t>ARTICLE 5. SUCCESSORS</w:t>
            </w:r>
          </w:p>
        </w:tc>
        <w:tc>
          <w:tcPr>
            <w:tcW w:w="860" w:type="dxa"/>
            <w:vAlign w:val="bottom"/>
          </w:tcPr>
          <w:p>
            <w:pPr>
              <w:spacing w:after="0"/>
              <w:rPr>
                <w:sz w:val="24"/>
                <w:szCs w:val="24"/>
                <w:color w:val="auto"/>
              </w:rPr>
            </w:pPr>
          </w:p>
        </w:tc>
      </w:tr>
      <w:tr>
        <w:trPr>
          <w:trHeight w:val="310"/>
        </w:trPr>
        <w:tc>
          <w:tcPr>
            <w:tcW w:w="103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5.01 Merger, Consolidation, or Sale of Assets.</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311"/>
        </w:trPr>
        <w:tc>
          <w:tcPr>
            <w:tcW w:w="103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5.02 Successor Corporation Substituted.</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310"/>
        </w:trPr>
        <w:tc>
          <w:tcPr>
            <w:tcW w:w="10340" w:type="dxa"/>
            <w:vAlign w:val="bottom"/>
          </w:tcPr>
          <w:p>
            <w:pPr>
              <w:jc w:val="center"/>
              <w:ind w:left="772"/>
              <w:spacing w:after="0"/>
              <w:rPr>
                <w:sz w:val="20"/>
                <w:szCs w:val="20"/>
                <w:color w:val="auto"/>
              </w:rPr>
            </w:pPr>
            <w:r>
              <w:rPr>
                <w:rFonts w:ascii="Arial" w:cs="Arial" w:eastAsia="Arial" w:hAnsi="Arial"/>
                <w:sz w:val="22"/>
                <w:szCs w:val="22"/>
                <w:color w:val="auto"/>
                <w:w w:val="94"/>
              </w:rPr>
              <w:t>ARTICLE 6. DEFAULTS AND REMEDIES</w:t>
            </w:r>
          </w:p>
        </w:tc>
        <w:tc>
          <w:tcPr>
            <w:tcW w:w="860" w:type="dxa"/>
            <w:vAlign w:val="bottom"/>
          </w:tcPr>
          <w:p>
            <w:pPr>
              <w:spacing w:after="0"/>
              <w:rPr>
                <w:sz w:val="24"/>
                <w:szCs w:val="24"/>
                <w:color w:val="auto"/>
              </w:rPr>
            </w:pPr>
          </w:p>
        </w:tc>
      </w:tr>
      <w:tr>
        <w:trPr>
          <w:trHeight w:val="311"/>
        </w:trPr>
        <w:tc>
          <w:tcPr>
            <w:tcW w:w="103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6.01 Events of Default.</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310"/>
        </w:trPr>
        <w:tc>
          <w:tcPr>
            <w:tcW w:w="103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6.02 Acceleration.</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311"/>
        </w:trPr>
        <w:tc>
          <w:tcPr>
            <w:tcW w:w="103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6.03 Other Remedies.</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311"/>
        </w:trPr>
        <w:tc>
          <w:tcPr>
            <w:tcW w:w="103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6.04 Waiver of Past Defaults.</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310"/>
        </w:trPr>
        <w:tc>
          <w:tcPr>
            <w:tcW w:w="103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6.05 Control by Majority.</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311"/>
        </w:trPr>
        <w:tc>
          <w:tcPr>
            <w:tcW w:w="103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6.06 Limitation on Suits.</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310"/>
        </w:trPr>
        <w:tc>
          <w:tcPr>
            <w:tcW w:w="103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6.07 Rights of Holders of Notes to Receive Payment.</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311"/>
        </w:trPr>
        <w:tc>
          <w:tcPr>
            <w:tcW w:w="103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6.08 Collection Suit by Trustee.</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310"/>
        </w:trPr>
        <w:tc>
          <w:tcPr>
            <w:tcW w:w="103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6.09 Trustee May File Proofs of Claim.</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311"/>
        </w:trPr>
        <w:tc>
          <w:tcPr>
            <w:tcW w:w="103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6.10 Priorities.</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310"/>
        </w:trPr>
        <w:tc>
          <w:tcPr>
            <w:tcW w:w="103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6.11 Undertaking for Costs.</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310"/>
        </w:trPr>
        <w:tc>
          <w:tcPr>
            <w:tcW w:w="10340" w:type="dxa"/>
            <w:vAlign w:val="bottom"/>
          </w:tcPr>
          <w:p>
            <w:pPr>
              <w:jc w:val="center"/>
              <w:ind w:left="752"/>
              <w:spacing w:after="0"/>
              <w:rPr>
                <w:sz w:val="20"/>
                <w:szCs w:val="20"/>
                <w:color w:val="auto"/>
              </w:rPr>
            </w:pPr>
            <w:r>
              <w:rPr>
                <w:rFonts w:ascii="Arial" w:cs="Arial" w:eastAsia="Arial" w:hAnsi="Arial"/>
                <w:sz w:val="22"/>
                <w:szCs w:val="22"/>
                <w:color w:val="auto"/>
                <w:w w:val="93"/>
              </w:rPr>
              <w:t>ARTICLE 7. TRUSTEE</w:t>
            </w:r>
          </w:p>
        </w:tc>
        <w:tc>
          <w:tcPr>
            <w:tcW w:w="860" w:type="dxa"/>
            <w:vAlign w:val="bottom"/>
          </w:tcPr>
          <w:p>
            <w:pPr>
              <w:spacing w:after="0"/>
              <w:rPr>
                <w:sz w:val="24"/>
                <w:szCs w:val="24"/>
                <w:color w:val="auto"/>
              </w:rPr>
            </w:pPr>
          </w:p>
        </w:tc>
      </w:tr>
      <w:tr>
        <w:trPr>
          <w:trHeight w:val="310"/>
        </w:trPr>
        <w:tc>
          <w:tcPr>
            <w:tcW w:w="103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7.01 Duties of Trustee.</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311"/>
        </w:trPr>
        <w:tc>
          <w:tcPr>
            <w:tcW w:w="103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7.02 Rights of Trustee.</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310"/>
        </w:trPr>
        <w:tc>
          <w:tcPr>
            <w:tcW w:w="103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7.03 Individual Rights of Trustee.</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310"/>
        </w:trPr>
        <w:tc>
          <w:tcPr>
            <w:tcW w:w="103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7.04 Trustee’s Disclaimer.</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310"/>
        </w:trPr>
        <w:tc>
          <w:tcPr>
            <w:tcW w:w="103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7.05 Notice of Defaults.</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310"/>
        </w:trPr>
        <w:tc>
          <w:tcPr>
            <w:tcW w:w="103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7.06 Compensation and Indemnity.</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310"/>
        </w:trPr>
        <w:tc>
          <w:tcPr>
            <w:tcW w:w="103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7.07 Replacement of Trustee.</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310"/>
        </w:trPr>
        <w:tc>
          <w:tcPr>
            <w:tcW w:w="103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7.08 Successor Trustee by Merger, etc.</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310"/>
        </w:trPr>
        <w:tc>
          <w:tcPr>
            <w:tcW w:w="103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7.09 Eligibility; Disqualification; Conflicting Interests.</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311"/>
        </w:trPr>
        <w:tc>
          <w:tcPr>
            <w:tcW w:w="103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7.10 Preferential Collection of Claims Against the Issuers.</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310"/>
        </w:trPr>
        <w:tc>
          <w:tcPr>
            <w:tcW w:w="10340" w:type="dxa"/>
            <w:vAlign w:val="bottom"/>
          </w:tcPr>
          <w:p>
            <w:pPr>
              <w:jc w:val="center"/>
              <w:ind w:left="752"/>
              <w:spacing w:after="0"/>
              <w:rPr>
                <w:sz w:val="20"/>
                <w:szCs w:val="20"/>
                <w:color w:val="auto"/>
              </w:rPr>
            </w:pPr>
            <w:r>
              <w:rPr>
                <w:rFonts w:ascii="Arial" w:cs="Arial" w:eastAsia="Arial" w:hAnsi="Arial"/>
                <w:sz w:val="22"/>
                <w:szCs w:val="22"/>
                <w:color w:val="auto"/>
                <w:w w:val="95"/>
              </w:rPr>
              <w:t>ARTICLE 8. LEGAL DEFEASANCE AND COVENANT DEFEASANCE</w:t>
            </w:r>
          </w:p>
        </w:tc>
        <w:tc>
          <w:tcPr>
            <w:tcW w:w="860" w:type="dxa"/>
            <w:vAlign w:val="bottom"/>
          </w:tcPr>
          <w:p>
            <w:pPr>
              <w:spacing w:after="0"/>
              <w:rPr>
                <w:sz w:val="24"/>
                <w:szCs w:val="24"/>
                <w:color w:val="auto"/>
              </w:rPr>
            </w:pPr>
          </w:p>
        </w:tc>
      </w:tr>
      <w:tr>
        <w:trPr>
          <w:trHeight w:val="310"/>
        </w:trPr>
        <w:tc>
          <w:tcPr>
            <w:tcW w:w="103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8.01 Option to Effect Legal Defeasance or Covenant Defeasance.</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310"/>
        </w:trPr>
        <w:tc>
          <w:tcPr>
            <w:tcW w:w="103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8.02 Legal Defeasance and Discharge.</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310"/>
        </w:trPr>
        <w:tc>
          <w:tcPr>
            <w:tcW w:w="103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8.03 Covenant Defeasance.</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310"/>
        </w:trPr>
        <w:tc>
          <w:tcPr>
            <w:tcW w:w="103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8.04 Conditions to Legal or Covenant Defeasance.</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310"/>
        </w:trPr>
        <w:tc>
          <w:tcPr>
            <w:tcW w:w="10340" w:type="dxa"/>
            <w:vAlign w:val="bottom"/>
          </w:tcPr>
          <w:p>
            <w:pPr>
              <w:spacing w:after="0"/>
              <w:rPr>
                <w:rFonts w:ascii="Arial" w:cs="Arial" w:eastAsia="Arial" w:hAnsi="Arial"/>
                <w:sz w:val="22"/>
                <w:szCs w:val="22"/>
                <w:color w:val="auto"/>
                <w:w w:val="95"/>
              </w:rPr>
            </w:pPr>
            <w:hyperlink w:anchor="page48">
              <w:r>
                <w:rPr>
                  <w:rFonts w:ascii="Arial" w:cs="Arial" w:eastAsia="Arial" w:hAnsi="Arial"/>
                  <w:sz w:val="22"/>
                  <w:szCs w:val="22"/>
                  <w:color w:val="auto"/>
                  <w:w w:val="95"/>
                </w:rPr>
                <w:t>Section 8.05 Deposited Money and Government Securities to be Held in Trust; Other Miscellaneous Provisions.</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310"/>
        </w:trPr>
        <w:tc>
          <w:tcPr>
            <w:tcW w:w="103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8.06 Repayment to Issuers.</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311"/>
        </w:trPr>
        <w:tc>
          <w:tcPr>
            <w:tcW w:w="103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8.07 Reinstatement.</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310"/>
        </w:trPr>
        <w:tc>
          <w:tcPr>
            <w:tcW w:w="10340" w:type="dxa"/>
            <w:vAlign w:val="bottom"/>
          </w:tcPr>
          <w:p>
            <w:pPr>
              <w:jc w:val="center"/>
              <w:ind w:left="752"/>
              <w:spacing w:after="0"/>
              <w:rPr>
                <w:sz w:val="20"/>
                <w:szCs w:val="20"/>
                <w:color w:val="auto"/>
              </w:rPr>
            </w:pPr>
            <w:r>
              <w:rPr>
                <w:rFonts w:ascii="Arial" w:cs="Arial" w:eastAsia="Arial" w:hAnsi="Arial"/>
                <w:sz w:val="22"/>
                <w:szCs w:val="22"/>
                <w:color w:val="auto"/>
                <w:w w:val="95"/>
              </w:rPr>
              <w:t>ARTICLE 9. AMENDMENT, SUPPLEMENT AND WAIVER</w:t>
            </w:r>
          </w:p>
        </w:tc>
        <w:tc>
          <w:tcPr>
            <w:tcW w:w="860" w:type="dxa"/>
            <w:vAlign w:val="bottom"/>
          </w:tcPr>
          <w:p>
            <w:pPr>
              <w:spacing w:after="0"/>
              <w:rPr>
                <w:sz w:val="24"/>
                <w:szCs w:val="24"/>
                <w:color w:val="auto"/>
              </w:rPr>
            </w:pPr>
          </w:p>
        </w:tc>
      </w:tr>
      <w:tr>
        <w:trPr>
          <w:trHeight w:val="310"/>
        </w:trPr>
        <w:tc>
          <w:tcPr>
            <w:tcW w:w="103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9.01 Without Consent of Holders of Notes.</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310"/>
        </w:trPr>
        <w:tc>
          <w:tcPr>
            <w:tcW w:w="103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9.02 With Consent of Holders of Notes.</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311"/>
        </w:trPr>
        <w:tc>
          <w:tcPr>
            <w:tcW w:w="103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9.03 Revocation and Effect of Consents.</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310"/>
        </w:trPr>
        <w:tc>
          <w:tcPr>
            <w:tcW w:w="103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9.04 Notation on or Exchange of Notes.</w:t>
              </w:r>
            </w:hyperlink>
          </w:p>
        </w:tc>
        <w:tc>
          <w:tcPr>
            <w:tcW w:w="860" w:type="dxa"/>
            <w:vAlign w:val="bottom"/>
          </w:tcPr>
          <w:p>
            <w:pPr>
              <w:jc w:val="right"/>
              <w:spacing w:after="0"/>
              <w:rPr>
                <w:sz w:val="20"/>
                <w:szCs w:val="20"/>
                <w:color w:val="auto"/>
              </w:rPr>
            </w:pPr>
            <w:r>
              <w:rPr>
                <w:rFonts w:ascii="Arial" w:cs="Arial" w:eastAsia="Arial" w:hAnsi="Arial"/>
                <w:sz w:val="22"/>
                <w:szCs w:val="22"/>
                <w:color w:val="auto"/>
              </w:rPr>
              <w:t>81</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00"/>
          </w:cols>
          <w:pgMar w:left="340" w:top="1440" w:right="359" w:bottom="1440" w:gutter="0" w:footer="0" w:header="0"/>
          <w:type w:val="continuous"/>
        </w:sectPr>
      </w:pPr>
    </w:p>
    <w:bookmarkStart w:id="46" w:name="page47"/>
    <w:bookmarkEnd w:id="46"/>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94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9.05 Trustee to Sign Amendments, etc.</w:t>
              </w:r>
            </w:hyperlink>
          </w:p>
        </w:tc>
        <w:tc>
          <w:tcPr>
            <w:tcW w:w="176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311"/>
        </w:trPr>
        <w:tc>
          <w:tcPr>
            <w:tcW w:w="9440" w:type="dxa"/>
            <w:vAlign w:val="bottom"/>
          </w:tcPr>
          <w:p>
            <w:pPr>
              <w:jc w:val="center"/>
              <w:ind w:left="1672"/>
              <w:spacing w:after="0"/>
              <w:rPr>
                <w:sz w:val="20"/>
                <w:szCs w:val="20"/>
                <w:color w:val="auto"/>
              </w:rPr>
            </w:pPr>
            <w:r>
              <w:rPr>
                <w:rFonts w:ascii="Arial" w:cs="Arial" w:eastAsia="Arial" w:hAnsi="Arial"/>
                <w:sz w:val="22"/>
                <w:szCs w:val="22"/>
                <w:color w:val="auto"/>
                <w:w w:val="91"/>
              </w:rPr>
              <w:t>ARTICLE 10. [Reserved]</w:t>
            </w:r>
          </w:p>
        </w:tc>
        <w:tc>
          <w:tcPr>
            <w:tcW w:w="1760" w:type="dxa"/>
            <w:vAlign w:val="bottom"/>
          </w:tcPr>
          <w:p>
            <w:pPr>
              <w:spacing w:after="0"/>
              <w:rPr>
                <w:sz w:val="24"/>
                <w:szCs w:val="24"/>
                <w:color w:val="auto"/>
              </w:rPr>
            </w:pPr>
          </w:p>
        </w:tc>
      </w:tr>
      <w:tr>
        <w:trPr>
          <w:trHeight w:val="311"/>
        </w:trPr>
        <w:tc>
          <w:tcPr>
            <w:tcW w:w="9440" w:type="dxa"/>
            <w:vAlign w:val="bottom"/>
          </w:tcPr>
          <w:p>
            <w:pPr>
              <w:jc w:val="center"/>
              <w:ind w:left="1672"/>
              <w:spacing w:after="0"/>
              <w:rPr>
                <w:sz w:val="20"/>
                <w:szCs w:val="20"/>
                <w:color w:val="auto"/>
              </w:rPr>
            </w:pPr>
            <w:r>
              <w:rPr>
                <w:rFonts w:ascii="Arial" w:cs="Arial" w:eastAsia="Arial" w:hAnsi="Arial"/>
                <w:sz w:val="22"/>
                <w:szCs w:val="22"/>
                <w:color w:val="auto"/>
                <w:w w:val="94"/>
              </w:rPr>
              <w:t>ARTICLE 11. NOTE GUARANTEES</w:t>
            </w:r>
          </w:p>
        </w:tc>
        <w:tc>
          <w:tcPr>
            <w:tcW w:w="1760" w:type="dxa"/>
            <w:vAlign w:val="bottom"/>
          </w:tcPr>
          <w:p>
            <w:pPr>
              <w:spacing w:after="0"/>
              <w:rPr>
                <w:sz w:val="24"/>
                <w:szCs w:val="24"/>
                <w:color w:val="auto"/>
              </w:rPr>
            </w:pPr>
          </w:p>
        </w:tc>
      </w:tr>
      <w:tr>
        <w:trPr>
          <w:trHeight w:val="310"/>
        </w:trPr>
        <w:tc>
          <w:tcPr>
            <w:tcW w:w="94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11.01 Note Guarantee.</w:t>
              </w:r>
            </w:hyperlink>
          </w:p>
        </w:tc>
        <w:tc>
          <w:tcPr>
            <w:tcW w:w="176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311"/>
        </w:trPr>
        <w:tc>
          <w:tcPr>
            <w:tcW w:w="94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11.02 Limitation on Guarantor Liability.</w:t>
              </w:r>
            </w:hyperlink>
          </w:p>
        </w:tc>
        <w:tc>
          <w:tcPr>
            <w:tcW w:w="176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310"/>
        </w:trPr>
        <w:tc>
          <w:tcPr>
            <w:tcW w:w="94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11.03 Execution and Delivery of Note Guarantee.</w:t>
              </w:r>
            </w:hyperlink>
          </w:p>
        </w:tc>
        <w:tc>
          <w:tcPr>
            <w:tcW w:w="176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311"/>
        </w:trPr>
        <w:tc>
          <w:tcPr>
            <w:tcW w:w="94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11.04 Guarantors May Consolidate, etc., on Certain Terms.</w:t>
              </w:r>
            </w:hyperlink>
          </w:p>
        </w:tc>
        <w:tc>
          <w:tcPr>
            <w:tcW w:w="1760" w:type="dxa"/>
            <w:vAlign w:val="bottom"/>
          </w:tcPr>
          <w:p>
            <w:pPr>
              <w:jc w:val="right"/>
              <w:spacing w:after="0"/>
              <w:rPr>
                <w:sz w:val="20"/>
                <w:szCs w:val="20"/>
                <w:color w:val="auto"/>
              </w:rPr>
            </w:pPr>
            <w:r>
              <w:rPr>
                <w:rFonts w:ascii="Arial" w:cs="Arial" w:eastAsia="Arial" w:hAnsi="Arial"/>
                <w:sz w:val="22"/>
                <w:szCs w:val="22"/>
                <w:color w:val="auto"/>
              </w:rPr>
              <w:t>84</w:t>
            </w:r>
          </w:p>
        </w:tc>
      </w:tr>
      <w:tr>
        <w:trPr>
          <w:trHeight w:val="310"/>
        </w:trPr>
        <w:tc>
          <w:tcPr>
            <w:tcW w:w="94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11.05 Release of Guarantees.</w:t>
              </w:r>
            </w:hyperlink>
          </w:p>
        </w:tc>
        <w:tc>
          <w:tcPr>
            <w:tcW w:w="176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311"/>
        </w:trPr>
        <w:tc>
          <w:tcPr>
            <w:tcW w:w="94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11.06 Additional Note Guarantees.</w:t>
              </w:r>
            </w:hyperlink>
          </w:p>
        </w:tc>
        <w:tc>
          <w:tcPr>
            <w:tcW w:w="176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311"/>
        </w:trPr>
        <w:tc>
          <w:tcPr>
            <w:tcW w:w="9440" w:type="dxa"/>
            <w:vAlign w:val="bottom"/>
          </w:tcPr>
          <w:p>
            <w:pPr>
              <w:jc w:val="center"/>
              <w:ind w:left="1672"/>
              <w:spacing w:after="0"/>
              <w:rPr>
                <w:sz w:val="20"/>
                <w:szCs w:val="20"/>
                <w:color w:val="auto"/>
              </w:rPr>
            </w:pPr>
            <w:r>
              <w:rPr>
                <w:rFonts w:ascii="Arial" w:cs="Arial" w:eastAsia="Arial" w:hAnsi="Arial"/>
                <w:sz w:val="22"/>
                <w:szCs w:val="22"/>
                <w:color w:val="auto"/>
                <w:w w:val="94"/>
              </w:rPr>
              <w:t>ARTICLE 12. SATISFACTION AND DISCHARGE</w:t>
            </w:r>
          </w:p>
        </w:tc>
        <w:tc>
          <w:tcPr>
            <w:tcW w:w="1760" w:type="dxa"/>
            <w:vAlign w:val="bottom"/>
          </w:tcPr>
          <w:p>
            <w:pPr>
              <w:spacing w:after="0"/>
              <w:rPr>
                <w:sz w:val="24"/>
                <w:szCs w:val="24"/>
                <w:color w:val="auto"/>
              </w:rPr>
            </w:pPr>
          </w:p>
        </w:tc>
      </w:tr>
      <w:tr>
        <w:trPr>
          <w:trHeight w:val="310"/>
        </w:trPr>
        <w:tc>
          <w:tcPr>
            <w:tcW w:w="94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12.01 Satisfaction and Discharge.</w:t>
              </w:r>
            </w:hyperlink>
          </w:p>
        </w:tc>
        <w:tc>
          <w:tcPr>
            <w:tcW w:w="176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311"/>
        </w:trPr>
        <w:tc>
          <w:tcPr>
            <w:tcW w:w="94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12.02 Application of Trust Money.</w:t>
              </w:r>
            </w:hyperlink>
          </w:p>
        </w:tc>
        <w:tc>
          <w:tcPr>
            <w:tcW w:w="176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310"/>
        </w:trPr>
        <w:tc>
          <w:tcPr>
            <w:tcW w:w="9440" w:type="dxa"/>
            <w:vAlign w:val="bottom"/>
          </w:tcPr>
          <w:p>
            <w:pPr>
              <w:jc w:val="center"/>
              <w:ind w:left="1672"/>
              <w:spacing w:after="0"/>
              <w:rPr>
                <w:sz w:val="20"/>
                <w:szCs w:val="20"/>
                <w:color w:val="auto"/>
              </w:rPr>
            </w:pPr>
            <w:r>
              <w:rPr>
                <w:rFonts w:ascii="Arial" w:cs="Arial" w:eastAsia="Arial" w:hAnsi="Arial"/>
                <w:sz w:val="22"/>
                <w:szCs w:val="22"/>
                <w:color w:val="auto"/>
                <w:w w:val="97"/>
              </w:rPr>
              <w:t>ARTICLE 13. JOINT AND SEVERAL LIABILITY</w:t>
            </w:r>
          </w:p>
        </w:tc>
        <w:tc>
          <w:tcPr>
            <w:tcW w:w="1760" w:type="dxa"/>
            <w:vAlign w:val="bottom"/>
          </w:tcPr>
          <w:p>
            <w:pPr>
              <w:spacing w:after="0"/>
              <w:rPr>
                <w:sz w:val="24"/>
                <w:szCs w:val="24"/>
                <w:color w:val="auto"/>
              </w:rPr>
            </w:pPr>
          </w:p>
        </w:tc>
      </w:tr>
      <w:tr>
        <w:trPr>
          <w:trHeight w:val="311"/>
        </w:trPr>
        <w:tc>
          <w:tcPr>
            <w:tcW w:w="94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13.01 Joint and Several Liability.</w:t>
              </w:r>
            </w:hyperlink>
          </w:p>
        </w:tc>
        <w:tc>
          <w:tcPr>
            <w:tcW w:w="176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310"/>
        </w:trPr>
        <w:tc>
          <w:tcPr>
            <w:tcW w:w="9440" w:type="dxa"/>
            <w:vAlign w:val="bottom"/>
          </w:tcPr>
          <w:p>
            <w:pPr>
              <w:jc w:val="center"/>
              <w:ind w:left="1652"/>
              <w:spacing w:after="0"/>
              <w:rPr>
                <w:sz w:val="20"/>
                <w:szCs w:val="20"/>
                <w:color w:val="auto"/>
              </w:rPr>
            </w:pPr>
            <w:r>
              <w:rPr>
                <w:rFonts w:ascii="Arial" w:cs="Arial" w:eastAsia="Arial" w:hAnsi="Arial"/>
                <w:sz w:val="22"/>
                <w:szCs w:val="22"/>
                <w:color w:val="auto"/>
                <w:w w:val="95"/>
              </w:rPr>
              <w:t>ARTICLE 14. MISCELLANEOUS</w:t>
            </w:r>
          </w:p>
        </w:tc>
        <w:tc>
          <w:tcPr>
            <w:tcW w:w="1760" w:type="dxa"/>
            <w:vAlign w:val="bottom"/>
          </w:tcPr>
          <w:p>
            <w:pPr>
              <w:spacing w:after="0"/>
              <w:rPr>
                <w:sz w:val="24"/>
                <w:szCs w:val="24"/>
                <w:color w:val="auto"/>
              </w:rPr>
            </w:pPr>
          </w:p>
        </w:tc>
      </w:tr>
      <w:tr>
        <w:trPr>
          <w:trHeight w:val="311"/>
        </w:trPr>
        <w:tc>
          <w:tcPr>
            <w:tcW w:w="94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14.01 Notices.</w:t>
              </w:r>
            </w:hyperlink>
          </w:p>
        </w:tc>
        <w:tc>
          <w:tcPr>
            <w:tcW w:w="176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310"/>
        </w:trPr>
        <w:tc>
          <w:tcPr>
            <w:tcW w:w="94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14.02 Certificate and Opinion as to Conditions Precedent.</w:t>
              </w:r>
            </w:hyperlink>
          </w:p>
        </w:tc>
        <w:tc>
          <w:tcPr>
            <w:tcW w:w="176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310"/>
        </w:trPr>
        <w:tc>
          <w:tcPr>
            <w:tcW w:w="94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14.03 Statements Required in Certificate or Opinion.</w:t>
              </w:r>
            </w:hyperlink>
          </w:p>
        </w:tc>
        <w:tc>
          <w:tcPr>
            <w:tcW w:w="1760" w:type="dxa"/>
            <w:vAlign w:val="bottom"/>
          </w:tcPr>
          <w:p>
            <w:pPr>
              <w:jc w:val="right"/>
              <w:spacing w:after="0"/>
              <w:rPr>
                <w:sz w:val="20"/>
                <w:szCs w:val="20"/>
                <w:color w:val="auto"/>
              </w:rPr>
            </w:pPr>
            <w:r>
              <w:rPr>
                <w:rFonts w:ascii="Arial" w:cs="Arial" w:eastAsia="Arial" w:hAnsi="Arial"/>
                <w:sz w:val="22"/>
                <w:szCs w:val="22"/>
                <w:color w:val="auto"/>
              </w:rPr>
              <w:t>90</w:t>
            </w:r>
          </w:p>
        </w:tc>
      </w:tr>
      <w:tr>
        <w:trPr>
          <w:trHeight w:val="310"/>
        </w:trPr>
        <w:tc>
          <w:tcPr>
            <w:tcW w:w="94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14.04 Rules by Trustee and Agents.</w:t>
              </w:r>
            </w:hyperlink>
          </w:p>
        </w:tc>
        <w:tc>
          <w:tcPr>
            <w:tcW w:w="1760" w:type="dxa"/>
            <w:vAlign w:val="bottom"/>
          </w:tcPr>
          <w:p>
            <w:pPr>
              <w:jc w:val="right"/>
              <w:spacing w:after="0"/>
              <w:rPr>
                <w:sz w:val="20"/>
                <w:szCs w:val="20"/>
                <w:color w:val="auto"/>
              </w:rPr>
            </w:pPr>
            <w:r>
              <w:rPr>
                <w:rFonts w:ascii="Arial" w:cs="Arial" w:eastAsia="Arial" w:hAnsi="Arial"/>
                <w:sz w:val="22"/>
                <w:szCs w:val="22"/>
                <w:color w:val="auto"/>
              </w:rPr>
              <w:t>90</w:t>
            </w:r>
          </w:p>
        </w:tc>
      </w:tr>
      <w:tr>
        <w:trPr>
          <w:trHeight w:val="311"/>
        </w:trPr>
        <w:tc>
          <w:tcPr>
            <w:tcW w:w="94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14.05 No Personal Liability of Directors, Officers, Employees and Equity Holders.</w:t>
              </w:r>
            </w:hyperlink>
          </w:p>
        </w:tc>
        <w:tc>
          <w:tcPr>
            <w:tcW w:w="1760" w:type="dxa"/>
            <w:vAlign w:val="bottom"/>
          </w:tcPr>
          <w:p>
            <w:pPr>
              <w:jc w:val="right"/>
              <w:spacing w:after="0"/>
              <w:rPr>
                <w:sz w:val="20"/>
                <w:szCs w:val="20"/>
                <w:color w:val="auto"/>
              </w:rPr>
            </w:pPr>
            <w:r>
              <w:rPr>
                <w:rFonts w:ascii="Arial" w:cs="Arial" w:eastAsia="Arial" w:hAnsi="Arial"/>
                <w:sz w:val="22"/>
                <w:szCs w:val="22"/>
                <w:color w:val="auto"/>
              </w:rPr>
              <w:t>90</w:t>
            </w:r>
          </w:p>
        </w:tc>
      </w:tr>
      <w:tr>
        <w:trPr>
          <w:trHeight w:val="310"/>
        </w:trPr>
        <w:tc>
          <w:tcPr>
            <w:tcW w:w="94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14.06 Governing Law.</w:t>
              </w:r>
            </w:hyperlink>
          </w:p>
        </w:tc>
        <w:tc>
          <w:tcPr>
            <w:tcW w:w="176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310"/>
        </w:trPr>
        <w:tc>
          <w:tcPr>
            <w:tcW w:w="94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14.07 No Adverse Interpretation of Other Agreements.</w:t>
              </w:r>
            </w:hyperlink>
          </w:p>
        </w:tc>
        <w:tc>
          <w:tcPr>
            <w:tcW w:w="176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310"/>
        </w:trPr>
        <w:tc>
          <w:tcPr>
            <w:tcW w:w="94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14.08 Successors.</w:t>
              </w:r>
            </w:hyperlink>
          </w:p>
        </w:tc>
        <w:tc>
          <w:tcPr>
            <w:tcW w:w="176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310"/>
        </w:trPr>
        <w:tc>
          <w:tcPr>
            <w:tcW w:w="94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14.09 Severability.</w:t>
              </w:r>
            </w:hyperlink>
          </w:p>
        </w:tc>
        <w:tc>
          <w:tcPr>
            <w:tcW w:w="176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310"/>
        </w:trPr>
        <w:tc>
          <w:tcPr>
            <w:tcW w:w="94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14.10 Counterpart Originals.</w:t>
              </w:r>
            </w:hyperlink>
          </w:p>
        </w:tc>
        <w:tc>
          <w:tcPr>
            <w:tcW w:w="176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310"/>
        </w:trPr>
        <w:tc>
          <w:tcPr>
            <w:tcW w:w="9440" w:type="dxa"/>
            <w:vAlign w:val="bottom"/>
          </w:tcPr>
          <w:p>
            <w:pPr>
              <w:spacing w:after="0"/>
              <w:rPr>
                <w:rFonts w:ascii="Arial" w:cs="Arial" w:eastAsia="Arial" w:hAnsi="Arial"/>
                <w:sz w:val="22"/>
                <w:szCs w:val="22"/>
                <w:color w:val="auto"/>
              </w:rPr>
            </w:pPr>
            <w:hyperlink w:anchor="page48">
              <w:r>
                <w:rPr>
                  <w:rFonts w:ascii="Arial" w:cs="Arial" w:eastAsia="Arial" w:hAnsi="Arial"/>
                  <w:sz w:val="22"/>
                  <w:szCs w:val="22"/>
                  <w:color w:val="auto"/>
                </w:rPr>
                <w:t>Section 14.11 Table of Contents, Headings, etc.</w:t>
              </w:r>
            </w:hyperlink>
          </w:p>
        </w:tc>
        <w:tc>
          <w:tcPr>
            <w:tcW w:w="1760" w:type="dxa"/>
            <w:vAlign w:val="bottom"/>
          </w:tcPr>
          <w:p>
            <w:pPr>
              <w:jc w:val="right"/>
              <w:spacing w:after="0"/>
              <w:rPr>
                <w:sz w:val="20"/>
                <w:szCs w:val="20"/>
                <w:color w:val="auto"/>
              </w:rPr>
            </w:pPr>
            <w:r>
              <w:rPr>
                <w:rFonts w:ascii="Arial" w:cs="Arial" w:eastAsia="Arial" w:hAnsi="Arial"/>
                <w:sz w:val="22"/>
                <w:szCs w:val="22"/>
                <w:color w:val="auto"/>
              </w:rPr>
              <w:t>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00"/>
          </w:cols>
          <w:pgMar w:left="340" w:top="1440" w:right="359" w:bottom="1440" w:gutter="0" w:footer="0" w:header="0"/>
        </w:sectPr>
      </w:pPr>
    </w:p>
    <w:bookmarkStart w:id="47" w:name="page48"/>
    <w:bookmarkEnd w:id="47"/>
    <w:p>
      <w:pPr>
        <w:ind w:left="5140"/>
        <w:spacing w:after="0"/>
        <w:rPr>
          <w:sz w:val="20"/>
          <w:szCs w:val="20"/>
          <w:color w:val="auto"/>
        </w:rPr>
      </w:pPr>
      <w:r>
        <w:rPr>
          <w:rFonts w:ascii="Arial" w:cs="Arial" w:eastAsia="Arial" w:hAnsi="Arial"/>
          <w:sz w:val="22"/>
          <w:szCs w:val="22"/>
          <w:color w:val="auto"/>
        </w:rPr>
        <w:t>EXHIBITS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Exhibit A-1 FORM OF NOTE</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Exhibit A-2 FORM OF REGULATION S TEMPORARY GLOBAL NOTE</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Exhibit B FORM OF CERTIFICATE OF TRANSFER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Exhibit C FORM OF CERTIFICATE OF EXCHANGE</w:t>
      </w:r>
    </w:p>
    <w:p>
      <w:pPr>
        <w:sectPr>
          <w:pgSz w:w="11900" w:h="16838" w:orient="portrait"/>
          <w:cols w:equalWidth="0" w:num="1">
            <w:col w:w="10300"/>
          </w:cols>
          <w:pgMar w:left="320" w:top="1428" w:right="127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Exhibit D FORM OF CERTIFICATE FROM ACQUIRING INSTITUTIONAL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ACCREDITED INVESTOR</w:t>
      </w:r>
    </w:p>
    <w:p>
      <w:pPr>
        <w:spacing w:after="0" w:line="222" w:lineRule="exact"/>
        <w:rPr>
          <w:sz w:val="20"/>
          <w:szCs w:val="20"/>
          <w:color w:val="auto"/>
        </w:rPr>
      </w:pPr>
    </w:p>
    <w:p>
      <w:pPr>
        <w:sectPr>
          <w:pgSz w:w="11900" w:h="16838" w:orient="portrait"/>
          <w:cols w:equalWidth="0" w:num="2">
            <w:col w:w="6880" w:space="260"/>
            <w:col w:w="3160"/>
          </w:cols>
          <w:pgMar w:left="320" w:top="1428" w:right="127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Exhibit E FORM OF NOTATION OF GUARANTEE</w:t>
      </w:r>
    </w:p>
    <w:p>
      <w:pPr>
        <w:sectPr>
          <w:pgSz w:w="11900" w:h="16838" w:orient="portrait"/>
          <w:cols w:equalWidth="0" w:num="1">
            <w:col w:w="10300"/>
          </w:cols>
          <w:pgMar w:left="320" w:top="1428" w:right="1279" w:bottom="1440" w:gutter="0" w:footer="0" w:header="0"/>
          <w:type w:val="continuous"/>
        </w:sectPr>
      </w:pP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color w:val="auto"/>
        </w:rPr>
        <w:t>Exhibit F FORM OF SUPPLEMENTAL INDENTURE TO BE DELIVERED BY</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SUBSEQUENT GUARANTORS</w:t>
      </w:r>
    </w:p>
    <w:p>
      <w:pPr>
        <w:sectPr>
          <w:pgSz w:w="11900" w:h="16838" w:orient="portrait"/>
          <w:cols w:equalWidth="0" w:num="2">
            <w:col w:w="7100" w:space="280"/>
            <w:col w:w="2920"/>
          </w:cols>
          <w:pgMar w:left="320" w:top="1428" w:right="1279" w:bottom="1440" w:gutter="0" w:footer="0" w:header="0"/>
          <w:type w:val="continuous"/>
        </w:sectPr>
      </w:pPr>
    </w:p>
    <w:bookmarkStart w:id="48" w:name="page49"/>
    <w:bookmarkEnd w:id="48"/>
    <w:p>
      <w:pPr>
        <w:jc w:val="both"/>
        <w:ind w:firstLine="648"/>
        <w:spacing w:after="0" w:line="245" w:lineRule="auto"/>
        <w:rPr>
          <w:sz w:val="20"/>
          <w:szCs w:val="20"/>
          <w:color w:val="auto"/>
        </w:rPr>
      </w:pPr>
      <w:r>
        <w:rPr>
          <w:rFonts w:ascii="Arial" w:cs="Arial" w:eastAsia="Arial" w:hAnsi="Arial"/>
          <w:sz w:val="22"/>
          <w:szCs w:val="22"/>
          <w:color w:val="auto"/>
        </w:rPr>
        <w:t>INDENTURE dated as of April 14, 2020 among Wynn Resorts Finance, LLC, a Nevada limited liability company (“Wynn Resorts Finance”) and Wynn Resorts Capital Corp., a Nevada corporation (“Wynn Resorts Capital,” and together with Wynn Resorts Finance, the “Issuers”), as joint and several obligors, and EBH Holdings, LLC, a Nevada limited liability company, EBH MA Property, LLC, a Massachusetts limited liability company, Wynn Group Asia, Inc., a Nevada corporation, Everett Property, LLC, a Massachusetts limited liability company, Wynn America Group, LLC, a Nevada limited liability company, Wynn Las Vegas Holdings, LLC, a Nevada limited liability company, Wynn Las Vegas, LLC, a Nevada limited liability company, Wynn MA, LLC, a Nevada limited liability company, Wynn Sunrise, LLC, a Nevada limited liability company and Wynn Las Vegas Capital Corp, a Nevada corporation, as guarantors (the “Initial Guarantors”) and U.S. Bank National Association, as trustee (the “Trustee”).</w:t>
      </w:r>
    </w:p>
    <w:p>
      <w:pPr>
        <w:spacing w:after="0" w:line="2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Issuers, the Initial Guarantors and the Trustee agree as follows for the benefit of each other and for the equal and ratable benefit of the Holders (as defined) of the 7.750% Senior Notes due 2025 (the “Notes”):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 AND INCORPORATION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Section 1.01 Definitions.</w:t>
      </w:r>
    </w:p>
    <w:p>
      <w:pPr>
        <w:spacing w:after="0" w:line="2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“144A Global Note” means a Global Note substantially in the form of Exhibit A-1 hereto bearing the Global Note Legend and the Private Placement Legend and deposited with or on behalf of, and registered in the name of, the Depositary or its nominee that shall be issued in a denomination equal to the outstanding principal amount of the Notes sold in reliance on Rule 144A.</w:t>
      </w:r>
    </w:p>
    <w:p>
      <w:pPr>
        <w:spacing w:after="0" w:line="215"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“2019 Transactions” means, collectively, (a) the issuance of the Existing 2029 Notes, (b) the entering into of the Senior Credit Facilities and the borrowings thereunder on the 2029 Notes Issue Date, (c) the Bank Refinancing, (d) the Restructuring, and (e) the payment of fees and expenses in connection with the foregoing.</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“2023 Notes” means the 4.25% Senior Notes due 2023 of Wynn Las Vegas.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“2025 Notes” means the 5.50% Senior Notes due 2025 of Wynn Las Vegas.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“2027 Notes” means the 5.25% Senior Notes due 2027 of Wynn Las Vegas.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“2029 Notes Issue Date” means September 20, 2019.</w:t>
      </w:r>
    </w:p>
    <w:p>
      <w:pPr>
        <w:spacing w:after="0" w:line="24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“Act of Terrorism” means an act of any person directed towards the overthrowing or influencing of any government de jure or de facto, or the inducement of fear in or the disruption of the economic system of any society, by force or by violence, including (i) the hijacking or destruction of any conveyance (including an aircraft, vessel, or vehicle), transportation infrastructure or building, (ii) the seizing or detaining, and threatening to kill, injure, or continue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28" w:right="339" w:bottom="1440" w:gutter="0" w:footer="0" w:header="0"/>
        </w:sectPr>
      </w:pPr>
    </w:p>
    <w:bookmarkStart w:id="49" w:name="page50"/>
    <w:bookmarkEnd w:id="49"/>
    <w:p>
      <w:pPr>
        <w:jc w:val="both"/>
        <w:spacing w:after="0" w:line="312" w:lineRule="auto"/>
        <w:rPr>
          <w:sz w:val="20"/>
          <w:szCs w:val="20"/>
          <w:color w:val="auto"/>
        </w:rPr>
      </w:pPr>
      <w:r>
        <w:rPr>
          <w:rFonts w:ascii="Arial" w:cs="Arial" w:eastAsia="Arial" w:hAnsi="Arial"/>
          <w:sz w:val="19"/>
          <w:szCs w:val="19"/>
          <w:color w:val="auto"/>
        </w:rPr>
        <w:t>to detain, or the assassination of, another individual, (iii) the use of any (a) biological agent, chemical agent, or nuclear weapon or device, or (b) explosive or firearm, with intent to endanger, directly or indirectly, the safety of one or more individuals or to cause substantial damage to property, and (iv) a credible threat, attempt, or conspiracy to do any of the foregoing.</w:t>
      </w:r>
    </w:p>
    <w:p>
      <w:pPr>
        <w:spacing w:after="0" w:line="16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“Additional Notes” means Additional Notes (other than the Initial Notes) issued under this Indenture in accordance with Section 2.13 hereof, as part of the same series as the Initial Notes. Any Additional Notes shall vote on all matters as one class with the Initial Notes being issued on the Issue Date, including, without limitation, waivers, amendments and redemptions.</w:t>
      </w:r>
    </w:p>
    <w:p>
      <w:pPr>
        <w:spacing w:after="0" w:line="16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“Affiliate”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provided that beneficial ownership of 10% or more of the Voting Stock of a Person shall be deemed to be control. For purposes of this definition, the terms “controlling,” “controlled by” and “under common control with” have correlative meanings.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“Agent” means any Registrar, Paying Agent or additional paying agent.</w:t>
      </w:r>
    </w:p>
    <w:p>
      <w:pPr>
        <w:spacing w:after="0" w:line="24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“Allocable Overhead” means, at any time with respect to each Qualifying Project, an amount equal to (1) the amount of corporate or other organizational overhead expenses of, and actually incurred by, an Issuer or any Guarantor calculated in good faith on a consolidated basis, after the elimination of intercompany transactions, in accordance with US GAAP, divided by (2) the number of Qualifying Projects. However, amounts allocated to any Qualifying Project shall be prorated based on the period within such period that such Qualifying Project was in operation or financing therefor was obtained. With respect to any amounts payable pursuant to any agreements entered into by and among an Issuer, any Guarantor and/or any of their respective Affiliates, any payment in respect of Allocable Overhead shall not include any fee, profit or similar component and shall represent only the payment or reimbursement of actual costs and expenses.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“Applicable Premium” means, with respect to a Note on any date of redemption, the greater of:</w:t>
      </w:r>
    </w:p>
    <w:p>
      <w:pPr>
        <w:spacing w:after="0" w:line="247" w:lineRule="exact"/>
        <w:rPr>
          <w:sz w:val="20"/>
          <w:szCs w:val="20"/>
          <w:color w:val="auto"/>
        </w:rPr>
      </w:pPr>
    </w:p>
    <w:p>
      <w:pPr>
        <w:ind w:left="960" w:hanging="304"/>
        <w:spacing w:after="0"/>
        <w:tabs>
          <w:tab w:leader="none" w:pos="9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1.0% of the principal amount of such Note, and</w:t>
      </w:r>
    </w:p>
    <w:p>
      <w:pPr>
        <w:spacing w:after="0" w:line="246" w:lineRule="exact"/>
        <w:rPr>
          <w:rFonts w:ascii="Arial" w:cs="Arial" w:eastAsia="Arial" w:hAnsi="Arial"/>
          <w:sz w:val="22"/>
          <w:szCs w:val="22"/>
          <w:color w:val="auto"/>
        </w:rPr>
      </w:pPr>
    </w:p>
    <w:p>
      <w:pPr>
        <w:jc w:val="both"/>
        <w:ind w:firstLine="656"/>
        <w:spacing w:after="0" w:line="248" w:lineRule="auto"/>
        <w:tabs>
          <w:tab w:leader="none" w:pos="968"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excess, if any, of (a) the present value as of such date of redemption of (i) the redemption price of such Note on April 15, 2022 (such redemption price as set forth in Section 3.07(b)), plus (ii) all required interest payments due on such Note through April 15, 2022 (excluding accrued but unpaid interest to the date of redemption), computed using a discount rate equal to the Treasury Rate as of such date of redemption plus 50 basis points, over (b) the then-outstanding principal amount of such Note.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50" w:name="page51"/>
    <w:bookmarkEnd w:id="50"/>
    <w:p>
      <w:pPr>
        <w:jc w:val="both"/>
        <w:ind w:right="20" w:firstLine="648"/>
        <w:spacing w:after="0" w:line="263" w:lineRule="auto"/>
        <w:rPr>
          <w:sz w:val="20"/>
          <w:szCs w:val="20"/>
          <w:color w:val="auto"/>
        </w:rPr>
      </w:pPr>
      <w:r>
        <w:rPr>
          <w:rFonts w:ascii="Arial" w:cs="Arial" w:eastAsia="Arial" w:hAnsi="Arial"/>
          <w:sz w:val="22"/>
          <w:szCs w:val="22"/>
          <w:color w:val="auto"/>
        </w:rPr>
        <w:t>“Applicable Procedures” means, with respect to any transfer or exchange of or for beneficial interests in any Global Note, the rules and procedures of the Depositary that apply to such transfer or exchange.</w:t>
      </w:r>
    </w:p>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“Attributable Debt”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US GAAP; provided, however, that if such Sale and Leaseback Transaction results in a Capital Lease Obligation, the amount of Indebtedness represented thereby shall be determined in accordance with the definition of “Capital Lease Obligation.”</w:t>
      </w:r>
    </w:p>
    <w:p>
      <w:pPr>
        <w:spacing w:after="0" w:line="22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“Bank Refinancing” means, collectively, (i) the refinancing of that certain Credit Agreement dated as of November 20, 2014 (as amended), by and among Wynn Resorts Finance, the guarantors party thereto, Deutsche Bank AG New York Branch, as administrative agent and collateral agent, and the other lenders party thereto, (ii) the payment of a dividend to Wynn Resorts, which will use the proceeds of such dividend to repay that certain Credit Agreement dated as of October 30, 2018 (as amended), by and among Wynn Resorts, the guarantors party thereto, Deutsche Bank AG New York Branch, as administrative agent and collateral agent, and the lenders party thereto and (iii) the payment of related fees and expenses in connection with the foregoing.</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“Bankruptcy Law” means Title 11, U.S. Code or any similar federal or state law for the relief of debtors.</w:t>
      </w:r>
    </w:p>
    <w:p>
      <w:pPr>
        <w:spacing w:after="0" w:line="24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“Beneficial Owner” has the meaning assigned to such term in Rule 13d-3 and Rule 13d-5 under the Exchange Act, except that in calculating the beneficial ownership of any particular</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“person” (as that term is used in Section 13(d)(3) of the Exchange Act),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“Board of Directors” means:</w:t>
      </w:r>
    </w:p>
    <w:p>
      <w:pPr>
        <w:spacing w:after="0" w:line="247" w:lineRule="exact"/>
        <w:rPr>
          <w:sz w:val="20"/>
          <w:szCs w:val="20"/>
          <w:color w:val="auto"/>
        </w:rPr>
      </w:pPr>
    </w:p>
    <w:p>
      <w:pPr>
        <w:ind w:firstLine="656"/>
        <w:spacing w:after="0" w:line="263" w:lineRule="auto"/>
        <w:tabs>
          <w:tab w:leader="none" w:pos="958" w:val="left"/>
        </w:tabs>
        <w:numPr>
          <w:ilvl w:val="0"/>
          <w:numId w:val="15"/>
        </w:numPr>
        <w:rPr>
          <w:rFonts w:ascii="Arial" w:cs="Arial" w:eastAsia="Arial" w:hAnsi="Arial"/>
          <w:sz w:val="22"/>
          <w:szCs w:val="22"/>
          <w:color w:val="auto"/>
        </w:rPr>
      </w:pPr>
      <w:r>
        <w:rPr>
          <w:rFonts w:ascii="Arial" w:cs="Arial" w:eastAsia="Arial" w:hAnsi="Arial"/>
          <w:sz w:val="22"/>
          <w:szCs w:val="22"/>
          <w:color w:val="auto"/>
        </w:rPr>
        <w:t>with respect to a corporation, the board of directors of the corporation or any committee thereof duly authorized to act on behalf of such board;</w:t>
      </w:r>
    </w:p>
    <w:p>
      <w:pPr>
        <w:spacing w:after="0" w:line="201" w:lineRule="exact"/>
        <w:rPr>
          <w:rFonts w:ascii="Arial" w:cs="Arial" w:eastAsia="Arial" w:hAnsi="Arial"/>
          <w:sz w:val="22"/>
          <w:szCs w:val="22"/>
          <w:color w:val="auto"/>
        </w:rPr>
      </w:pPr>
    </w:p>
    <w:p>
      <w:pPr>
        <w:ind w:left="960" w:hanging="304"/>
        <w:spacing w:after="0"/>
        <w:tabs>
          <w:tab w:leader="none" w:pos="9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with respect to a partnership, the board of directors of the general partner of the partnership;</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51" w:name="page52"/>
    <w:bookmarkEnd w:id="51"/>
    <w:p>
      <w:pPr>
        <w:ind w:firstLine="656"/>
        <w:spacing w:after="0" w:line="263" w:lineRule="auto"/>
        <w:tabs>
          <w:tab w:leader="none" w:pos="998" w:val="left"/>
        </w:tabs>
        <w:numPr>
          <w:ilvl w:val="0"/>
          <w:numId w:val="16"/>
        </w:numPr>
        <w:rPr>
          <w:rFonts w:ascii="Arial" w:cs="Arial" w:eastAsia="Arial" w:hAnsi="Arial"/>
          <w:sz w:val="22"/>
          <w:szCs w:val="22"/>
          <w:color w:val="auto"/>
        </w:rPr>
      </w:pPr>
      <w:r>
        <w:rPr>
          <w:rFonts w:ascii="Arial" w:cs="Arial" w:eastAsia="Arial" w:hAnsi="Arial"/>
          <w:sz w:val="22"/>
          <w:szCs w:val="22"/>
          <w:color w:val="auto"/>
        </w:rPr>
        <w:t>with respect to a limited liability company, the Person or Persons who are the managing member, members or managers or any controlling committee or managing members or managers thereof; and</w:t>
      </w:r>
    </w:p>
    <w:p>
      <w:pPr>
        <w:spacing w:after="0" w:line="201" w:lineRule="exact"/>
        <w:rPr>
          <w:rFonts w:ascii="Arial" w:cs="Arial" w:eastAsia="Arial" w:hAnsi="Arial"/>
          <w:sz w:val="22"/>
          <w:szCs w:val="22"/>
          <w:color w:val="auto"/>
        </w:rPr>
      </w:pPr>
    </w:p>
    <w:p>
      <w:pPr>
        <w:ind w:left="960" w:hanging="304"/>
        <w:spacing w:after="0"/>
        <w:tabs>
          <w:tab w:leader="none" w:pos="9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with respect to any other Person, the board or committee of such Person serving a similar function.</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“Business Day” means any day other than a Legal Holiday.</w:t>
      </w:r>
    </w:p>
    <w:p>
      <w:pPr>
        <w:spacing w:after="0" w:line="247"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“Capital Expenditures” means, for any period any expenditures by an Issuer or a Guarantor for the acquisition or leasing of fixed or capital assets (including Capital Lease Obligations) that should be capitalized in accordance with US GAAP and any expenditures by such Person for maintenance, repairs, restoration or refurbishment of the condition or usefulness of Property of such Person that should be capitalized in accordance with US GAAP; provided that the following items shall not constitute Capital Expenditures: (a) expenditures made in connection with the replacement, substitution, restoration or repair of assets to the extent financed with (x) insurance proceeds paid on account of the loss of or damage to the assets being replaced, restored or repaired or (y) awards of compensation arising from the taking by eminent domain or condemnation (or transfers in lieu thereof) of the assets being replaced; (b) the purchase price of assets purchased with the trade-in of existing assets solely to the extent that the gross amount of such purchase price is reduced by the credit granted by the seller of such assets for the asset being traded in at such time; (c) the purchase of property or equipment to the extent financed with the proceeds of asset sales or other dispositions outside the ordinary course of business; (d) expenditures that constitute acquisitions not prohibited hereunder; (e) any capitalized interest expense reflected as additions to property in the consolidated balance sheet of the Issuers and the Guarantors (including in connection with sale-leaseback transactions not prohibited hereunder); (f) any non-cash compensation or other non-cash costs reflected as additions to property in the consolidated balance sheet of the Issuers and the Guarantors; and (g) capital expenditures relating to the construction or acquisition of any property or equipment which has been transferred to a Person other than an Issuer or a Guarantor pursuant to a sale-leaseback transaction not prohibited hereunder and capital expenditures arising pursuant to sale-leaseback transactions.</w:t>
      </w:r>
    </w:p>
    <w:p>
      <w:pPr>
        <w:spacing w:after="0" w:line="19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“Capital Lease Obligation” means, any lease of any Property by that Person as lessee that, in conformity with GAAP, is required to be classified and accounted for as a capital lease on the balance sheet of that Person; provided, however, that for the avoidance of doubt, any lease that was accounted for, or would have been required to be accounted for, by any Person as an operating lease prior to the adoption of FASB ASC 842 and any similar lease entered into subsequent to the adoption of FASB ASC 842 by any Person may, in the sole discretion of Wynn Resorts Finance, be accounted for as an operating lease and not as a capital lease.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“Capital Stock” means: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 in the case of a corporation, corporate stock;</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52" w:name="page53"/>
    <w:bookmarkEnd w:id="52"/>
    <w:p>
      <w:pPr>
        <w:ind w:firstLine="656"/>
        <w:spacing w:after="0" w:line="263" w:lineRule="auto"/>
        <w:tabs>
          <w:tab w:leader="none" w:pos="963" w:val="left"/>
        </w:tabs>
        <w:numPr>
          <w:ilvl w:val="0"/>
          <w:numId w:val="17"/>
        </w:numPr>
        <w:rPr>
          <w:rFonts w:ascii="Arial" w:cs="Arial" w:eastAsia="Arial" w:hAnsi="Arial"/>
          <w:sz w:val="22"/>
          <w:szCs w:val="22"/>
          <w:color w:val="auto"/>
        </w:rPr>
      </w:pPr>
      <w:r>
        <w:rPr>
          <w:rFonts w:ascii="Arial" w:cs="Arial" w:eastAsia="Arial" w:hAnsi="Arial"/>
          <w:sz w:val="22"/>
          <w:szCs w:val="22"/>
          <w:color w:val="auto"/>
        </w:rPr>
        <w:t>in the case of an association or business entity, any and all shares, interests, participations, rights or other equivalents (however designated) of corporate stock;</w:t>
      </w:r>
    </w:p>
    <w:p>
      <w:pPr>
        <w:spacing w:after="0" w:line="201" w:lineRule="exact"/>
        <w:rPr>
          <w:rFonts w:ascii="Arial" w:cs="Arial" w:eastAsia="Arial" w:hAnsi="Arial"/>
          <w:sz w:val="22"/>
          <w:szCs w:val="22"/>
          <w:color w:val="auto"/>
        </w:rPr>
      </w:pPr>
    </w:p>
    <w:p>
      <w:pPr>
        <w:ind w:firstLine="656"/>
        <w:spacing w:after="0" w:line="263" w:lineRule="auto"/>
        <w:tabs>
          <w:tab w:leader="none" w:pos="955" w:val="left"/>
        </w:tabs>
        <w:numPr>
          <w:ilvl w:val="0"/>
          <w:numId w:val="17"/>
        </w:numPr>
        <w:rPr>
          <w:rFonts w:ascii="Arial" w:cs="Arial" w:eastAsia="Arial" w:hAnsi="Arial"/>
          <w:sz w:val="22"/>
          <w:szCs w:val="22"/>
          <w:color w:val="auto"/>
        </w:rPr>
      </w:pPr>
      <w:r>
        <w:rPr>
          <w:rFonts w:ascii="Arial" w:cs="Arial" w:eastAsia="Arial" w:hAnsi="Arial"/>
          <w:sz w:val="22"/>
          <w:szCs w:val="22"/>
          <w:color w:val="auto"/>
        </w:rPr>
        <w:t>in the case of a partnership or limited liability company, partnership interests (whether general or limited) or member’s interests; and</w:t>
      </w:r>
    </w:p>
    <w:p>
      <w:pPr>
        <w:spacing w:after="0" w:line="201" w:lineRule="exact"/>
        <w:rPr>
          <w:rFonts w:ascii="Arial" w:cs="Arial" w:eastAsia="Arial" w:hAnsi="Arial"/>
          <w:sz w:val="22"/>
          <w:szCs w:val="22"/>
          <w:color w:val="auto"/>
        </w:rPr>
      </w:pPr>
    </w:p>
    <w:p>
      <w:pPr>
        <w:jc w:val="both"/>
        <w:ind w:firstLine="656"/>
        <w:spacing w:after="0" w:line="271" w:lineRule="auto"/>
        <w:tabs>
          <w:tab w:leader="none" w:pos="963" w:val="left"/>
        </w:tabs>
        <w:numPr>
          <w:ilvl w:val="0"/>
          <w:numId w:val="17"/>
        </w:numPr>
        <w:rPr>
          <w:rFonts w:ascii="Arial" w:cs="Arial" w:eastAsia="Arial" w:hAnsi="Arial"/>
          <w:sz w:val="21"/>
          <w:szCs w:val="21"/>
          <w:color w:val="auto"/>
        </w:rPr>
      </w:pPr>
      <w:r>
        <w:rPr>
          <w:rFonts w:ascii="Arial" w:cs="Arial" w:eastAsia="Arial" w:hAnsi="Arial"/>
          <w:sz w:val="21"/>
          <w:szCs w:val="21"/>
          <w:color w:val="auto"/>
        </w:rPr>
        <w:t>any other interests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“Change of Control” means the occurrence of any of the following:</w:t>
      </w:r>
    </w:p>
    <w:p>
      <w:pPr>
        <w:spacing w:after="0" w:line="247" w:lineRule="exact"/>
        <w:rPr>
          <w:sz w:val="20"/>
          <w:szCs w:val="20"/>
          <w:color w:val="auto"/>
        </w:rPr>
      </w:pPr>
    </w:p>
    <w:p>
      <w:pPr>
        <w:jc w:val="both"/>
        <w:ind w:firstLine="656"/>
        <w:spacing w:after="0" w:line="253" w:lineRule="auto"/>
        <w:tabs>
          <w:tab w:leader="none" w:pos="961"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direct or indirect sale, transfer, conveyance or other disposition (other than by way of merger or consolidation), in one or a series of related transactions, of all or substantially all of the properties or assets of Wynn Resorts Finance and the Guarantors, taken as a whole, to any</w:t>
      </w:r>
    </w:p>
    <w:p>
      <w:pPr>
        <w:spacing w:after="0" w:line="212"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“person” (as that term is used in Section 13(d)(3) of the Exchange Act), other than to any Parent Entity and any Subsidiary of any Parent Entity;</w:t>
      </w:r>
    </w:p>
    <w:p>
      <w:pPr>
        <w:spacing w:after="0" w:line="202" w:lineRule="exact"/>
        <w:rPr>
          <w:sz w:val="20"/>
          <w:szCs w:val="20"/>
          <w:color w:val="auto"/>
        </w:rPr>
      </w:pPr>
    </w:p>
    <w:p>
      <w:pPr>
        <w:ind w:left="960" w:hanging="304"/>
        <w:spacing w:after="0"/>
        <w:tabs>
          <w:tab w:leader="none" w:pos="9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adoption of a plan relating to the liquidation or dissolution of either Issuer or any successor thereto;</w:t>
      </w:r>
    </w:p>
    <w:p>
      <w:pPr>
        <w:spacing w:after="0" w:line="246" w:lineRule="exact"/>
        <w:rPr>
          <w:rFonts w:ascii="Arial" w:cs="Arial" w:eastAsia="Arial" w:hAnsi="Arial"/>
          <w:sz w:val="22"/>
          <w:szCs w:val="22"/>
          <w:color w:val="auto"/>
        </w:rPr>
      </w:pPr>
    </w:p>
    <w:p>
      <w:pPr>
        <w:jc w:val="both"/>
        <w:ind w:firstLine="656"/>
        <w:spacing w:after="0" w:line="250" w:lineRule="auto"/>
        <w:tabs>
          <w:tab w:leader="none" w:pos="954"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consummation of any transaction (including, without limitation, any merger or consolidation) the result of which is that any “person” (as that term is used in Section 13(d)(3) of the Exchange Act) becomes the Beneficial Owner, directly or indirectly, of more than 50% of the outstanding Voting Stock of Wynn Resorts, measured by voting power rather than number of Equity Interests; or</w:t>
      </w:r>
    </w:p>
    <w:p>
      <w:pPr>
        <w:spacing w:after="0" w:line="214" w:lineRule="exact"/>
        <w:rPr>
          <w:rFonts w:ascii="Arial" w:cs="Arial" w:eastAsia="Arial" w:hAnsi="Arial"/>
          <w:sz w:val="22"/>
          <w:szCs w:val="22"/>
          <w:color w:val="auto"/>
        </w:rPr>
      </w:pPr>
    </w:p>
    <w:p>
      <w:pPr>
        <w:ind w:firstLine="656"/>
        <w:spacing w:after="0" w:line="251" w:lineRule="auto"/>
        <w:tabs>
          <w:tab w:leader="none" w:pos="975"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first day on which Wynn Resorts ceases to own, directly or indirectly, 60% or more of the voting power of the outstanding Equity Interests of Wynn Resorts Finance.</w:t>
      </w:r>
    </w:p>
    <w:p>
      <w:pPr>
        <w:spacing w:after="0" w:line="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19"/>
          <w:szCs w:val="19"/>
          <w:color w:val="auto"/>
        </w:rPr>
        <w:t>Notwithstanding the above, a Change of Control shall not occur solely by reason of a Permitted C-Corp. Conversion.</w:t>
      </w:r>
    </w:p>
    <w:p>
      <w:pPr>
        <w:spacing w:after="0" w:line="26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“Change of Control Triggering Event” means the occurrence of both a Change of Control and a Ratings Event.</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“Clearstream” means Clearstream Banking, S.A.</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“Code” means the Internal Revenue Code of 1986, as amended.</w:t>
      </w:r>
    </w:p>
    <w:p>
      <w:pPr>
        <w:spacing w:after="0" w:line="247"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“Consolidated EBITDA” means, for any Test Period, the sum (without duplication) of Consolidated Net Income for such Test Period; plus</w:t>
      </w:r>
    </w:p>
    <w:p>
      <w:pPr>
        <w:spacing w:after="0" w:line="202" w:lineRule="exact"/>
        <w:rPr>
          <w:sz w:val="20"/>
          <w:szCs w:val="20"/>
          <w:color w:val="auto"/>
        </w:rPr>
      </w:pPr>
    </w:p>
    <w:p>
      <w:pPr>
        <w:ind w:left="5580" w:right="3300" w:hanging="4924"/>
        <w:spacing w:after="0" w:line="788" w:lineRule="auto"/>
        <w:tabs>
          <w:tab w:leader="none" w:pos="9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in each case to the extent deducted in calculating such Consolidated Net Income: 5</w:t>
      </w:r>
    </w:p>
    <w:p>
      <w:pPr>
        <w:sectPr>
          <w:pgSz w:w="11900" w:h="16838" w:orient="portrait"/>
          <w:cols w:equalWidth="0" w:num="1">
            <w:col w:w="11240"/>
          </w:cols>
          <w:pgMar w:left="320" w:top="1428" w:right="339" w:bottom="1440" w:gutter="0" w:footer="0" w:header="0"/>
        </w:sectPr>
      </w:pPr>
    </w:p>
    <w:bookmarkStart w:id="53" w:name="page54"/>
    <w:bookmarkEnd w:id="53"/>
    <w:p>
      <w:pPr>
        <w:ind w:firstLine="656"/>
        <w:spacing w:after="0" w:line="263" w:lineRule="auto"/>
        <w:tabs>
          <w:tab w:leader="none" w:pos="917" w:val="left"/>
        </w:tabs>
        <w:numPr>
          <w:ilvl w:val="0"/>
          <w:numId w:val="21"/>
        </w:numPr>
        <w:rPr>
          <w:rFonts w:ascii="Arial" w:cs="Arial" w:eastAsia="Arial" w:hAnsi="Arial"/>
          <w:sz w:val="22"/>
          <w:szCs w:val="22"/>
          <w:color w:val="auto"/>
        </w:rPr>
      </w:pPr>
      <w:r>
        <w:rPr>
          <w:rFonts w:ascii="Arial" w:cs="Arial" w:eastAsia="Arial" w:hAnsi="Arial"/>
          <w:sz w:val="22"/>
          <w:szCs w:val="22"/>
          <w:color w:val="auto"/>
        </w:rPr>
        <w:t>provisions for taxes based on income or profits or capital gains, plus franchise or similar taxes, of the Issuers and the Guarantors for such Test Period;</w:t>
      </w:r>
    </w:p>
    <w:p>
      <w:pPr>
        <w:spacing w:after="0" w:line="201" w:lineRule="exact"/>
        <w:rPr>
          <w:rFonts w:ascii="Arial" w:cs="Arial" w:eastAsia="Arial" w:hAnsi="Arial"/>
          <w:sz w:val="22"/>
          <w:szCs w:val="22"/>
          <w:color w:val="auto"/>
        </w:rPr>
      </w:pPr>
    </w:p>
    <w:p>
      <w:pPr>
        <w:ind w:firstLine="656"/>
        <w:spacing w:after="0" w:line="263" w:lineRule="auto"/>
        <w:tabs>
          <w:tab w:leader="none" w:pos="988" w:val="left"/>
        </w:tabs>
        <w:numPr>
          <w:ilvl w:val="0"/>
          <w:numId w:val="21"/>
        </w:numPr>
        <w:rPr>
          <w:rFonts w:ascii="Arial" w:cs="Arial" w:eastAsia="Arial" w:hAnsi="Arial"/>
          <w:sz w:val="22"/>
          <w:szCs w:val="22"/>
          <w:color w:val="auto"/>
        </w:rPr>
      </w:pPr>
      <w:r>
        <w:rPr>
          <w:rFonts w:ascii="Arial" w:cs="Arial" w:eastAsia="Arial" w:hAnsi="Arial"/>
          <w:sz w:val="22"/>
          <w:szCs w:val="22"/>
          <w:color w:val="auto"/>
        </w:rPr>
        <w:t>Consolidated Interest Expense of the Issuers and the Guarantors for such Test Period, whether paid or accrued and whether or not capitalized;</w:t>
      </w:r>
    </w:p>
    <w:p>
      <w:pPr>
        <w:spacing w:after="0" w:line="201" w:lineRule="exact"/>
        <w:rPr>
          <w:rFonts w:ascii="Arial" w:cs="Arial" w:eastAsia="Arial" w:hAnsi="Arial"/>
          <w:sz w:val="22"/>
          <w:szCs w:val="22"/>
          <w:color w:val="auto"/>
        </w:rPr>
      </w:pPr>
    </w:p>
    <w:p>
      <w:pPr>
        <w:jc w:val="both"/>
        <w:ind w:firstLine="656"/>
        <w:spacing w:after="0" w:line="250" w:lineRule="auto"/>
        <w:tabs>
          <w:tab w:leader="none" w:pos="1048" w:val="left"/>
        </w:tabs>
        <w:numPr>
          <w:ilvl w:val="0"/>
          <w:numId w:val="21"/>
        </w:numPr>
        <w:rPr>
          <w:rFonts w:ascii="Arial" w:cs="Arial" w:eastAsia="Arial" w:hAnsi="Arial"/>
          <w:sz w:val="22"/>
          <w:szCs w:val="22"/>
          <w:color w:val="auto"/>
        </w:rPr>
      </w:pPr>
      <w:r>
        <w:rPr>
          <w:rFonts w:ascii="Arial" w:cs="Arial" w:eastAsia="Arial" w:hAnsi="Arial"/>
          <w:sz w:val="22"/>
          <w:szCs w:val="22"/>
          <w:color w:val="auto"/>
        </w:rPr>
        <w:t>any cost, charge, fee or expense (including discounts and commissions and including fees and charges incurred in respect of letters of credit or bankers acceptance financings) (or any amortization of any of the foregoing) associated with any issuance (or proposed issuance) of debt, or equity or any refinancing transaction (or proposed refinancing transaction) or any amendment or other modification of any debt instrument;</w:t>
      </w:r>
    </w:p>
    <w:p>
      <w:pPr>
        <w:spacing w:after="0" w:line="214" w:lineRule="exact"/>
        <w:rPr>
          <w:rFonts w:ascii="Arial" w:cs="Arial" w:eastAsia="Arial" w:hAnsi="Arial"/>
          <w:sz w:val="22"/>
          <w:szCs w:val="22"/>
          <w:color w:val="auto"/>
        </w:rPr>
      </w:pPr>
    </w:p>
    <w:p>
      <w:pPr>
        <w:jc w:val="both"/>
        <w:ind w:firstLine="656"/>
        <w:spacing w:after="0" w:line="289" w:lineRule="auto"/>
        <w:tabs>
          <w:tab w:leader="none" w:pos="1021" w:val="left"/>
        </w:tabs>
        <w:numPr>
          <w:ilvl w:val="0"/>
          <w:numId w:val="21"/>
        </w:numPr>
        <w:rPr>
          <w:rFonts w:ascii="Arial" w:cs="Arial" w:eastAsia="Arial" w:hAnsi="Arial"/>
          <w:sz w:val="19"/>
          <w:szCs w:val="19"/>
          <w:color w:val="auto"/>
        </w:rPr>
      </w:pPr>
      <w:r>
        <w:rPr>
          <w:rFonts w:ascii="Arial" w:cs="Arial" w:eastAsia="Arial" w:hAnsi="Arial"/>
          <w:sz w:val="19"/>
          <w:szCs w:val="19"/>
          <w:color w:val="auto"/>
        </w:rPr>
        <w:t>depreciation, amortization (including amortization of goodwill and other intangibles) and any other non-cash charges or expenses, including any write off or write downs, reducing Consolidated Net Income (excluding (x) any amortization of a prepaid cash expense that was paid in a prior Test Period and (y) any non-cash charges and expenses that result in an accrual of a reserve for cash charges in any future Test Period that Wynn Resorts Finance elects not to add back in the current Test Period (it being understood that reserves may be charged in the current Test Period or when paid, as reasonably determined by Wynn Resorts Finance)) of the Issuers and the Guarantors for such Test Period; provided that if any such non-cash charges or expenses represent an accrual of a reserve for potential cash items in any future Test Period, the cash payment in respect thereof in such future Test Period shall be subtracted from Consolidated EBITDA to the extent Wynn Resorts Finance elected to previously add back such amounts to Consolidated EBITDA;</w:t>
      </w:r>
    </w:p>
    <w:p>
      <w:pPr>
        <w:spacing w:after="0" w:line="183" w:lineRule="exact"/>
        <w:rPr>
          <w:rFonts w:ascii="Arial" w:cs="Arial" w:eastAsia="Arial" w:hAnsi="Arial"/>
          <w:sz w:val="19"/>
          <w:szCs w:val="19"/>
          <w:color w:val="auto"/>
        </w:rPr>
      </w:pPr>
    </w:p>
    <w:p>
      <w:pPr>
        <w:ind w:left="960" w:hanging="304"/>
        <w:spacing w:after="0"/>
        <w:tabs>
          <w:tab w:leader="none" w:pos="9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any Pre-Opening Expenses;</w:t>
      </w:r>
    </w:p>
    <w:p>
      <w:pPr>
        <w:spacing w:after="0" w:line="246" w:lineRule="exact"/>
        <w:rPr>
          <w:rFonts w:ascii="Arial" w:cs="Arial" w:eastAsia="Arial" w:hAnsi="Arial"/>
          <w:sz w:val="22"/>
          <w:szCs w:val="22"/>
          <w:color w:val="auto"/>
        </w:rPr>
      </w:pPr>
    </w:p>
    <w:p>
      <w:pPr>
        <w:jc w:val="both"/>
        <w:ind w:firstLine="656"/>
        <w:spacing w:after="0" w:line="297" w:lineRule="auto"/>
        <w:tabs>
          <w:tab w:leader="none" w:pos="1026"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amount of any restructuring costs, charges, accruals, expenses or reserves (including those relating to severance, relocation costs and one-time compensation charges), costs incurred in connection with any non-recurring strategic initiatives, other business optimization expenses (including incentive costs and expenses relating to business optimization programs and signing, retention and completion bonuses) and any unusual or non-recurring costs, charges, accruals, reserves or items of loss or expense (including, without limitation, losses on asset sales (other than asset sales in the ordinary course of business));</w:t>
      </w:r>
    </w:p>
    <w:p>
      <w:pPr>
        <w:spacing w:after="0" w:line="173" w:lineRule="exact"/>
        <w:rPr>
          <w:rFonts w:ascii="Arial" w:cs="Arial" w:eastAsia="Arial" w:hAnsi="Arial"/>
          <w:sz w:val="19"/>
          <w:szCs w:val="19"/>
          <w:color w:val="auto"/>
        </w:rPr>
      </w:pPr>
    </w:p>
    <w:p>
      <w:pPr>
        <w:jc w:val="both"/>
        <w:ind w:firstLine="656"/>
        <w:spacing w:after="0" w:line="297" w:lineRule="auto"/>
        <w:tabs>
          <w:tab w:leader="none" w:pos="1101" w:val="left"/>
        </w:tabs>
        <w:numPr>
          <w:ilvl w:val="0"/>
          <w:numId w:val="21"/>
        </w:numPr>
        <w:rPr>
          <w:rFonts w:ascii="Arial" w:cs="Arial" w:eastAsia="Arial" w:hAnsi="Arial"/>
          <w:sz w:val="19"/>
          <w:szCs w:val="19"/>
          <w:color w:val="auto"/>
        </w:rPr>
      </w:pPr>
      <w:r>
        <w:rPr>
          <w:rFonts w:ascii="Arial" w:cs="Arial" w:eastAsia="Arial" w:hAnsi="Arial"/>
          <w:sz w:val="19"/>
          <w:szCs w:val="19"/>
          <w:color w:val="auto"/>
        </w:rPr>
        <w:t>any charges, fees and expenses (or any amortization thereof) (including, without limitation, all legal, accounting, advisory or other transaction-related fees, charges, costs and expenses and any bonuses or success fee payments related to the 2019 Transactions and the Transactions) related to the 2019 Transactions and the Transactions, any acquisition or investment or disposition (or any such proposed acquisition, investment or disposition) (including amortization or write offs of debt issuance or deferred financing costs, premiums and prepayment penalties), in each case, whether or not successful;</w:t>
      </w:r>
    </w:p>
    <w:p>
      <w:pPr>
        <w:spacing w:after="0" w:line="173" w:lineRule="exact"/>
        <w:rPr>
          <w:rFonts w:ascii="Arial" w:cs="Arial" w:eastAsia="Arial" w:hAnsi="Arial"/>
          <w:sz w:val="19"/>
          <w:szCs w:val="19"/>
          <w:color w:val="auto"/>
        </w:rPr>
      </w:pPr>
    </w:p>
    <w:p>
      <w:pPr>
        <w:ind w:left="1140" w:hanging="484"/>
        <w:spacing w:after="0"/>
        <w:tabs>
          <w:tab w:leader="none" w:pos="1140" w:val="left"/>
        </w:tabs>
        <w:numPr>
          <w:ilvl w:val="0"/>
          <w:numId w:val="21"/>
        </w:numPr>
        <w:rPr>
          <w:rFonts w:ascii="Arial" w:cs="Arial" w:eastAsia="Arial" w:hAnsi="Arial"/>
          <w:sz w:val="21"/>
          <w:szCs w:val="21"/>
          <w:color w:val="auto"/>
        </w:rPr>
      </w:pPr>
      <w:r>
        <w:rPr>
          <w:rFonts w:ascii="Arial" w:cs="Arial" w:eastAsia="Arial" w:hAnsi="Arial"/>
          <w:sz w:val="21"/>
          <w:szCs w:val="21"/>
          <w:color w:val="auto"/>
        </w:rPr>
        <w:t>any losses resulting from mark to market accounting of swap contracts or other derivative instruments; and</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54" w:name="page55"/>
    <w:bookmarkEnd w:id="54"/>
    <w:p>
      <w:pPr>
        <w:jc w:val="both"/>
        <w:ind w:firstLine="656"/>
        <w:spacing w:after="0" w:line="297" w:lineRule="auto"/>
        <w:tabs>
          <w:tab w:leader="none" w:pos="1018"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aggregate amount of accrued and unpaid Management Fees, IP Licensing Fees and Allocable Overhead; provided that the cash payment in respect of such accrued and unpaid Management Fees, IP Licensing Fees and Allocable Overhead (other than to the extent any such accrual occurred prior to the Issue Date) in any future Test Period shall be subtracted from Consolidated EBITDA in such Test Period to the extent Wynn Resorts Finance elected to previously add back such amounts to Consolidated EBITDA; minus (b) in each case to the extent included in calculating such Consolidated Net Income:</w:t>
      </w:r>
    </w:p>
    <w:p>
      <w:pPr>
        <w:spacing w:after="0" w:line="174" w:lineRule="exact"/>
        <w:rPr>
          <w:sz w:val="20"/>
          <w:szCs w:val="20"/>
          <w:color w:val="auto"/>
        </w:rPr>
      </w:pPr>
    </w:p>
    <w:p>
      <w:pPr>
        <w:jc w:val="both"/>
        <w:ind w:firstLine="656"/>
        <w:spacing w:after="0" w:line="250" w:lineRule="auto"/>
        <w:tabs>
          <w:tab w:leader="none" w:pos="911" w:val="left"/>
        </w:tabs>
        <w:numPr>
          <w:ilvl w:val="0"/>
          <w:numId w:val="23"/>
        </w:numPr>
        <w:rPr>
          <w:rFonts w:ascii="Arial" w:cs="Arial" w:eastAsia="Arial" w:hAnsi="Arial"/>
          <w:sz w:val="22"/>
          <w:szCs w:val="22"/>
          <w:color w:val="auto"/>
        </w:rPr>
      </w:pPr>
      <w:r>
        <w:rPr>
          <w:rFonts w:ascii="Arial" w:cs="Arial" w:eastAsia="Arial" w:hAnsi="Arial"/>
          <w:sz w:val="22"/>
          <w:szCs w:val="22"/>
          <w:color w:val="auto"/>
        </w:rPr>
        <w:t>non-cash items increasing such Consolidated Net Income for such Test Period, other than the accrual of revenue in the ordinary course of business, and other than any items which represent the reversal of any accrual of, or cash reserve for, anticipated cash charges for any prior Test Period subsequent to the Issue Date which was not added back to Consolidated EBITDA when accrued;</w:t>
      </w:r>
    </w:p>
    <w:p>
      <w:pPr>
        <w:spacing w:after="0" w:line="214" w:lineRule="exact"/>
        <w:rPr>
          <w:rFonts w:ascii="Arial" w:cs="Arial" w:eastAsia="Arial" w:hAnsi="Arial"/>
          <w:sz w:val="22"/>
          <w:szCs w:val="22"/>
          <w:color w:val="auto"/>
        </w:rPr>
      </w:pPr>
    </w:p>
    <w:p>
      <w:pPr>
        <w:ind w:left="980" w:hanging="324"/>
        <w:spacing w:after="0"/>
        <w:tabs>
          <w:tab w:leader="none" w:pos="98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amount of any gains resulting from mark to market accounting of swap contracts or other derivative instruments;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plus</w:t>
      </w:r>
    </w:p>
    <w:p>
      <w:pPr>
        <w:spacing w:after="0" w:line="229" w:lineRule="exact"/>
        <w:rPr>
          <w:sz w:val="20"/>
          <w:szCs w:val="20"/>
          <w:color w:val="auto"/>
        </w:rPr>
      </w:pPr>
    </w:p>
    <w:p>
      <w:pPr>
        <w:jc w:val="both"/>
        <w:ind w:firstLine="656"/>
        <w:spacing w:after="0" w:line="285" w:lineRule="auto"/>
        <w:tabs>
          <w:tab w:leader="none" w:pos="961"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amount of cost savings, operating expense reductions, other operating improvements and synergies projected by Wynn Resorts Finance in good faith to be realized as a result of specified actions taken or with respect to which steps have been initiated (in the good faith determination of Wynn Resorts Finance) during such Test Period (or with respect to Specified Transactions, are reasonably expected to be initiated within eighteen (18) months of the closing date of the Specified Transaction), including in connection with any Specified Transaction (calculated on a pro forma basis as though such cost savings, operating expense reductions, other operating improvements and synergies had been realized during the entirety of such Test Period), net of the amount of actual benefits realized during such Test Period from such actions; provided that (i) such actions are to be taken within eighteen (18) months after the consummation of such Specified Transaction, restructuring or implementation of an initiative that is expected to result in such cost savings, operating expense reductions, other operating improvements or synergies, (ii) no cost savings, operating expense reductions, other operating improvements and synergies shall be added pursuant to this clause (c) to the extent duplicative of any expenses or charges otherwise added to Consolidated EBITDA, whether through a pro forma adjustment or otherwise, for such Test Period, and (iii) projected amounts (and not yet realized) may no longer be added in calculating Consolidated EBITDA pursuant to this clause (c) to the extent more than eighteen (18) months have elapsed after the specified action taken in order to realize such projected cost savings, operating expense reductions, other operating improvements and synergies; provided, that the aggregate amount of additions made to Consolidated EBITDA for any Test Period pursuant to this clause (c) shall not (i) exceed 20.0% of Consolidated EBITDA for such Test Period (after giving effect to this clause (c)) or (ii) be duplicative of one another; plus</w:t>
      </w:r>
    </w:p>
    <w:p>
      <w:pPr>
        <w:spacing w:after="0" w:line="200" w:lineRule="exact"/>
        <w:rPr>
          <w:rFonts w:ascii="Arial" w:cs="Arial" w:eastAsia="Arial" w:hAnsi="Arial"/>
          <w:sz w:val="19"/>
          <w:szCs w:val="19"/>
          <w:color w:val="auto"/>
        </w:rPr>
      </w:pPr>
    </w:p>
    <w:p>
      <w:pPr>
        <w:spacing w:after="0" w:line="252" w:lineRule="exact"/>
        <w:rPr>
          <w:rFonts w:ascii="Arial" w:cs="Arial" w:eastAsia="Arial" w:hAnsi="Arial"/>
          <w:sz w:val="19"/>
          <w:szCs w:val="19"/>
          <w:color w:val="auto"/>
        </w:rPr>
      </w:pPr>
    </w:p>
    <w:p>
      <w:pPr>
        <w:jc w:val="both"/>
        <w:ind w:firstLine="656"/>
        <w:spacing w:after="0" w:line="312" w:lineRule="auto"/>
        <w:tabs>
          <w:tab w:leader="none" w:pos="999" w:val="left"/>
        </w:tabs>
        <w:numPr>
          <w:ilvl w:val="0"/>
          <w:numId w:val="24"/>
        </w:numPr>
        <w:rPr>
          <w:rFonts w:ascii="Arial" w:cs="Arial" w:eastAsia="Arial" w:hAnsi="Arial"/>
          <w:sz w:val="19"/>
          <w:szCs w:val="19"/>
          <w:color w:val="auto"/>
        </w:rPr>
      </w:pPr>
      <w:r>
        <w:rPr>
          <w:rFonts w:ascii="Arial" w:cs="Arial" w:eastAsia="Arial" w:hAnsi="Arial"/>
          <w:sz w:val="19"/>
          <w:szCs w:val="19"/>
          <w:color w:val="auto"/>
        </w:rPr>
        <w:t>to the extent not included in Consolidated Net Income, the amount of business interruption insurance proceeds received during such Test Period or after such Test Period and on or prior to the date the calculation is made with respect to such Test Period, attributable to any property which has been closed or had operations curtailed for such Test Period; provided that</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55" w:name="page56"/>
    <w:bookmarkEnd w:id="55"/>
    <w:p>
      <w:pPr>
        <w:jc w:val="both"/>
        <w:spacing w:after="0" w:line="260" w:lineRule="auto"/>
        <w:rPr>
          <w:sz w:val="20"/>
          <w:szCs w:val="20"/>
          <w:color w:val="auto"/>
        </w:rPr>
      </w:pPr>
      <w:r>
        <w:rPr>
          <w:rFonts w:ascii="Arial" w:cs="Arial" w:eastAsia="Arial" w:hAnsi="Arial"/>
          <w:sz w:val="21"/>
          <w:szCs w:val="21"/>
          <w:color w:val="auto"/>
        </w:rPr>
        <w:t>such amount of insurance proceeds shall only be included pursuant to this clause (d) to the extent of the amount of insurance proceeds plus Consolidated EBITDA attributable to such property for such Test Period (without giving effect to this clause (d)) does not exceed Consolidated EBITDA attributable to such property during the most recently completed four fiscal quarters for which financial results are available that such property was fully operational (or if such property has not been fully operational for four consecutive fiscal quarters for which financial results are available prior to such closure or curtailment, the Consolidated EBITDA attributable to such property during the Test Period prior to such closure or curtailment (for which financial results are available) annualized over four fiscal quarters); plus</w:t>
      </w:r>
    </w:p>
    <w:p>
      <w:pPr>
        <w:spacing w:after="0" w:line="207" w:lineRule="exact"/>
        <w:rPr>
          <w:sz w:val="20"/>
          <w:szCs w:val="20"/>
          <w:color w:val="auto"/>
        </w:rPr>
      </w:pPr>
    </w:p>
    <w:p>
      <w:pPr>
        <w:jc w:val="both"/>
        <w:ind w:firstLine="656"/>
        <w:spacing w:after="0" w:line="288" w:lineRule="auto"/>
        <w:tabs>
          <w:tab w:leader="none" w:pos="981" w:val="left"/>
        </w:tabs>
        <w:numPr>
          <w:ilvl w:val="0"/>
          <w:numId w:val="25"/>
        </w:numPr>
        <w:rPr>
          <w:rFonts w:ascii="Arial" w:cs="Arial" w:eastAsia="Arial" w:hAnsi="Arial"/>
          <w:sz w:val="19"/>
          <w:szCs w:val="19"/>
          <w:color w:val="auto"/>
        </w:rPr>
      </w:pPr>
      <w:r>
        <w:rPr>
          <w:rFonts w:ascii="Arial" w:cs="Arial" w:eastAsia="Arial" w:hAnsi="Arial"/>
          <w:sz w:val="19"/>
          <w:szCs w:val="19"/>
          <w:color w:val="auto"/>
        </w:rPr>
        <w:t>cash receipts (or any netting arrangements resulting in reduced cash expenditures) not representing Consolidated EBITDA or Consolidated Net Income in any Test Period to the extent non-cash gains relating to such income were deducted in the calculation of Consolidated EBITDA pursuant to paragraph (b) above for any previous Test Period and not added back.</w:t>
      </w:r>
    </w:p>
    <w:p>
      <w:pPr>
        <w:ind w:left="660"/>
        <w:spacing w:after="0"/>
        <w:rPr>
          <w:rFonts w:ascii="Arial" w:cs="Arial" w:eastAsia="Arial" w:hAnsi="Arial"/>
          <w:sz w:val="19"/>
          <w:szCs w:val="19"/>
          <w:color w:val="auto"/>
        </w:rPr>
      </w:pPr>
      <w:r>
        <w:rPr>
          <w:rFonts w:ascii="Arial" w:cs="Arial" w:eastAsia="Arial" w:hAnsi="Arial"/>
          <w:sz w:val="22"/>
          <w:szCs w:val="22"/>
          <w:color w:val="auto"/>
        </w:rPr>
        <w:t>Consolidated EBITDA shall be further adjusted:</w:t>
      </w:r>
    </w:p>
    <w:p>
      <w:pPr>
        <w:spacing w:after="0" w:line="229" w:lineRule="exact"/>
        <w:rPr>
          <w:sz w:val="20"/>
          <w:szCs w:val="20"/>
          <w:color w:val="auto"/>
        </w:rPr>
      </w:pPr>
    </w:p>
    <w:p>
      <w:pPr>
        <w:jc w:val="both"/>
        <w:ind w:firstLine="656"/>
        <w:spacing w:after="0" w:line="247" w:lineRule="auto"/>
        <w:tabs>
          <w:tab w:leader="none" w:pos="1014" w:val="left"/>
        </w:tabs>
        <w:numPr>
          <w:ilvl w:val="0"/>
          <w:numId w:val="26"/>
        </w:numPr>
        <w:rPr>
          <w:rFonts w:ascii="Arial" w:cs="Arial" w:eastAsia="Arial" w:hAnsi="Arial"/>
          <w:sz w:val="22"/>
          <w:szCs w:val="22"/>
          <w:color w:val="auto"/>
        </w:rPr>
      </w:pPr>
      <w:r>
        <w:rPr>
          <w:rFonts w:ascii="Arial" w:cs="Arial" w:eastAsia="Arial" w:hAnsi="Arial"/>
          <w:sz w:val="22"/>
          <w:szCs w:val="22"/>
          <w:color w:val="auto"/>
        </w:rPr>
        <w:t>to include the Consolidated EBITDA of any Person, property, business or asset (including a management agreement or similar agreement) acquired by an Issuer or any Guarantor during such Test Period and required to become a Guarantor pursuant to the terms of this Indenture based on the Consolidated EBITDA of such Person (or attributable to such property, business or asset) for such period (including the portion thereof occurring prior to such acquisition), determined as if references the Issuers and the Guarantors in Consolidated Net Income and other defined terms therein were to such Person and its Subsidiaries;</w:t>
      </w:r>
    </w:p>
    <w:p>
      <w:pPr>
        <w:spacing w:after="0" w:line="219" w:lineRule="exact"/>
        <w:rPr>
          <w:rFonts w:ascii="Arial" w:cs="Arial" w:eastAsia="Arial" w:hAnsi="Arial"/>
          <w:sz w:val="22"/>
          <w:szCs w:val="22"/>
          <w:color w:val="auto"/>
        </w:rPr>
      </w:pPr>
    </w:p>
    <w:p>
      <w:pPr>
        <w:jc w:val="both"/>
        <w:ind w:firstLine="656"/>
        <w:spacing w:after="0" w:line="297" w:lineRule="auto"/>
        <w:tabs>
          <w:tab w:leader="none" w:pos="1021" w:val="left"/>
        </w:tabs>
        <w:numPr>
          <w:ilvl w:val="0"/>
          <w:numId w:val="26"/>
        </w:numPr>
        <w:rPr>
          <w:rFonts w:ascii="Arial" w:cs="Arial" w:eastAsia="Arial" w:hAnsi="Arial"/>
          <w:sz w:val="19"/>
          <w:szCs w:val="19"/>
          <w:color w:val="auto"/>
        </w:rPr>
      </w:pPr>
      <w:r>
        <w:rPr>
          <w:rFonts w:ascii="Arial" w:cs="Arial" w:eastAsia="Arial" w:hAnsi="Arial"/>
          <w:sz w:val="19"/>
          <w:szCs w:val="19"/>
          <w:color w:val="auto"/>
        </w:rPr>
        <w:t>to exclude the Consolidated EBITDA of any Guarantor, property, business or asset sold, transferred or otherwise disposed of, closed or classified as discontinued operations by an Issuer or any Guarantor during such Test Period, based on the actual Consolidated EBITDA of such Person for such period (including the portion thereof occurring prior to such sale, transfer, disposition, closing, classification or conversion), determined as if references to the Issuers and the Guarantors in Consolidated Net Income and other defined terms therein were to such Person and its Subsidiaries;</w:t>
      </w:r>
    </w:p>
    <w:p>
      <w:pPr>
        <w:spacing w:after="0" w:line="173" w:lineRule="exact"/>
        <w:rPr>
          <w:rFonts w:ascii="Arial" w:cs="Arial" w:eastAsia="Arial" w:hAnsi="Arial"/>
          <w:sz w:val="19"/>
          <w:szCs w:val="19"/>
          <w:color w:val="auto"/>
        </w:rPr>
      </w:pPr>
    </w:p>
    <w:p>
      <w:pPr>
        <w:jc w:val="both"/>
        <w:ind w:firstLine="656"/>
        <w:spacing w:after="0" w:line="294" w:lineRule="auto"/>
        <w:tabs>
          <w:tab w:leader="none" w:pos="1013" w:val="left"/>
        </w:tabs>
        <w:numPr>
          <w:ilvl w:val="0"/>
          <w:numId w:val="26"/>
        </w:numPr>
        <w:rPr>
          <w:rFonts w:ascii="Arial" w:cs="Arial" w:eastAsia="Arial" w:hAnsi="Arial"/>
          <w:sz w:val="19"/>
          <w:szCs w:val="19"/>
          <w:color w:val="auto"/>
        </w:rPr>
      </w:pPr>
      <w:r>
        <w:rPr>
          <w:rFonts w:ascii="Arial" w:cs="Arial" w:eastAsia="Arial" w:hAnsi="Arial"/>
          <w:sz w:val="19"/>
          <w:szCs w:val="19"/>
          <w:color w:val="auto"/>
        </w:rPr>
        <w:t>in any fiscal quarter during which a purchase of property that prior to such purchase was subject to any operating lease that will be terminated in connection with such purchase shall occur and during the three (3) following fiscal quarters, by increasing Consolidated EBITDA by an amount equal to the quarterly payment in respect of such lease (as if such purchase did not occur) times (a) four (4) (in the case of the quarter in which such purchase occurs), (b) three (3) (in the case of the quarter following such purchase), (c) two (2) (in the case of the second quarter following such purchase) and (d) one (1) (in the case of the third quarter following such purchase), all as determined on a consolidated basis for the Issuers and the Guarantors;</w:t>
      </w:r>
    </w:p>
    <w:p>
      <w:pPr>
        <w:spacing w:after="0" w:line="176" w:lineRule="exact"/>
        <w:rPr>
          <w:rFonts w:ascii="Arial" w:cs="Arial" w:eastAsia="Arial" w:hAnsi="Arial"/>
          <w:sz w:val="19"/>
          <w:szCs w:val="19"/>
          <w:color w:val="auto"/>
        </w:rPr>
      </w:pPr>
    </w:p>
    <w:p>
      <w:pPr>
        <w:jc w:val="both"/>
        <w:ind w:firstLine="656"/>
        <w:spacing w:after="0" w:line="312" w:lineRule="auto"/>
        <w:tabs>
          <w:tab w:leader="none" w:pos="1022" w:val="left"/>
        </w:tabs>
        <w:numPr>
          <w:ilvl w:val="0"/>
          <w:numId w:val="26"/>
        </w:numPr>
        <w:rPr>
          <w:rFonts w:ascii="Arial" w:cs="Arial" w:eastAsia="Arial" w:hAnsi="Arial"/>
          <w:sz w:val="19"/>
          <w:szCs w:val="19"/>
          <w:color w:val="auto"/>
        </w:rPr>
      </w:pPr>
      <w:r>
        <w:rPr>
          <w:rFonts w:ascii="Arial" w:cs="Arial" w:eastAsia="Arial" w:hAnsi="Arial"/>
          <w:sz w:val="19"/>
          <w:szCs w:val="19"/>
          <w:color w:val="auto"/>
        </w:rPr>
        <w:t>in the event of any Expansion Capital Expenditures or Development Projects that were opened for business during such Test Period, by multiplying the Consolidated EBITDA attributable to such Expansion Capital Expenditures or Development Projects (as determined by Wynn Resorts Finance in good faith) in respect of the first three (3) complete fiscal quarters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56" w:name="page57"/>
    <w:bookmarkEnd w:id="56"/>
    <w:p>
      <w:pPr>
        <w:jc w:val="both"/>
        <w:spacing w:after="0" w:line="261" w:lineRule="auto"/>
        <w:rPr>
          <w:sz w:val="20"/>
          <w:szCs w:val="20"/>
          <w:color w:val="auto"/>
        </w:rPr>
      </w:pPr>
      <w:r>
        <w:rPr>
          <w:rFonts w:ascii="Arial" w:cs="Arial" w:eastAsia="Arial" w:hAnsi="Arial"/>
          <w:sz w:val="21"/>
          <w:szCs w:val="21"/>
          <w:color w:val="auto"/>
        </w:rPr>
        <w:t>following opening of the business representing such Expansion Capital Expenditures or Development Projects by: (x) 4 (with respect to the first such quarter), (y) 2 (with respect to the first two such quarters), and (z) 4/3 (with respect to the first three such quarters) and, for the avoidance of doubt, excluding Consolidated EBITDA attributable to such Expansion Capital Expenditures or Development Projects during the quarter in which the business representing such Expansion Capital Expenditure or Development Projects opened when calculating Consolidated EBITDA during any such three fiscal quarters (unless such business opened on the first day of a fiscal quarter);</w:t>
      </w:r>
    </w:p>
    <w:p>
      <w:pPr>
        <w:spacing w:after="0" w:line="206" w:lineRule="exact"/>
        <w:rPr>
          <w:sz w:val="20"/>
          <w:szCs w:val="20"/>
          <w:color w:val="auto"/>
        </w:rPr>
      </w:pPr>
    </w:p>
    <w:p>
      <w:pPr>
        <w:jc w:val="both"/>
        <w:ind w:firstLine="656"/>
        <w:spacing w:after="0" w:line="250" w:lineRule="auto"/>
        <w:tabs>
          <w:tab w:leader="none" w:pos="983" w:val="left"/>
        </w:tabs>
        <w:numPr>
          <w:ilvl w:val="0"/>
          <w:numId w:val="27"/>
        </w:numPr>
        <w:rPr>
          <w:rFonts w:ascii="Arial" w:cs="Arial" w:eastAsia="Arial" w:hAnsi="Arial"/>
          <w:sz w:val="22"/>
          <w:szCs w:val="22"/>
          <w:color w:val="auto"/>
        </w:rPr>
      </w:pPr>
      <w:r>
        <w:rPr>
          <w:rFonts w:ascii="Arial" w:cs="Arial" w:eastAsia="Arial" w:hAnsi="Arial"/>
          <w:sz w:val="22"/>
          <w:szCs w:val="22"/>
          <w:color w:val="auto"/>
        </w:rPr>
        <w:t>with respect to each fiscal quarter during any Test Period ending on or prior to the eighth (8th) full fiscal quarter after the 2029 Notes Issue Date, Consolidated EBITDA attributable to the Wynn Massachusetts Resort (as determined by Wynn Resorts Finance in good faith) shall, in each case, be the greater of (1) $50.0 million and (2) actual Consolidated EBITDA attributable to the Wynn Massachusetts Resort for such fiscal quarter; and</w:t>
      </w:r>
    </w:p>
    <w:p>
      <w:pPr>
        <w:spacing w:after="0" w:line="214" w:lineRule="exact"/>
        <w:rPr>
          <w:rFonts w:ascii="Arial" w:cs="Arial" w:eastAsia="Arial" w:hAnsi="Arial"/>
          <w:sz w:val="22"/>
          <w:szCs w:val="22"/>
          <w:color w:val="auto"/>
        </w:rPr>
      </w:pPr>
    </w:p>
    <w:p>
      <w:pPr>
        <w:ind w:firstLine="656"/>
        <w:spacing w:after="0" w:line="263" w:lineRule="auto"/>
        <w:tabs>
          <w:tab w:leader="none" w:pos="981" w:val="left"/>
        </w:tabs>
        <w:numPr>
          <w:ilvl w:val="0"/>
          <w:numId w:val="27"/>
        </w:numPr>
        <w:rPr>
          <w:rFonts w:ascii="Arial" w:cs="Arial" w:eastAsia="Arial" w:hAnsi="Arial"/>
          <w:sz w:val="22"/>
          <w:szCs w:val="22"/>
          <w:color w:val="auto"/>
        </w:rPr>
      </w:pPr>
      <w:r>
        <w:rPr>
          <w:rFonts w:ascii="Arial" w:cs="Arial" w:eastAsia="Arial" w:hAnsi="Arial"/>
          <w:sz w:val="22"/>
          <w:szCs w:val="22"/>
          <w:color w:val="auto"/>
        </w:rPr>
        <w:t>to exclude the amount, if any, by which the dividends and distributions paid or, at Wynn Resorts Finance’s election, declared to Wynn Group Asia by its direct and indirect</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Subsidiaries that are included in Consolidated Net Income pursuant to clause (c) of the definition thereof during the applicable Test Period exceed the applicable Recurring Dividend Amount for such Test Period.</w:t>
      </w:r>
    </w:p>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“Consolidated Indebtedness” means, as at any date of determination, the aggregate amount of all Indebtedness of the Issuers and the Guarantors(other than (x) any such Indebtedness that has been discharged, (y) any escrowed indebtedness, and (z) intercompany indebtedness) on such date, in an amount that would be reflected on a balance sheet on such date prepared on a consolidated basis in accordance with US GAAP, consisting of Indebtedness for borrowed money, obligations in respect of Capital Lease Obligations, purchase money Indebtedness, Indebtedness of the kind described in clause (4) of the definition of “Indebtedness,” Indebtedness evidenced by promissory notes and similar instruments and contingent obligations in respect of any of the foregoing (to be included only to the extent set forth in clause (iii) below); provided that (i) Consolidated Indebtedness shall not include (A) Indebtedness in respect of letters of credit, except to the extent of unreimbursed amounts thereunder or (B) Indebtedness in respect of disqualified capital stock, (ii) the amount of Consolidated Indebtedness, in the case of Indebtedness of a Guarantor that is not a wholly-owned Guarantor, shall be reduced by an amount directly proportional to the amount (if any) by which Consolidated EBITDA was reduced (including through the calculation of Consolidated Net Income) in respect of such non-controlling interest in such Guarantor owned by a Person other than an Issuer or any other Guarantor, (iii) Consolidated Indebtedness shall not include contingent obligations, provided, however, that if and when any such contingent obligation is demanded for payment from an Issuer or any Guarantor, then the amounts of such contingent obligation shall be included in such calculations.</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“Consolidated Interest Expense” means, for any Test Period, the sum of interest expense of the Issuers and the Guarantors for such Test Period as determined on a consolidated basis in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57" w:name="page58"/>
    <w:bookmarkEnd w:id="57"/>
    <w:p>
      <w:pPr>
        <w:jc w:val="both"/>
        <w:spacing w:after="0" w:line="286" w:lineRule="auto"/>
        <w:rPr>
          <w:sz w:val="20"/>
          <w:szCs w:val="20"/>
          <w:color w:val="auto"/>
        </w:rPr>
      </w:pPr>
      <w:r>
        <w:rPr>
          <w:rFonts w:ascii="Arial" w:cs="Arial" w:eastAsia="Arial" w:hAnsi="Arial"/>
          <w:sz w:val="19"/>
          <w:szCs w:val="19"/>
          <w:color w:val="auto"/>
        </w:rPr>
        <w:t>accordance with US GAAP, plus, to the extent deducted in arriving at Consolidated Net Income and without duplication, (a) the interest portion of payments on Capital Lease Obligations, (b) amortization of financing fees, debt issuance costs and interest or deferred financing or debt issuance costs, (c) arrangement, commitment or upfront fees, original issue discount, redemption or prepayment premiums, (d) commissions, discounts and other fees and charges owed with respect to letters of credit and bankers’ acceptance financing, (e) interest with respect to Indebtedness that has been discharged and any escrowed indebtedness, (f) the accretion or accrual of discounted liabilities during such period, (g) interest expense attributable to the movement of the mark-to-market valuation of obligations under swap contracts or other derivative instruments, (h) payments made under swap contracts relating to interest rates with respect to such Test Period and any costs associated with breakage in respect of hedging agreements for interest rates, (i) all interest expense consisting of liquidated damages for failure to timely comply with registration rights obligations and financing fees, all as calculated on a consolidated basis in accordance with US GAAP, (j) fees and expenses associated with the consummation of the 2019 Transactions and the Transactions (k) annual or quarterly agency fees paid to the administrative agent under the Senior Credit Facilities and (l) costs and fees associated with obtaining swap contracts and fees payable thereunder.</w:t>
      </w:r>
    </w:p>
    <w:p>
      <w:pPr>
        <w:spacing w:after="0" w:line="193"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“Consolidated Net Income” means, for any Test Period, the aggregate of the net income of the Issuers and the Guarantors for such Test Period, on a consolidated basis, determined in accordance with US GAAP; provided that, without duplication:</w:t>
      </w:r>
    </w:p>
    <w:p>
      <w:pPr>
        <w:spacing w:after="0" w:line="131" w:lineRule="exact"/>
        <w:rPr>
          <w:sz w:val="20"/>
          <w:szCs w:val="20"/>
          <w:color w:val="auto"/>
        </w:rPr>
      </w:pPr>
    </w:p>
    <w:p>
      <w:pPr>
        <w:ind w:left="960" w:hanging="304"/>
        <w:spacing w:after="0"/>
        <w:tabs>
          <w:tab w:leader="none" w:pos="960" w:val="left"/>
        </w:tabs>
        <w:numPr>
          <w:ilvl w:val="1"/>
          <w:numId w:val="28"/>
        </w:numPr>
        <w:rPr>
          <w:rFonts w:ascii="Arial" w:cs="Arial" w:eastAsia="Arial" w:hAnsi="Arial"/>
          <w:sz w:val="19"/>
          <w:szCs w:val="19"/>
          <w:color w:val="auto"/>
        </w:rPr>
      </w:pPr>
      <w:r>
        <w:rPr>
          <w:rFonts w:ascii="Arial" w:cs="Arial" w:eastAsia="Arial" w:hAnsi="Arial"/>
          <w:sz w:val="19"/>
          <w:szCs w:val="19"/>
          <w:color w:val="auto"/>
        </w:rPr>
        <w:t>any gain or loss (together with any related provision for taxes thereon) realized in connection with (i) any asset sale or</w:t>
      </w:r>
    </w:p>
    <w:p>
      <w:pPr>
        <w:spacing w:after="0" w:line="55" w:lineRule="exact"/>
        <w:rPr>
          <w:rFonts w:ascii="Arial" w:cs="Arial" w:eastAsia="Arial" w:hAnsi="Arial"/>
          <w:sz w:val="19"/>
          <w:szCs w:val="19"/>
          <w:color w:val="auto"/>
        </w:rPr>
      </w:pPr>
    </w:p>
    <w:p>
      <w:pPr>
        <w:ind w:left="320" w:hanging="312"/>
        <w:spacing w:after="0"/>
        <w:tabs>
          <w:tab w:leader="none" w:pos="3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any disposition of any securities by an Issuer or any of the Guarantors shall be excluded;</w:t>
      </w:r>
    </w:p>
    <w:p>
      <w:pPr>
        <w:spacing w:after="0" w:line="228" w:lineRule="exact"/>
        <w:rPr>
          <w:rFonts w:ascii="Arial" w:cs="Arial" w:eastAsia="Arial" w:hAnsi="Arial"/>
          <w:sz w:val="22"/>
          <w:szCs w:val="22"/>
          <w:color w:val="auto"/>
        </w:rPr>
      </w:pPr>
    </w:p>
    <w:p>
      <w:pPr>
        <w:ind w:left="960" w:hanging="304"/>
        <w:spacing w:after="0"/>
        <w:tabs>
          <w:tab w:leader="none" w:pos="960" w:val="left"/>
        </w:tabs>
        <w:numPr>
          <w:ilvl w:val="1"/>
          <w:numId w:val="29"/>
        </w:numPr>
        <w:rPr>
          <w:rFonts w:ascii="Arial" w:cs="Arial" w:eastAsia="Arial" w:hAnsi="Arial"/>
          <w:sz w:val="22"/>
          <w:szCs w:val="22"/>
          <w:color w:val="auto"/>
        </w:rPr>
      </w:pPr>
      <w:r>
        <w:rPr>
          <w:rFonts w:ascii="Arial" w:cs="Arial" w:eastAsia="Arial" w:hAnsi="Arial"/>
          <w:sz w:val="22"/>
          <w:szCs w:val="22"/>
          <w:color w:val="auto"/>
        </w:rPr>
        <w:t>any extraordinary gain or loss (together with any related provision for taxes thereon) shall be excluded;</w:t>
      </w:r>
    </w:p>
    <w:p>
      <w:pPr>
        <w:spacing w:after="0" w:line="246" w:lineRule="exact"/>
        <w:rPr>
          <w:rFonts w:ascii="Arial" w:cs="Arial" w:eastAsia="Arial" w:hAnsi="Arial"/>
          <w:sz w:val="22"/>
          <w:szCs w:val="22"/>
          <w:color w:val="auto"/>
        </w:rPr>
      </w:pPr>
    </w:p>
    <w:p>
      <w:pPr>
        <w:ind w:left="960" w:hanging="304"/>
        <w:spacing w:after="0"/>
        <w:tabs>
          <w:tab w:leader="none" w:pos="960" w:val="left"/>
        </w:tabs>
        <w:numPr>
          <w:ilvl w:val="1"/>
          <w:numId w:val="29"/>
        </w:numPr>
        <w:rPr>
          <w:rFonts w:ascii="Arial" w:cs="Arial" w:eastAsia="Arial" w:hAnsi="Arial"/>
          <w:sz w:val="19"/>
          <w:szCs w:val="19"/>
          <w:color w:val="auto"/>
        </w:rPr>
      </w:pPr>
      <w:r>
        <w:rPr>
          <w:rFonts w:ascii="Arial" w:cs="Arial" w:eastAsia="Arial" w:hAnsi="Arial"/>
          <w:sz w:val="19"/>
          <w:szCs w:val="19"/>
          <w:color w:val="auto"/>
        </w:rPr>
        <w:t>the net income of any Person that (i) is not a Subsidiary, (ii) is accounted for by the equity method of accounting or</w:t>
      </w:r>
    </w:p>
    <w:p>
      <w:pPr>
        <w:spacing w:after="0" w:line="55" w:lineRule="exact"/>
        <w:rPr>
          <w:rFonts w:ascii="Arial" w:cs="Arial" w:eastAsia="Arial" w:hAnsi="Arial"/>
          <w:sz w:val="19"/>
          <w:szCs w:val="19"/>
          <w:color w:val="auto"/>
        </w:rPr>
      </w:pPr>
    </w:p>
    <w:p>
      <w:pPr>
        <w:jc w:val="both"/>
        <w:ind w:firstLine="8"/>
        <w:spacing w:after="0" w:line="286" w:lineRule="auto"/>
        <w:tabs>
          <w:tab w:leader="none" w:pos="406" w:val="left"/>
        </w:tabs>
        <w:numPr>
          <w:ilvl w:val="0"/>
          <w:numId w:val="30"/>
        </w:numPr>
        <w:rPr>
          <w:rFonts w:ascii="Arial" w:cs="Arial" w:eastAsia="Arial" w:hAnsi="Arial"/>
          <w:sz w:val="19"/>
          <w:szCs w:val="19"/>
          <w:color w:val="auto"/>
        </w:rPr>
      </w:pPr>
      <w:r>
        <w:rPr>
          <w:rFonts w:ascii="Arial" w:cs="Arial" w:eastAsia="Arial" w:hAnsi="Arial"/>
          <w:sz w:val="19"/>
          <w:szCs w:val="19"/>
          <w:color w:val="auto"/>
        </w:rPr>
        <w:t>is a Subsidiary (or former Subsidiary) with respect to which a Trigger Event has occurred following the occurrence and during the continuance of such Trigger Event shall be excluded; provided that Consolidated Net Income of the Issuers and the Guarantors shall be increased by the amount of dividends or distributions or other payments (including management fees) that are actually paid or are payable in cash to an Issuer or a Guarantor in respect of such period by such Persons (or to the extent converted into cash) (including at Wynn Resorts Finance’s election in the case of the direct and indirect Subsidiaries of Wynn Group Asia, dividends and distributions declared (but not yet paid) during such period; provided that in the event Wynn Resorts Finance elects to include any such declared (but not yet paid) dividend or distribution in Consolidated Net Income during any period, in no event shall the subsequent payment of such dividends and distributions be so included); provided further, that in the case of any such Person acquired by an Issuer or a Guarantor during such test Period, the foregoing shall be determined as if such Person had been acquired on the first day of such Test Period;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58" w:name="page59"/>
    <w:bookmarkEnd w:id="58"/>
    <w:p>
      <w:pPr>
        <w:spacing w:after="0" w:line="231" w:lineRule="exact"/>
        <w:rPr>
          <w:sz w:val="20"/>
          <w:szCs w:val="20"/>
          <w:color w:val="auto"/>
        </w:rPr>
      </w:pPr>
    </w:p>
    <w:p>
      <w:pPr>
        <w:jc w:val="both"/>
        <w:ind w:firstLine="656"/>
        <w:spacing w:after="0" w:line="289" w:lineRule="auto"/>
        <w:tabs>
          <w:tab w:leader="none" w:pos="976"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undistributed earnings of any Subsidiary of Wynn Resorts Finance that is not a an Issuer or a Guarantor to the extent that, on the date of determination the payment of cash dividends or similar cash distributions by such Subsidiary (or loans or advances by such subsidiary to any parent company) are not permitted by the terms of any contractual obligation or requirement of law applicable to such Subsidiary shall be excluded, unless such restrictions with respect to the payment of cash dividends and other similar cash distributions have been waived; provided that Consolidated Net Income of the Issuers and the Guarantors shall be increased by the amount of dividends or distributions or other payments (including management fees) that are actually paid or are payable in cash to an Issuer or a Guarantor(not subject to such restriction) thereof in respect of such period by such Subsidiaries (or to the extent converted into cash); provided further, that in the case of any such Person acquired by an Issuer or a Guarantor during such test Period, the foregoing shall be determined as if such Person had been acquired on the first day of such Test Period;</w:t>
      </w:r>
    </w:p>
    <w:p>
      <w:pPr>
        <w:spacing w:after="0" w:line="200" w:lineRule="exact"/>
        <w:rPr>
          <w:rFonts w:ascii="Arial" w:cs="Arial" w:eastAsia="Arial" w:hAnsi="Arial"/>
          <w:sz w:val="19"/>
          <w:szCs w:val="19"/>
          <w:color w:val="auto"/>
        </w:rPr>
      </w:pPr>
    </w:p>
    <w:p>
      <w:pPr>
        <w:spacing w:after="0" w:line="240" w:lineRule="exact"/>
        <w:rPr>
          <w:rFonts w:ascii="Arial" w:cs="Arial" w:eastAsia="Arial" w:hAnsi="Arial"/>
          <w:sz w:val="19"/>
          <w:szCs w:val="19"/>
          <w:color w:val="auto"/>
        </w:rPr>
      </w:pPr>
    </w:p>
    <w:p>
      <w:pPr>
        <w:jc w:val="both"/>
        <w:ind w:firstLine="656"/>
        <w:spacing w:after="0" w:line="312" w:lineRule="auto"/>
        <w:tabs>
          <w:tab w:leader="none" w:pos="950" w:val="left"/>
        </w:tabs>
        <w:numPr>
          <w:ilvl w:val="0"/>
          <w:numId w:val="31"/>
        </w:numPr>
        <w:rPr>
          <w:rFonts w:ascii="Arial" w:cs="Arial" w:eastAsia="Arial" w:hAnsi="Arial"/>
          <w:sz w:val="19"/>
          <w:szCs w:val="19"/>
          <w:color w:val="auto"/>
        </w:rPr>
      </w:pPr>
      <w:r>
        <w:rPr>
          <w:rFonts w:ascii="Arial" w:cs="Arial" w:eastAsia="Arial" w:hAnsi="Arial"/>
          <w:sz w:val="19"/>
          <w:szCs w:val="19"/>
          <w:color w:val="auto"/>
        </w:rPr>
        <w:t>any goodwill or other asset impairment charges or other asset write-offs or write downs, including any resulting from the application of Accounting Standards Codification Nos. 350 and No. 360, and any expenses or charges relating to the amortization of intangibles as a result of the application of Accounting Standards Codification No. 805, shall be excluded;</w:t>
      </w:r>
    </w:p>
    <w:p>
      <w:pPr>
        <w:spacing w:after="0" w:line="160" w:lineRule="exact"/>
        <w:rPr>
          <w:rFonts w:ascii="Arial" w:cs="Arial" w:eastAsia="Arial" w:hAnsi="Arial"/>
          <w:sz w:val="19"/>
          <w:szCs w:val="19"/>
          <w:color w:val="auto"/>
        </w:rPr>
      </w:pPr>
    </w:p>
    <w:p>
      <w:pPr>
        <w:jc w:val="both"/>
        <w:ind w:firstLine="656"/>
        <w:spacing w:after="0" w:line="250" w:lineRule="auto"/>
        <w:tabs>
          <w:tab w:leader="none" w:pos="9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any non-cash charges or expenses related to the repurchase of stock options to the extent not prohibited by the indenture, and any non-cash charges or expenses related to the grant, issuance or repricing of, or any amendment or substitution with respect to, stock appreciation or similar rights, stock options, restricted stock, or other Equity Interests or other equity based awards or rights or equivalent instruments, shall be excluded;</w:t>
      </w:r>
    </w:p>
    <w:p>
      <w:pPr>
        <w:spacing w:after="0" w:line="214" w:lineRule="exact"/>
        <w:rPr>
          <w:rFonts w:ascii="Arial" w:cs="Arial" w:eastAsia="Arial" w:hAnsi="Arial"/>
          <w:sz w:val="22"/>
          <w:szCs w:val="22"/>
          <w:color w:val="auto"/>
        </w:rPr>
      </w:pPr>
    </w:p>
    <w:p>
      <w:pPr>
        <w:ind w:left="960" w:hanging="304"/>
        <w:spacing w:after="0"/>
        <w:tabs>
          <w:tab w:leader="none" w:pos="9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cumulative effect of a change in accounting principles shall be excluded;</w:t>
      </w:r>
    </w:p>
    <w:p>
      <w:pPr>
        <w:spacing w:after="0" w:line="246" w:lineRule="exact"/>
        <w:rPr>
          <w:rFonts w:ascii="Arial" w:cs="Arial" w:eastAsia="Arial" w:hAnsi="Arial"/>
          <w:sz w:val="22"/>
          <w:szCs w:val="22"/>
          <w:color w:val="auto"/>
        </w:rPr>
      </w:pPr>
    </w:p>
    <w:p>
      <w:pPr>
        <w:jc w:val="both"/>
        <w:ind w:firstLine="656"/>
        <w:spacing w:after="0" w:line="248" w:lineRule="auto"/>
        <w:tabs>
          <w:tab w:leader="none" w:pos="985" w:val="left"/>
        </w:tabs>
        <w:numPr>
          <w:ilvl w:val="0"/>
          <w:numId w:val="31"/>
        </w:numPr>
        <w:rPr>
          <w:rFonts w:ascii="Arial" w:cs="Arial" w:eastAsia="Arial" w:hAnsi="Arial"/>
          <w:sz w:val="22"/>
          <w:szCs w:val="22"/>
          <w:color w:val="auto"/>
        </w:rPr>
      </w:pPr>
      <w:r>
        <w:rPr>
          <w:rFonts w:ascii="Arial" w:cs="Arial" w:eastAsia="Arial" w:hAnsi="Arial"/>
          <w:sz w:val="22"/>
          <w:szCs w:val="22"/>
          <w:color w:val="auto"/>
        </w:rPr>
        <w:t>any expenses or reserves for liabilities shall be excluded to the extent that an Issuer or a Guarantor is entitled to indemnification therefor under binding agreements; provided that any such liabilities for which an Issuer or any of Guarantors is not actually indemnified shall reduce Consolidated Net Income for the period in which it is determined that such Issuer or such Guarantor will not be indemnified (to the extent such liabilities would otherwise reduce Consolidated Net Income without giving effect to this clause (h));</w:t>
      </w:r>
    </w:p>
    <w:p>
      <w:pPr>
        <w:spacing w:after="0" w:line="218" w:lineRule="exact"/>
        <w:rPr>
          <w:rFonts w:ascii="Arial" w:cs="Arial" w:eastAsia="Arial" w:hAnsi="Arial"/>
          <w:sz w:val="22"/>
          <w:szCs w:val="22"/>
          <w:color w:val="auto"/>
        </w:rPr>
      </w:pPr>
    </w:p>
    <w:p>
      <w:pPr>
        <w:jc w:val="both"/>
        <w:ind w:firstLine="656"/>
        <w:spacing w:after="0" w:line="297" w:lineRule="auto"/>
        <w:tabs>
          <w:tab w:leader="none" w:pos="923" w:val="left"/>
        </w:tabs>
        <w:numPr>
          <w:ilvl w:val="0"/>
          <w:numId w:val="31"/>
        </w:numPr>
        <w:rPr>
          <w:rFonts w:ascii="Arial" w:cs="Arial" w:eastAsia="Arial" w:hAnsi="Arial"/>
          <w:sz w:val="19"/>
          <w:szCs w:val="19"/>
          <w:color w:val="auto"/>
        </w:rPr>
      </w:pPr>
      <w:r>
        <w:rPr>
          <w:rFonts w:ascii="Arial" w:cs="Arial" w:eastAsia="Arial" w:hAnsi="Arial"/>
          <w:sz w:val="19"/>
          <w:szCs w:val="19"/>
          <w:color w:val="auto"/>
        </w:rPr>
        <w:t>losses, to the extent covered by insurance and actually reimbursed, or, so long as Wynn Resorts Finance has made a determination that there exists reasonable evidence that such amount will in fact be reimbursed by the insurer and only to the extent that such amount is (i) not denied by the applicable carrier in writing within 180 days and (ii) in fact reimbursed within 365 days of the date of such evidence (with a deduction for any amount so added back to the extent not so reimbursed within 365 days), expenses with respect to liability or casualty events or business interruption shall be excluded; and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59" w:name="page60"/>
    <w:bookmarkEnd w:id="59"/>
    <w:p>
      <w:pPr>
        <w:ind w:firstLine="656"/>
        <w:spacing w:after="0" w:line="263" w:lineRule="auto"/>
        <w:tabs>
          <w:tab w:leader="none" w:pos="912" w:val="left"/>
        </w:tabs>
        <w:numPr>
          <w:ilvl w:val="0"/>
          <w:numId w:val="32"/>
        </w:numPr>
        <w:rPr>
          <w:rFonts w:ascii="Arial" w:cs="Arial" w:eastAsia="Arial" w:hAnsi="Arial"/>
          <w:sz w:val="22"/>
          <w:szCs w:val="22"/>
          <w:color w:val="auto"/>
        </w:rPr>
      </w:pPr>
      <w:r>
        <w:rPr>
          <w:rFonts w:ascii="Arial" w:cs="Arial" w:eastAsia="Arial" w:hAnsi="Arial"/>
          <w:sz w:val="22"/>
          <w:szCs w:val="22"/>
          <w:color w:val="auto"/>
        </w:rPr>
        <w:t>gains and losses resulting solely from fluctuations in currency values and the related tax effects shall be excluded, and charges relating to Accounting Standards Codification Nos. 815 and 820 shall be excluded.</w:t>
      </w:r>
    </w:p>
    <w:p>
      <w:pPr>
        <w:spacing w:after="0" w:line="20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“Consolidated Senior Secured Net Leverage Ratio” means, as of any date of determination, the ratio of (a) (i) Consolidated Indebtedness of the Issuers and the Guarantors that is secured by Liens on the property or assets of an Issuer or a Guarantor as of such date (other than (x) any such Consolidated Indebtedness that is expressly subordinated in right of payment to the Notes and (y) any such Consolidated Indebtedness that benefits from the pledge securing the Existing LV Notes (but is not otherwise secured by any Liens on property or assets of an Issuer or a Guarantor as of such date)) minus (ii) Unrestricted Operating Cash to (b) Consolidated EBITDA for the Test Period most recently ended prior to such date; provided, that for purposes of calculating the Consolidated Senior Secured Net Leverage Ratio, Consolidated EBITDA for the fiscal quarter in which a Qualifying Act of Terrorism shall have occurred and the next two succeeding fiscal quarters thereafter shall, in each case, be the greater of (1) Substituted Consolidated EBITDA and (2) actual Consolidated EBITDA for such fiscal quarter.</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“Corporate Trust Office of the Trustee” means the address of the Trustee specified in Section 14.01 hereof or such other address as to which the Trustee may give notice to the Issuers.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“Custodian” means the Trustee, as custodian with respect to the Notes in global form, or any successor entity thereto.</w:t>
      </w:r>
    </w:p>
    <w:p>
      <w:pPr>
        <w:spacing w:after="0" w:line="28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“Default” means any event that is, or with the passage of time or the giving of notice or both would be, an Event of Default.</w:t>
      </w:r>
    </w:p>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“Definitive Note” means a certificated Note registered in the name of the Holder thereof and issued in accordance with Section 2.06 hereof, substantially in the form of Exhibit A-1 hereto except that such Note shall not bear the Global Note Legend and shall not have the “Schedule of Exchanges of Interest in the Global Note” attached thereto.</w:t>
      </w:r>
    </w:p>
    <w:p>
      <w:pPr>
        <w:spacing w:after="0" w:line="19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“Depositary”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w:t>
      </w:r>
    </w:p>
    <w:p>
      <w:pPr>
        <w:spacing w:after="0" w:line="19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“Derivative Instrument” means with respect to a Person other than any Person that is a Regulated Bank, means any contract, instrument or other right to receive payment or delivery of cash or other assets to which such Person or any Affiliate of such Person that is acting in concert with such Person in connection with such Person’s investment in the Notes (other than a Screened Affiliate) is a party (whether or not requiring further performance by such Person), the value and/or cash flows of which (or any material portion thereof) are materially affected by the value and/or performance of the Notes and/ or the creditworthiness of any Issuer and/or any one or more of the Guarantors (the “Performance References”).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60" w:name="page61"/>
    <w:bookmarkEnd w:id="60"/>
    <w:p>
      <w:pPr>
        <w:jc w:val="both"/>
        <w:ind w:firstLine="648"/>
        <w:spacing w:after="0" w:line="253" w:lineRule="auto"/>
        <w:rPr>
          <w:sz w:val="20"/>
          <w:szCs w:val="20"/>
          <w:color w:val="auto"/>
        </w:rPr>
      </w:pPr>
      <w:r>
        <w:rPr>
          <w:rFonts w:ascii="Arial" w:cs="Arial" w:eastAsia="Arial" w:hAnsi="Arial"/>
          <w:sz w:val="22"/>
          <w:szCs w:val="22"/>
          <w:color w:val="auto"/>
        </w:rPr>
        <w:t>“Designated Officer” means, with respect to any Person, the Chairman of the Board, the Chief Executive Officer, the President, the Chief Operating Officer, the Chief Financial Officer, the Treasurer, the Controller, the Secretary, the Assistant Secretary or any Vice President of such Person.</w:t>
      </w:r>
    </w:p>
    <w:p>
      <w:pPr>
        <w:spacing w:after="0" w:line="21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“Development Project” means investments, Capital Expenditures and other expenditures, directly or indirectly, (a) in any joint ventures in which an Issuer or any Guarantor, directly or indirectly, has control or with whom it has a management, development or similar contract and, in the case of a joint venture, in which an Issuer or any Guarantor owns (directly or indirectly) at least 25% of the Equity Interest in such joint venture, or (b) in, or expenditures with respect to, casinos, casino resorts, “racinos,” racetracks, non-gaming resorts, hotels, distributed gaming applications, entertainment developments, restaurants, retail developments or taverns or persons that own casinos, casino resorts, “racinos,” racetracks, non-gaming resorts, hotels, distributed gaming applications, entertainment developments, restaurants, retail developments or taverns (including casinos, casino resorts, “racinos,” racetracks, non-gaming resorts, hotels, distributed gaming applications, entertainment developments, restaurants, retail developments or taverns in development or under construction that are not presently open or operating with respect to which an Issuer or any of Guarantor has (directly or indirectly through subsidiaries) entered into a management, development or similar contract (or an agreement to enter into such a management, development or similar contract) and such contract remains in full force and effect at the time of such investment, though it may be subject to regulatory approvals), in each case, used to finance, or made for the purpose of allowing such joint ventures, casinos, casino resorts, “racinos,” racetracks, non-gaming resorts, hotels, distributed gaming applications, entertainment developments, restaurants, retail developments or taverns, as the case may be, to finance, the purchase, development, construction or other acquisition of any fixed or capital assets or the refurbishment of existing assets or properties that develops, adds to or significantly improves the property of such joint ventures, casinos, casino resorts, “racinos,” racetracks, non-gaming resorts, hotels, distributed gaming applications, entertainment developments, restaurants, retail developments or taverns and assets ancillary or related thereto (including, without limitation, hotels, restaurants, entertainment, retail and other similar projects), or the construction and development of casinos, casino resorts, “racinos,” racetracks, non-gaming resorts, hotels, distributed gaming applications, entertainment developments, restaurants, retail developments or taverns or assets ancillary or related thereto (including, without limitation, hotels, restaurants, entertainment, retail and other similar projects) and including Pre-Opening Expenses with respect to such joint ventures, casinos, casino resorts, “racinos,” racetracks, non-gaming resorts, hotels, distributed gaming applications, entertainment developments, restaurants, retail developments and taverns.</w:t>
      </w: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“Domestic Subsidiary” means any Subsidiary of Wynn Resorts Finance (other than Wynn Resorts Capital) that was formed under the laws of the United States or any state of the United States or the District of Columbia or that guarantees or otherwise provides direct credit support for any Indebtedness of Wynn Resorts Finance.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61" w:name="page62"/>
    <w:bookmarkEnd w:id="61"/>
    <w:p>
      <w:pPr>
        <w:jc w:val="both"/>
        <w:ind w:firstLine="648"/>
        <w:spacing w:after="0" w:line="263" w:lineRule="auto"/>
        <w:rPr>
          <w:sz w:val="20"/>
          <w:szCs w:val="20"/>
          <w:color w:val="auto"/>
        </w:rPr>
      </w:pPr>
      <w:r>
        <w:rPr>
          <w:rFonts w:ascii="Arial" w:cs="Arial" w:eastAsia="Arial" w:hAnsi="Arial"/>
          <w:sz w:val="22"/>
          <w:szCs w:val="22"/>
          <w:color w:val="auto"/>
        </w:rPr>
        <w:t>“Equity Interests” means Capital Stock and all warrants, options or other rights to acquire Capital Stock (but excluding any debt security that is convertible into, or exchangeable for, Capital Stock).</w:t>
      </w:r>
    </w:p>
    <w:p>
      <w:pPr>
        <w:spacing w:after="0" w:line="20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“Equity Offering” means a public offering or private placement for cash by Wynn Resorts Finance, or of any parent of Wynn Resorts Finance the proceeds of which are contributed to Wynn Resorts Finance, of its Capital Stock, or options, warrants or rights with respect to its Capital Stock, other than (x) any issuances pursuant to employee benefit plans or otherwise in compensation to officers, directors or employees or (y) an issuance to any Subsidiary.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“Euroclear” means Euroclear Bank, S.A./N.V., as operator of the Euroclear system.</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“Exchange Act” means the Securities Exchange Act of 1934, as amended.</w:t>
      </w:r>
    </w:p>
    <w:p>
      <w:pPr>
        <w:spacing w:after="0" w:line="2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“Excluded Subsidiary” means any Subsidiary of Wynn Resorts Finance, other than Wynn Resorts Capital, that is designated by the Board of Directors of Wynn Resorts Capital as an Excluded Subsidiary pursuant to a resolution of the Board of Directors (and any Subsidiary of each such Excluded Subsidiary), but only to the extent that such Subsidiary of Wynn Resorts Finance does not, directly or indirectly, guarantee or otherwise provide direct credit support for the Senior Credit Facilities or any other Indebtedness of Wynn Resorts Finance and is not subject to any covenants in, or Liens securing, the Existing LV Notes; provided that if any Excluded Subsidiary directly or indirectly, guarantees or otherwise provides direct credit support for any Indebtedness of Wynn Resorts Finance or becomes subject to the covenants in, or Liens securing, the Existing LV Notes, such Excluded Subsidiary will thereafter not be an Excluded Subsidiary.</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“Existing 2029 Notes” means the Issuers’ existing 5.125% Senior Notes due 2029.</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“Existing LV Notes” means the 2023 Notes, the 2025 Notes and the 2027 Notes.</w:t>
      </w:r>
    </w:p>
    <w:p>
      <w:pPr>
        <w:spacing w:after="0" w:line="24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“Expansion Capital Expenditures” means any capital expenditure by an Issuer or any of Guarantor in respect of the purchase, construction, or other acquisition of any fixed or capital assets or the refurbishment of existing assets or properties that, in Wynn Resorts Finance’s reasonable determination, adds to or improves (or is reasonably expected to add to or improve) the property of the Issuers and the Guarantors, excluding any such capital expenditures fully financed with net cash proceeds of an asset sale or casualty event and excluding capital expenditures made in the ordinary course made to maintain, repair, restore or refurbish the property of the Issuers and the Guarantors in its then existing state or to support the continuation of such Person’s day to day operations as then conducted.</w:t>
      </w:r>
    </w:p>
    <w:p>
      <w:pPr>
        <w:spacing w:after="0" w:line="20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“Fair Market Value” means the value that would be paid by a willing buyer to an unaffiliated willing seller in a transaction not involving distress or necessity of either party, determined in good faith by (1) an appropriate officer of Wynn Resorts Finance, in the case of any value equal to or less than $50.0 million or (2) the Board of Directors of Wynn Resorts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62" w:name="page63"/>
    <w:bookmarkEnd w:id="62"/>
    <w:p>
      <w:pPr>
        <w:spacing w:after="0"/>
        <w:rPr>
          <w:sz w:val="20"/>
          <w:szCs w:val="20"/>
          <w:color w:val="auto"/>
        </w:rPr>
      </w:pPr>
      <w:r>
        <w:rPr>
          <w:rFonts w:ascii="Arial" w:cs="Arial" w:eastAsia="Arial" w:hAnsi="Arial"/>
          <w:sz w:val="21"/>
          <w:szCs w:val="21"/>
          <w:color w:val="auto"/>
        </w:rPr>
        <w:t>Capital, in the event of any value greater than $50.0 million (in each case, unless otherwise provided in this Indenture).</w:t>
      </w:r>
    </w:p>
    <w:p>
      <w:pPr>
        <w:spacing w:after="0" w:line="25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“Funded Debt” means all Indebtedness of Wynn Resorts Finance or any Guarantor that (i) matures by its terms on, or is renewable at the option of any obligor thereon to, a date more than one year after the date of original issuance of such Indebtedness and (ii) ranks at least pari passu with the Notes or the applicable Note Guarantee.</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“Gaming Authority” means any agency, authority, board, bureau, commission, department, office or instrumentality of any nature whatsoever of the United States federal government, any foreign government, any state, province or city or other political subdivision or otherwise, whether on the Issue Date or thereafter in existence, including the Massachusetts Gaming Commission, the Nevada Gaming Commission, the Nevada Gaming Control Board, the Clark County Liquor and Gaming Licensing Board and any other applicable gaming regulatory authority or agency, in each case, with authority to regulate the sale or distribution of liquor or any gaming operation (or proposed gaming operation) owned, managed or operated by Wynn Resorts Finance or any of the Guarantors.</w:t>
      </w:r>
    </w:p>
    <w:p>
      <w:pPr>
        <w:spacing w:after="0" w:line="20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“Gaming Facility” means any gaming establishment, facility and other property or assets ancillary or related thereto or used in connection therewith, including, without limitation, any casinos, hotels, resorts, theaters, parking facilities, timeshare operations, retail shops, restaurants, other buildings, land, golf courses and other recreation and entertainment facilities, marinas, vessels and related equipment.</w:t>
      </w:r>
    </w:p>
    <w:p>
      <w:pPr>
        <w:spacing w:after="0" w:line="21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“Gaming Law” means the gaming laws, rules, regulations or ordinances of any jurisdiction or jurisdictions to which Wynn Resorts Finance or any of the Guarantors is, or may be, at any time subject.</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“Gaming License” means any license, permit, franchise or other authorization from any Gaming Authority necessary on the Issue Date or at any time thereafter to own, lease, operate or otherwise conduct the gaming business of Wynn Resorts Finance or any of the Guarantors.</w:t>
      </w:r>
    </w:p>
    <w:p>
      <w:pPr>
        <w:spacing w:after="0" w:line="21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“Global Note Legend” means the legend set forth in Section 2.06(f)(2), which is required to be placed on all Global Notes issued under this Indenture.</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“Global Notes” means each of the global Notes issued in accordance with Section 2.01 and substantially in the form of Exhibit A-1 attached hereto that, except as otherwise provided in Section 2.01(b) hereof, bear the Global Note Legend and that have the “Schedule of Exchanges of Interests in the Global Note” attached thereto, and that are deposited with or on behalf of and registered in the name of the Depositary.</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“Government Securities” means securities that are:</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(1) direct obligations of the United States of America for the timely payment of which its full faith and credit is pledged;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or</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63" w:name="page64"/>
    <w:bookmarkEnd w:id="63"/>
    <w:p>
      <w:pPr>
        <w:jc w:val="both"/>
        <w:ind w:firstLine="656"/>
        <w:spacing w:after="0" w:line="259" w:lineRule="auto"/>
        <w:tabs>
          <w:tab w:leader="none" w:pos="963" w:val="left"/>
        </w:tabs>
        <w:numPr>
          <w:ilvl w:val="0"/>
          <w:numId w:val="33"/>
        </w:numPr>
        <w:rPr>
          <w:rFonts w:ascii="Arial" w:cs="Arial" w:eastAsia="Arial" w:hAnsi="Arial"/>
          <w:sz w:val="21"/>
          <w:szCs w:val="21"/>
          <w:color w:val="auto"/>
        </w:rPr>
      </w:pPr>
      <w:r>
        <w:rPr>
          <w:rFonts w:ascii="Arial" w:cs="Arial" w:eastAsia="Arial" w:hAnsi="Arial"/>
          <w:sz w:val="21"/>
          <w:szCs w:val="21"/>
          <w:color w:val="auto"/>
        </w:rPr>
        <w:t>obligations of a Person controlled or supervised by and acting as an agency or instrumentality of the United States of America the timely payment of which is unconditionally guaranteed as a full faith and credit obligation by the United States of America; which, in either case, are not callable or redeemable at the option of the issuer thereof, and will include a depository receipt issued by a bank (as defined in Section 3(a)(2) of the Securities Act of 1933, as amended), as custodian with respect to any such Government Security or a specific payment of principal of or interest on any such Government Security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Government Security or the specific payment of principal of or interest on the Government Security evidenced by such depository receipt.</w:t>
      </w:r>
    </w:p>
    <w:p>
      <w:pPr>
        <w:spacing w:after="0" w:line="20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“Guarantee”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“Guarantor” means each of:</w:t>
      </w:r>
    </w:p>
    <w:p>
      <w:pPr>
        <w:spacing w:after="0" w:line="247" w:lineRule="exact"/>
        <w:rPr>
          <w:sz w:val="20"/>
          <w:szCs w:val="20"/>
          <w:color w:val="auto"/>
        </w:rPr>
      </w:pPr>
    </w:p>
    <w:p>
      <w:pPr>
        <w:ind w:left="960" w:hanging="304"/>
        <w:spacing w:after="0"/>
        <w:tabs>
          <w:tab w:leader="none" w:pos="9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Domestic Subsidiaries, other than Excluded Subsidiaries, and</w:t>
      </w:r>
    </w:p>
    <w:p>
      <w:pPr>
        <w:spacing w:after="0" w:line="246" w:lineRule="exact"/>
        <w:rPr>
          <w:rFonts w:ascii="Arial" w:cs="Arial" w:eastAsia="Arial" w:hAnsi="Arial"/>
          <w:sz w:val="22"/>
          <w:szCs w:val="22"/>
          <w:color w:val="auto"/>
        </w:rPr>
      </w:pPr>
    </w:p>
    <w:p>
      <w:pPr>
        <w:jc w:val="both"/>
        <w:ind w:firstLine="656"/>
        <w:spacing w:after="0" w:line="250" w:lineRule="auto"/>
        <w:tabs>
          <w:tab w:leader="none" w:pos="966" w:val="left"/>
        </w:tabs>
        <w:numPr>
          <w:ilvl w:val="0"/>
          <w:numId w:val="34"/>
        </w:numPr>
        <w:rPr>
          <w:rFonts w:ascii="Arial" w:cs="Arial" w:eastAsia="Arial" w:hAnsi="Arial"/>
          <w:sz w:val="22"/>
          <w:szCs w:val="22"/>
          <w:color w:val="auto"/>
        </w:rPr>
      </w:pPr>
      <w:r>
        <w:rPr>
          <w:rFonts w:ascii="Arial" w:cs="Arial" w:eastAsia="Arial" w:hAnsi="Arial"/>
          <w:sz w:val="22"/>
          <w:szCs w:val="22"/>
          <w:color w:val="auto"/>
        </w:rPr>
        <w:t>any other Person that provides a Guarantee by executing a supplemental indenture in accordance with the provisions of this Indenture, and, except to the extent the applicable Note Guarantee is released in accordance with Section 11.05 hereof, their respective successors and assigns (other than the Issuers). A Person shall cease to be a Guarantor following the release of its Note Guarantee as described in Section 11.05 hereof.</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“Hedging Obligations” means, with respect to any specified Person, the obligations of such Person under:</w:t>
      </w:r>
    </w:p>
    <w:p>
      <w:pPr>
        <w:spacing w:after="0" w:line="247" w:lineRule="exact"/>
        <w:rPr>
          <w:sz w:val="20"/>
          <w:szCs w:val="20"/>
          <w:color w:val="auto"/>
        </w:rPr>
      </w:pPr>
    </w:p>
    <w:p>
      <w:pPr>
        <w:ind w:firstLine="656"/>
        <w:spacing w:after="0" w:line="263" w:lineRule="auto"/>
        <w:tabs>
          <w:tab w:leader="none" w:pos="967" w:val="left"/>
        </w:tabs>
        <w:numPr>
          <w:ilvl w:val="0"/>
          <w:numId w:val="35"/>
        </w:numPr>
        <w:rPr>
          <w:rFonts w:ascii="Arial" w:cs="Arial" w:eastAsia="Arial" w:hAnsi="Arial"/>
          <w:sz w:val="22"/>
          <w:szCs w:val="22"/>
          <w:color w:val="auto"/>
        </w:rPr>
      </w:pPr>
      <w:r>
        <w:rPr>
          <w:rFonts w:ascii="Arial" w:cs="Arial" w:eastAsia="Arial" w:hAnsi="Arial"/>
          <w:sz w:val="22"/>
          <w:szCs w:val="22"/>
          <w:color w:val="auto"/>
        </w:rPr>
        <w:t>interest rate swap agreements (whether from fixed to floating or from floating to fixed), interest rate cap agreements and interest rate collar agreements;</w:t>
      </w:r>
    </w:p>
    <w:p>
      <w:pPr>
        <w:spacing w:after="0" w:line="201" w:lineRule="exact"/>
        <w:rPr>
          <w:rFonts w:ascii="Arial" w:cs="Arial" w:eastAsia="Arial" w:hAnsi="Arial"/>
          <w:sz w:val="22"/>
          <w:szCs w:val="22"/>
          <w:color w:val="auto"/>
        </w:rPr>
      </w:pPr>
    </w:p>
    <w:p>
      <w:pPr>
        <w:ind w:left="960" w:hanging="304"/>
        <w:spacing w:after="0"/>
        <w:tabs>
          <w:tab w:leader="none" w:pos="9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other agreements or arrangements designed to manage interest rates or interest rate risk; and</w:t>
      </w:r>
    </w:p>
    <w:p>
      <w:pPr>
        <w:spacing w:after="0" w:line="246" w:lineRule="exact"/>
        <w:rPr>
          <w:rFonts w:ascii="Arial" w:cs="Arial" w:eastAsia="Arial" w:hAnsi="Arial"/>
          <w:sz w:val="22"/>
          <w:szCs w:val="22"/>
          <w:color w:val="auto"/>
        </w:rPr>
      </w:pPr>
    </w:p>
    <w:p>
      <w:pPr>
        <w:ind w:firstLine="656"/>
        <w:spacing w:after="0" w:line="263" w:lineRule="auto"/>
        <w:tabs>
          <w:tab w:leader="none" w:pos="984" w:val="left"/>
        </w:tabs>
        <w:numPr>
          <w:ilvl w:val="0"/>
          <w:numId w:val="35"/>
        </w:numPr>
        <w:rPr>
          <w:rFonts w:ascii="Arial" w:cs="Arial" w:eastAsia="Arial" w:hAnsi="Arial"/>
          <w:sz w:val="22"/>
          <w:szCs w:val="22"/>
          <w:color w:val="auto"/>
        </w:rPr>
      </w:pPr>
      <w:r>
        <w:rPr>
          <w:rFonts w:ascii="Arial" w:cs="Arial" w:eastAsia="Arial" w:hAnsi="Arial"/>
          <w:sz w:val="22"/>
          <w:szCs w:val="22"/>
          <w:color w:val="auto"/>
        </w:rPr>
        <w:t>other agreements or arrangements designed to protect such Person against fluctuations in currency exchange rates and/or commodity prices.</w:t>
      </w:r>
    </w:p>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“Holder” or “holder” means any registered holder, from time to time, of the Notes. Only registered holders shall have any rights under this Indenture.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64" w:name="page65"/>
    <w:bookmarkEnd w:id="64"/>
    <w:p>
      <w:pPr>
        <w:jc w:val="both"/>
        <w:ind w:firstLine="648"/>
        <w:spacing w:after="0" w:line="250" w:lineRule="auto"/>
        <w:rPr>
          <w:sz w:val="20"/>
          <w:szCs w:val="20"/>
          <w:color w:val="auto"/>
        </w:rPr>
      </w:pPr>
      <w:r>
        <w:rPr>
          <w:rFonts w:ascii="Arial" w:cs="Arial" w:eastAsia="Arial" w:hAnsi="Arial"/>
          <w:sz w:val="22"/>
          <w:szCs w:val="22"/>
          <w:color w:val="auto"/>
        </w:rPr>
        <w:t>“IAI Global Note” means a Global Note substantially in the form of Exhibit A-1 hereto bearing the Global Note Legend and the Private Placement Legend and deposited with or on behalf of and registered in the name of the Depositary or its nominee that shall be issued in a denomination equal to the outstanding principal amount of the Notes sold to Institutional Accredited Investors.</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“Immaterial Subsidiary” means, as of any date, any Subsidiary whose total assets, as of that date, are less than $150.0 million; provided that a Subsidiary shall not be considered to be an Immaterial Subsidiary if it, directly or indirectly, guarantees or otherwise provides direct credit support for any Indebtedness of Wynn Resorts Finance.</w:t>
      </w:r>
    </w:p>
    <w:p>
      <w:pPr>
        <w:spacing w:after="0" w:line="2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“Indebtedness” means, with respect to any specified Person, any indebtedness of such Person (excluding accrued expenses and trade payables), whether or not contingent:</w:t>
      </w:r>
    </w:p>
    <w:p>
      <w:pPr>
        <w:spacing w:after="0" w:line="202" w:lineRule="exact"/>
        <w:rPr>
          <w:sz w:val="20"/>
          <w:szCs w:val="20"/>
          <w:color w:val="auto"/>
        </w:rPr>
      </w:pPr>
    </w:p>
    <w:p>
      <w:pPr>
        <w:ind w:left="960" w:hanging="304"/>
        <w:spacing w:after="0"/>
        <w:tabs>
          <w:tab w:leader="none" w:pos="9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in respect of borrowed money;</w:t>
      </w:r>
    </w:p>
    <w:p>
      <w:pPr>
        <w:spacing w:after="0" w:line="246" w:lineRule="exact"/>
        <w:rPr>
          <w:rFonts w:ascii="Arial" w:cs="Arial" w:eastAsia="Arial" w:hAnsi="Arial"/>
          <w:sz w:val="22"/>
          <w:szCs w:val="22"/>
          <w:color w:val="auto"/>
        </w:rPr>
      </w:pPr>
    </w:p>
    <w:p>
      <w:pPr>
        <w:ind w:firstLine="656"/>
        <w:spacing w:after="0" w:line="263" w:lineRule="auto"/>
        <w:tabs>
          <w:tab w:leader="none" w:pos="984" w:val="left"/>
        </w:tabs>
        <w:numPr>
          <w:ilvl w:val="0"/>
          <w:numId w:val="36"/>
        </w:numPr>
        <w:rPr>
          <w:rFonts w:ascii="Arial" w:cs="Arial" w:eastAsia="Arial" w:hAnsi="Arial"/>
          <w:sz w:val="22"/>
          <w:szCs w:val="22"/>
          <w:color w:val="auto"/>
        </w:rPr>
      </w:pPr>
      <w:r>
        <w:rPr>
          <w:rFonts w:ascii="Arial" w:cs="Arial" w:eastAsia="Arial" w:hAnsi="Arial"/>
          <w:sz w:val="22"/>
          <w:szCs w:val="22"/>
          <w:color w:val="auto"/>
        </w:rPr>
        <w:t>evidenced by bonds, notes, debentures or similar instruments or letters of credit (or reimbursement agreements in respect thereof);</w:t>
      </w:r>
    </w:p>
    <w:p>
      <w:pPr>
        <w:spacing w:after="0" w:line="201" w:lineRule="exact"/>
        <w:rPr>
          <w:rFonts w:ascii="Arial" w:cs="Arial" w:eastAsia="Arial" w:hAnsi="Arial"/>
          <w:sz w:val="22"/>
          <w:szCs w:val="22"/>
          <w:color w:val="auto"/>
        </w:rPr>
      </w:pPr>
    </w:p>
    <w:p>
      <w:pPr>
        <w:ind w:left="960" w:hanging="304"/>
        <w:spacing w:after="0"/>
        <w:tabs>
          <w:tab w:leader="none" w:pos="9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in respect of banker’s acceptances;</w:t>
      </w:r>
    </w:p>
    <w:p>
      <w:pPr>
        <w:spacing w:after="0" w:line="246" w:lineRule="exact"/>
        <w:rPr>
          <w:rFonts w:ascii="Arial" w:cs="Arial" w:eastAsia="Arial" w:hAnsi="Arial"/>
          <w:sz w:val="22"/>
          <w:szCs w:val="22"/>
          <w:color w:val="auto"/>
        </w:rPr>
      </w:pPr>
    </w:p>
    <w:p>
      <w:pPr>
        <w:ind w:left="960" w:hanging="304"/>
        <w:spacing w:after="0"/>
        <w:tabs>
          <w:tab w:leader="none" w:pos="9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representing a Capital Lease Obligation or Attributable Debt;</w:t>
      </w:r>
    </w:p>
    <w:p>
      <w:pPr>
        <w:spacing w:after="0" w:line="246" w:lineRule="exact"/>
        <w:rPr>
          <w:rFonts w:ascii="Arial" w:cs="Arial" w:eastAsia="Arial" w:hAnsi="Arial"/>
          <w:sz w:val="22"/>
          <w:szCs w:val="22"/>
          <w:color w:val="auto"/>
        </w:rPr>
      </w:pPr>
    </w:p>
    <w:p>
      <w:pPr>
        <w:ind w:firstLine="656"/>
        <w:spacing w:after="0" w:line="263" w:lineRule="auto"/>
        <w:tabs>
          <w:tab w:leader="none" w:pos="984" w:val="left"/>
        </w:tabs>
        <w:numPr>
          <w:ilvl w:val="0"/>
          <w:numId w:val="36"/>
        </w:numPr>
        <w:rPr>
          <w:rFonts w:ascii="Arial" w:cs="Arial" w:eastAsia="Arial" w:hAnsi="Arial"/>
          <w:sz w:val="22"/>
          <w:szCs w:val="22"/>
          <w:color w:val="auto"/>
        </w:rPr>
      </w:pPr>
      <w:r>
        <w:rPr>
          <w:rFonts w:ascii="Arial" w:cs="Arial" w:eastAsia="Arial" w:hAnsi="Arial"/>
          <w:sz w:val="22"/>
          <w:szCs w:val="22"/>
          <w:color w:val="auto"/>
        </w:rPr>
        <w:t>representing the balance deferred and unpaid of the purchase price of any property or services due more than six months after such property is acquired or such services are completed;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or</w:t>
      </w:r>
    </w:p>
    <w:p>
      <w:pPr>
        <w:spacing w:after="0" w:line="247" w:lineRule="exact"/>
        <w:rPr>
          <w:sz w:val="20"/>
          <w:szCs w:val="20"/>
          <w:color w:val="auto"/>
        </w:rPr>
      </w:pPr>
    </w:p>
    <w:p>
      <w:pPr>
        <w:jc w:val="both"/>
        <w:ind w:firstLine="656"/>
        <w:spacing w:after="0" w:line="297" w:lineRule="auto"/>
        <w:tabs>
          <w:tab w:leader="none" w:pos="980" w:val="left"/>
        </w:tabs>
        <w:numPr>
          <w:ilvl w:val="0"/>
          <w:numId w:val="37"/>
        </w:numPr>
        <w:rPr>
          <w:rFonts w:ascii="Arial" w:cs="Arial" w:eastAsia="Arial" w:hAnsi="Arial"/>
          <w:sz w:val="19"/>
          <w:szCs w:val="19"/>
          <w:color w:val="auto"/>
        </w:rPr>
      </w:pPr>
      <w:r>
        <w:rPr>
          <w:rFonts w:ascii="Arial" w:cs="Arial" w:eastAsia="Arial" w:hAnsi="Arial"/>
          <w:sz w:val="19"/>
          <w:szCs w:val="19"/>
          <w:color w:val="auto"/>
        </w:rPr>
        <w:t>representing any Hedging Obligations, if and to the extent any of the preceding items (other than letters of credit, Attributable Debt and Hedging Obligations) would appear as a liability upon a balance sheet of the specified Person prepared in accordance with US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amount of any Indebtedness outstanding as of any date shall be:</w:t>
      </w:r>
    </w:p>
    <w:p>
      <w:pPr>
        <w:spacing w:after="0" w:line="247" w:lineRule="exact"/>
        <w:rPr>
          <w:sz w:val="20"/>
          <w:szCs w:val="20"/>
          <w:color w:val="auto"/>
        </w:rPr>
      </w:pPr>
    </w:p>
    <w:p>
      <w:pPr>
        <w:ind w:left="960" w:hanging="304"/>
        <w:spacing w:after="0"/>
        <w:tabs>
          <w:tab w:leader="none" w:pos="960" w:val="left"/>
        </w:tabs>
        <w:numPr>
          <w:ilvl w:val="0"/>
          <w:numId w:val="38"/>
        </w:numPr>
        <w:rPr>
          <w:rFonts w:ascii="Arial" w:cs="Arial" w:eastAsia="Arial" w:hAnsi="Arial"/>
          <w:sz w:val="21"/>
          <w:szCs w:val="21"/>
          <w:color w:val="auto"/>
        </w:rPr>
      </w:pPr>
      <w:r>
        <w:rPr>
          <w:rFonts w:ascii="Arial" w:cs="Arial" w:eastAsia="Arial" w:hAnsi="Arial"/>
          <w:sz w:val="21"/>
          <w:szCs w:val="21"/>
          <w:color w:val="auto"/>
        </w:rPr>
        <w:t>the accreted value of the Indebtedness, in the case of any Indebtedness issued with original issue discount;</w:t>
      </w:r>
    </w:p>
    <w:p>
      <w:pPr>
        <w:spacing w:after="0" w:line="258" w:lineRule="exact"/>
        <w:rPr>
          <w:rFonts w:ascii="Arial" w:cs="Arial" w:eastAsia="Arial" w:hAnsi="Arial"/>
          <w:sz w:val="21"/>
          <w:szCs w:val="21"/>
          <w:color w:val="auto"/>
        </w:rPr>
      </w:pPr>
    </w:p>
    <w:p>
      <w:pPr>
        <w:ind w:firstLine="656"/>
        <w:spacing w:after="0" w:line="263" w:lineRule="auto"/>
        <w:tabs>
          <w:tab w:leader="none" w:pos="957"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principal amount of the Indebtedness, together with any interest on the Indebtedness that is more than 30 days past due, in the case of any other Indebtedness;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65" w:name="page66"/>
    <w:bookmarkEnd w:id="65"/>
    <w:p>
      <w:pPr>
        <w:ind w:firstLine="656"/>
        <w:spacing w:after="0" w:line="263" w:lineRule="auto"/>
        <w:tabs>
          <w:tab w:leader="none" w:pos="1006" w:val="left"/>
        </w:tabs>
        <w:numPr>
          <w:ilvl w:val="0"/>
          <w:numId w:val="39"/>
        </w:numPr>
        <w:rPr>
          <w:rFonts w:ascii="Arial" w:cs="Arial" w:eastAsia="Arial" w:hAnsi="Arial"/>
          <w:sz w:val="22"/>
          <w:szCs w:val="22"/>
          <w:color w:val="auto"/>
        </w:rPr>
      </w:pPr>
      <w:r>
        <w:rPr>
          <w:rFonts w:ascii="Arial" w:cs="Arial" w:eastAsia="Arial" w:hAnsi="Arial"/>
          <w:sz w:val="22"/>
          <w:szCs w:val="22"/>
          <w:color w:val="auto"/>
        </w:rPr>
        <w:t>in the case of a Guarantee of Indebtedness, the maximum amount of the Indebtedness guaranteed under such Guarantee; and</w:t>
      </w:r>
    </w:p>
    <w:p>
      <w:pPr>
        <w:spacing w:after="0" w:line="201" w:lineRule="exact"/>
        <w:rPr>
          <w:rFonts w:ascii="Arial" w:cs="Arial" w:eastAsia="Arial" w:hAnsi="Arial"/>
          <w:sz w:val="22"/>
          <w:szCs w:val="22"/>
          <w:color w:val="auto"/>
        </w:rPr>
      </w:pPr>
    </w:p>
    <w:p>
      <w:pPr>
        <w:ind w:left="960" w:hanging="304"/>
        <w:spacing w:after="0"/>
        <w:tabs>
          <w:tab w:leader="none" w:pos="960" w:val="left"/>
        </w:tabs>
        <w:numPr>
          <w:ilvl w:val="0"/>
          <w:numId w:val="39"/>
        </w:numPr>
        <w:rPr>
          <w:rFonts w:ascii="Arial" w:cs="Arial" w:eastAsia="Arial" w:hAnsi="Arial"/>
          <w:sz w:val="21"/>
          <w:szCs w:val="21"/>
          <w:color w:val="auto"/>
        </w:rPr>
      </w:pPr>
      <w:r>
        <w:rPr>
          <w:rFonts w:ascii="Arial" w:cs="Arial" w:eastAsia="Arial" w:hAnsi="Arial"/>
          <w:sz w:val="21"/>
          <w:szCs w:val="21"/>
          <w:color w:val="auto"/>
        </w:rPr>
        <w:t>in the case of Indebtedness of others secured by a Lien on any asset of the specified Person, the lesser of:</w:t>
      </w:r>
    </w:p>
    <w:p>
      <w:pPr>
        <w:spacing w:after="0" w:line="258" w:lineRule="exact"/>
        <w:rPr>
          <w:sz w:val="20"/>
          <w:szCs w:val="20"/>
          <w:color w:val="auto"/>
        </w:rPr>
      </w:pPr>
    </w:p>
    <w:p>
      <w:pPr>
        <w:ind w:firstLine="656"/>
        <w:spacing w:after="0" w:line="263" w:lineRule="auto"/>
        <w:tabs>
          <w:tab w:leader="none" w:pos="947"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face amount of such Indebtedness (plus, in the case of any letter of credit or similar instrument, the amount of any reimbursement obligations in respect thereof), and</w:t>
      </w:r>
    </w:p>
    <w:p>
      <w:pPr>
        <w:spacing w:after="0" w:line="201" w:lineRule="exact"/>
        <w:rPr>
          <w:rFonts w:ascii="Arial" w:cs="Arial" w:eastAsia="Arial" w:hAnsi="Arial"/>
          <w:sz w:val="22"/>
          <w:szCs w:val="22"/>
          <w:color w:val="auto"/>
        </w:rPr>
      </w:pPr>
    </w:p>
    <w:p>
      <w:pPr>
        <w:ind w:left="960" w:hanging="304"/>
        <w:spacing w:after="0"/>
        <w:tabs>
          <w:tab w:leader="none" w:pos="9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Fair Market Value of the asset(s) subject to such Lien.</w:t>
      </w:r>
    </w:p>
    <w:p>
      <w:pPr>
        <w:spacing w:after="0" w:line="2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Notwithstanding anything contained in this Indenture to the contrary, any obligation of the Issuers or Guarantors incurred in the ordinary course of business in respect of casino chips or similar instruments shall not constitute “Indebtedness” for any purpose under this Indenture.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“Indenture” means this Indenture, as amended or supplemented from time to time.</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“Indirect Participant” means a Person who holds a beneficial interest in a Global Note through a Participant.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“Initial Notes” means the first $600,000,000 aggregate principal amount of Notes issued under this Indenture on the Issue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“Institutional Accredited Investor” means an institution that is an “accredited investor” as defined in Rule 501(a)(1), (2), (3) or (7) under the Securities Act, who are not also QIBs.</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“Investment Grade” means a rating of Baa3 or better by Moody’s (or its equivalent under any successor rating categories of Moody’s), a rating of BBB- or better by S&amp;P (or its equivalent under any successor rating categories of S&amp;P) or the equivalent Investment Grade credit rating from any additional Rating Agency or Rating Agencies selected by Wynn Resorts Finance, as applicable.</w:t>
      </w:r>
    </w:p>
    <w:p>
      <w:pPr>
        <w:spacing w:after="0" w:line="21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“IP Licensing Fees” means any fees payable by an Issuer or a Guarantor to any Affiliate (other than an Issuer or a Guarantor) pursuant to (a) (i) that certain 2014 Intellectual Property Licensing Agreement, dated as of November 20, 2014, among Wynn Resorts Holdings, LLC, Wynn Resorts and Wynn Massachusetts Resort and (ii) that certain Intellectual Property Licensing Agreement, dated as of February 26, 2015, among Wynn Resorts, Wynn Resorts Holdings, LLC and Wynn Las Vegas,</w:t>
      </w:r>
    </w:p>
    <w:p>
      <w:pPr>
        <w:spacing w:after="0" w:line="3" w:lineRule="exact"/>
        <w:rPr>
          <w:sz w:val="20"/>
          <w:szCs w:val="20"/>
          <w:color w:val="auto"/>
        </w:rPr>
      </w:pPr>
    </w:p>
    <w:p>
      <w:pPr>
        <w:jc w:val="both"/>
        <w:ind w:firstLine="8"/>
        <w:spacing w:after="0" w:line="258" w:lineRule="auto"/>
        <w:tabs>
          <w:tab w:leader="none" w:pos="384"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that certain Intellectual Property License Agreement, dated as of September 19, 2009, among Wynn Resorts Holdings, LLC, Wynn Resorts, and Wynn Macau, Limited, and (iv) that certain Amended and Restated Intellectual Property License Agreement, dated as of September 19, 2009, by and among Wynn Resorts Holdings, LLC, Wynn Resorts, and Wynn Resorts (Macau), S.A. and (b) without duplication to any fees paid under any agreement described in clause (a), licensing agreements in form and substance substantially similar to any agreement described in clause (a).</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“Issue Date” means April 14, 2020.</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8" w:right="339" w:bottom="1440" w:gutter="0" w:footer="0" w:header="0"/>
        </w:sectPr>
      </w:pPr>
    </w:p>
    <w:bookmarkStart w:id="66" w:name="page67"/>
    <w:bookmarkEnd w:id="66"/>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“Issuers” means Wynn Resorts Finance and Wynn Resorts Capital.</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“Joint Venture” means any partnership, corporation or other entity, in which up to and including 50% of the partnership interests, outstanding Voting Stock or other Equity Interests is owned, directly or indirectly, by Wynn Resorts Finance and/or one or more of its Subsidiaries.</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“Legal Holiday” means a Saturday, a Sunday or a day on which banking institutions in the City of New York or at a place of payment are 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“Lien” means, with respect to any asset, (i) any mortgage, lien, pledge, charge, security interest or encumbrance of any kind in respect of such asset, whether or not filed, recorded or otherwise perfected under applicable law, including any conditional sale or other title retention agreement, (ii) any lease in the nature thereof, or (iii) any agreement to deliver a security interest in any asset. Notwithstanding the foregoing, the trust established and maintained for the sole purpose of holding title to an aircraft shall not be considered a Lien for purposes of this Indenture.</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“Long Derivative Instrument” 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spacing w:after="0" w:line="21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“Macau Resort” means the hotel towers, casino facilities and retail and convention spaces that are owned and/or operated by Affiliates of Wynn Resorts, in the Macau Special Administrative Region of the People’s Republic of China, which include Wynn Macau, Wynn Encore and Wynn Palace hotel towers, casino facilities and retail and convention spaces adjacent thereto.</w:t>
      </w:r>
    </w:p>
    <w:p>
      <w:pPr>
        <w:spacing w:after="0" w:line="16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“Management Fees” means (a) any fees, costs, expenses or reimbursements payable by an Issuer or a Guarantor to any Affiliate (other than an Issuer or a Guarantor) pursuant to (i) that certain Management Fee and Corporate Allocation Agreement, dated as of November 20, 2014, between Wynn Massachusetts Resort and Wynn Resorts and (ii) that certain Management Agreement, dated February 26, 2015, between Wynn Las Vegas and Wynn Resorts and (b) without duplication to any fees, costs, expenses or reimbursements paid or made under any agreement described in clause (a), management agreements in form and substance substantially similar to any agreement described in clause (a).</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“Minimum Cage Cash Amount” means, as of any date of determination, an amount equal to $15.0 million multiplied by the number of material Gaming Facilities (as determined by Wynn Resorts Finance in good faith) owned and operated by an Issuer or a Guarantor. For purposes of</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40" w:right="339" w:bottom="1440" w:gutter="0" w:footer="0" w:header="0"/>
        </w:sectPr>
      </w:pPr>
    </w:p>
    <w:bookmarkStart w:id="67" w:name="page68"/>
    <w:bookmarkEnd w:id="67"/>
    <w:p>
      <w:pPr>
        <w:jc w:val="both"/>
        <w:spacing w:after="0" w:line="253" w:lineRule="auto"/>
        <w:rPr>
          <w:sz w:val="20"/>
          <w:szCs w:val="20"/>
          <w:color w:val="auto"/>
        </w:rPr>
      </w:pPr>
      <w:r>
        <w:rPr>
          <w:rFonts w:ascii="Arial" w:cs="Arial" w:eastAsia="Arial" w:hAnsi="Arial"/>
          <w:sz w:val="22"/>
          <w:szCs w:val="22"/>
          <w:color w:val="auto"/>
        </w:rPr>
        <w:t>this definition, as of the 2029 Notes Issue Date each of (a) the Wynn Las Vegas Resort and Encore at Wynn Las Vegas (taken as a whole) and (b) the Wynn Massachusetts Resort shall count as material Gaming Facilities such that as of the 2029 Notes Issue Date the Minimum Cage Cash Amount shall be $30.0 million.</w:t>
      </w:r>
    </w:p>
    <w:p>
      <w:pPr>
        <w:spacing w:after="0" w:line="212"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“Moody’s” means Moody’s Investors Service, Inc., or any successor to its statistical rating business, except that any reference to a particular rating by Moody’s shall be deemed to be a reference to the corresponding rating by any such successor.</w:t>
      </w:r>
    </w:p>
    <w:p>
      <w:pPr>
        <w:spacing w:after="0" w:line="13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“Net Short” means, with respect to a Holder or Beneficial Owner, as of a date of determination, either (i) the value of its Short Derivative Instruments exceeds the sum of (x) the value of its Notes plus (y) the value of its Long Derivative Instruments as of such date of determination or (ii) it is reasonably expected that such would have been the case were a “Failure to Pay” or “Bankruptcy Credit Event” (each as defined in the 2014 ISDA Credit Derivatives Definitions) to have occurred with respect to an Issuer or any Guarantor immediately prior to such date of determination.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“Non-U.S. Person” means a Person who is not a U.S. Person.</w:t>
      </w:r>
    </w:p>
    <w:p>
      <w:pPr>
        <w:spacing w:after="0" w:line="2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“Note Guarantee” means the Guarantee, by each Guarantor of the Issuers’ obligations under this Indenture and the Notes, executed pursuant to the provisions of this Indenture.</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“Notes” has the meaning assigned to it in the preamble to this Indenture. The Initial Notes and the Additional Notes shall be treated as a single class for all purposes under this Indenture, and unless the context otherwise requires, all references to the Notes shall include the Initial Notes and any Additional Notes.</w:t>
      </w:r>
    </w:p>
    <w:p>
      <w:pPr>
        <w:spacing w:after="0" w:line="21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“Obligations”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“Officer” means:</w:t>
      </w:r>
    </w:p>
    <w:p>
      <w:pPr>
        <w:spacing w:after="0" w:line="247" w:lineRule="exact"/>
        <w:rPr>
          <w:sz w:val="20"/>
          <w:szCs w:val="20"/>
          <w:color w:val="auto"/>
        </w:rPr>
      </w:pPr>
    </w:p>
    <w:p>
      <w:pPr>
        <w:ind w:left="960" w:hanging="304"/>
        <w:spacing w:after="0"/>
        <w:tabs>
          <w:tab w:leader="none" w:pos="9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with respect to a corporation, a Designated Officer of such corporation;</w:t>
      </w:r>
    </w:p>
    <w:p>
      <w:pPr>
        <w:spacing w:after="0" w:line="246" w:lineRule="exact"/>
        <w:rPr>
          <w:rFonts w:ascii="Arial" w:cs="Arial" w:eastAsia="Arial" w:hAnsi="Arial"/>
          <w:sz w:val="22"/>
          <w:szCs w:val="22"/>
          <w:color w:val="auto"/>
        </w:rPr>
      </w:pPr>
    </w:p>
    <w:p>
      <w:pPr>
        <w:ind w:left="960" w:hanging="304"/>
        <w:spacing w:after="0"/>
        <w:tabs>
          <w:tab w:leader="none" w:pos="9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with respect to a partnership, a Designated Officer of the general partner of such partnership; and</w:t>
      </w:r>
    </w:p>
    <w:p>
      <w:pPr>
        <w:spacing w:after="0" w:line="246" w:lineRule="exact"/>
        <w:rPr>
          <w:rFonts w:ascii="Arial" w:cs="Arial" w:eastAsia="Arial" w:hAnsi="Arial"/>
          <w:sz w:val="22"/>
          <w:szCs w:val="22"/>
          <w:color w:val="auto"/>
        </w:rPr>
      </w:pPr>
    </w:p>
    <w:p>
      <w:pPr>
        <w:ind w:firstLine="656"/>
        <w:spacing w:after="0" w:line="263" w:lineRule="auto"/>
        <w:tabs>
          <w:tab w:leader="none" w:pos="973" w:val="left"/>
        </w:tabs>
        <w:numPr>
          <w:ilvl w:val="0"/>
          <w:numId w:val="42"/>
        </w:numPr>
        <w:rPr>
          <w:rFonts w:ascii="Arial" w:cs="Arial" w:eastAsia="Arial" w:hAnsi="Arial"/>
          <w:sz w:val="22"/>
          <w:szCs w:val="22"/>
          <w:color w:val="auto"/>
        </w:rPr>
      </w:pPr>
      <w:r>
        <w:rPr>
          <w:rFonts w:ascii="Arial" w:cs="Arial" w:eastAsia="Arial" w:hAnsi="Arial"/>
          <w:sz w:val="22"/>
          <w:szCs w:val="22"/>
          <w:color w:val="auto"/>
        </w:rPr>
        <w:t>with respect to a limited liability company, a Designated Officer of such limited liability company, or a Designated Officer of the manager or managing member of such limited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8" w:right="339" w:bottom="1440" w:gutter="0" w:footer="0" w:header="0"/>
        </w:sectPr>
      </w:pPr>
    </w:p>
    <w:bookmarkStart w:id="68" w:name="page69"/>
    <w:bookmarkEnd w:id="68"/>
    <w:p>
      <w:pPr>
        <w:spacing w:after="0"/>
        <w:rPr>
          <w:sz w:val="20"/>
          <w:szCs w:val="20"/>
          <w:color w:val="auto"/>
        </w:rPr>
      </w:pPr>
      <w:r>
        <w:rPr>
          <w:rFonts w:ascii="Arial" w:cs="Arial" w:eastAsia="Arial" w:hAnsi="Arial"/>
          <w:sz w:val="22"/>
          <w:szCs w:val="22"/>
          <w:color w:val="auto"/>
        </w:rPr>
        <w:t>liability company, as the case may be (or, if such manager or managing member is an individual, such individual).</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“Officers’ Certificate” means, with respect to any Person, a certificate signed on behalf of such Person by:</w:t>
      </w:r>
    </w:p>
    <w:p>
      <w:pPr>
        <w:spacing w:after="0" w:line="247" w:lineRule="exact"/>
        <w:rPr>
          <w:sz w:val="20"/>
          <w:szCs w:val="20"/>
          <w:color w:val="auto"/>
        </w:rPr>
      </w:pPr>
    </w:p>
    <w:p>
      <w:pPr>
        <w:ind w:left="960" w:hanging="304"/>
        <w:spacing w:after="0"/>
        <w:tabs>
          <w:tab w:leader="none" w:pos="9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with respect to a corporation, two Designated Officers of such corporation;</w:t>
      </w:r>
    </w:p>
    <w:p>
      <w:pPr>
        <w:spacing w:after="0" w:line="246" w:lineRule="exact"/>
        <w:rPr>
          <w:rFonts w:ascii="Arial" w:cs="Arial" w:eastAsia="Arial" w:hAnsi="Arial"/>
          <w:sz w:val="22"/>
          <w:szCs w:val="22"/>
          <w:color w:val="auto"/>
        </w:rPr>
      </w:pPr>
    </w:p>
    <w:p>
      <w:pPr>
        <w:ind w:left="960" w:hanging="304"/>
        <w:spacing w:after="0"/>
        <w:tabs>
          <w:tab w:leader="none" w:pos="9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with respect to a partnership, two Designated Officers of the general partner of such partnership; and</w:t>
      </w:r>
    </w:p>
    <w:p>
      <w:pPr>
        <w:spacing w:after="0" w:line="246" w:lineRule="exact"/>
        <w:rPr>
          <w:rFonts w:ascii="Arial" w:cs="Arial" w:eastAsia="Arial" w:hAnsi="Arial"/>
          <w:sz w:val="22"/>
          <w:szCs w:val="22"/>
          <w:color w:val="auto"/>
        </w:rPr>
      </w:pPr>
    </w:p>
    <w:p>
      <w:pPr>
        <w:jc w:val="both"/>
        <w:ind w:firstLine="656"/>
        <w:spacing w:after="0" w:line="253" w:lineRule="auto"/>
        <w:tabs>
          <w:tab w:leader="none" w:pos="980" w:val="left"/>
        </w:tabs>
        <w:numPr>
          <w:ilvl w:val="0"/>
          <w:numId w:val="43"/>
        </w:numPr>
        <w:rPr>
          <w:rFonts w:ascii="Arial" w:cs="Arial" w:eastAsia="Arial" w:hAnsi="Arial"/>
          <w:sz w:val="22"/>
          <w:szCs w:val="22"/>
          <w:color w:val="auto"/>
        </w:rPr>
      </w:pPr>
      <w:r>
        <w:rPr>
          <w:rFonts w:ascii="Arial" w:cs="Arial" w:eastAsia="Arial" w:hAnsi="Arial"/>
          <w:sz w:val="22"/>
          <w:szCs w:val="22"/>
          <w:color w:val="auto"/>
        </w:rPr>
        <w:t>with respect to a limited liability company, two Designated Officers of the manager or managing member of such limited liability company, as the case may be (or, if such manager or managing member is an individual, such individual), in each case, that meets the requirement of Section 14.05 hereof.</w:t>
      </w:r>
    </w:p>
    <w:p>
      <w:pPr>
        <w:spacing w:after="0" w:line="212"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“Opinion of Counsel” means an opinion from legal counsel that meets the requirements of Section 14.05 hereof. The counsel may be an employee of or counsel to Wynn Resorts Finance, any Guarantor, as the case may be.</w:t>
      </w:r>
    </w:p>
    <w:p>
      <w:pPr>
        <w:spacing w:after="0" w:line="178"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“Parent Entity” means (a) Wynn Resorts, (b) Wynn Resorts Holdings or (c) any entity that is or becomes a holding company or intermediary holding company for Wynn Resorts Holdings or Wynn Resorts Finance.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“Participant” means, with respect to the Depositary, a Person who has an account with the Depositary.</w:t>
      </w:r>
    </w:p>
    <w:p>
      <w:pPr>
        <w:spacing w:after="0" w:line="247"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“Permitted C-Corp. Conversion” means a transaction resulting in Wynn Resorts Finance or any of the Guarantors becoming a subchapter “C” corporation under the Code, so long as, in connection with such transaction:</w:t>
      </w:r>
    </w:p>
    <w:p>
      <w:pPr>
        <w:spacing w:after="0" w:line="178" w:lineRule="exact"/>
        <w:rPr>
          <w:sz w:val="20"/>
          <w:szCs w:val="20"/>
          <w:color w:val="auto"/>
        </w:rPr>
      </w:pPr>
    </w:p>
    <w:p>
      <w:pPr>
        <w:jc w:val="both"/>
        <w:ind w:firstLine="656"/>
        <w:spacing w:after="0" w:line="250" w:lineRule="auto"/>
        <w:tabs>
          <w:tab w:leader="none" w:pos="961"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subchapter “C” corporation resulting from such transaction is a corporation organized and existing under the laws of any state of the United States or the District of Columbia and the Beneficial Owners of the Equity Interests of the subchapter “C” corporation shall be the same, and shall be in the same percentages, as the Beneficial Owners of Equity Interests of the applicable entity immediately prior to such transaction;</w:t>
      </w:r>
    </w:p>
    <w:p>
      <w:pPr>
        <w:spacing w:after="0" w:line="214" w:lineRule="exact"/>
        <w:rPr>
          <w:rFonts w:ascii="Arial" w:cs="Arial" w:eastAsia="Arial" w:hAnsi="Arial"/>
          <w:sz w:val="22"/>
          <w:szCs w:val="22"/>
          <w:color w:val="auto"/>
        </w:rPr>
      </w:pPr>
    </w:p>
    <w:p>
      <w:pPr>
        <w:jc w:val="both"/>
        <w:ind w:firstLine="656"/>
        <w:spacing w:after="0" w:line="265" w:lineRule="auto"/>
        <w:tabs>
          <w:tab w:leader="none" w:pos="961" w:val="left"/>
        </w:tabs>
        <w:numPr>
          <w:ilvl w:val="0"/>
          <w:numId w:val="44"/>
        </w:numPr>
        <w:rPr>
          <w:rFonts w:ascii="Arial" w:cs="Arial" w:eastAsia="Arial" w:hAnsi="Arial"/>
          <w:sz w:val="21"/>
          <w:szCs w:val="21"/>
          <w:color w:val="auto"/>
        </w:rPr>
      </w:pPr>
      <w:r>
        <w:rPr>
          <w:rFonts w:ascii="Arial" w:cs="Arial" w:eastAsia="Arial" w:hAnsi="Arial"/>
          <w:sz w:val="21"/>
          <w:szCs w:val="21"/>
          <w:color w:val="auto"/>
        </w:rPr>
        <w:t>the subchapter “C” corporation resulting from such transaction assumes in writing all of the obligations, if any, of the applicable entity under (a) this Indenture, the Notes, and the Note Guarantees by the Guarantors and (b) all other documents and instruments to which such Person is a party (other than, in the case of clause (a) only, any documents and instruments that, individually or in the aggregate, are not material to the subchapter “C” corporation);</w:t>
      </w:r>
    </w:p>
    <w:p>
      <w:pPr>
        <w:spacing w:after="0" w:line="202" w:lineRule="exact"/>
        <w:rPr>
          <w:rFonts w:ascii="Arial" w:cs="Arial" w:eastAsia="Arial" w:hAnsi="Arial"/>
          <w:sz w:val="21"/>
          <w:szCs w:val="21"/>
          <w:color w:val="auto"/>
        </w:rPr>
      </w:pPr>
    </w:p>
    <w:p>
      <w:pPr>
        <w:ind w:left="960" w:hanging="304"/>
        <w:spacing w:after="0"/>
        <w:tabs>
          <w:tab w:leader="none" w:pos="9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Trustee is given not less than 45 days’ advance written notice of such transaction;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8" w:right="339" w:bottom="1440" w:gutter="0" w:footer="0" w:header="0"/>
        </w:sectPr>
      </w:pPr>
    </w:p>
    <w:bookmarkStart w:id="69" w:name="page70"/>
    <w:bookmarkEnd w:id="69"/>
    <w:p>
      <w:pPr>
        <w:ind w:left="960" w:hanging="304"/>
        <w:spacing w:after="0"/>
        <w:tabs>
          <w:tab w:leader="none" w:pos="9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such transaction would not cause or result in a Default or an Event of Default;</w:t>
      </w:r>
    </w:p>
    <w:p>
      <w:pPr>
        <w:spacing w:after="0" w:line="246" w:lineRule="exact"/>
        <w:rPr>
          <w:rFonts w:ascii="Arial" w:cs="Arial" w:eastAsia="Arial" w:hAnsi="Arial"/>
          <w:sz w:val="22"/>
          <w:szCs w:val="22"/>
          <w:color w:val="auto"/>
        </w:rPr>
      </w:pPr>
    </w:p>
    <w:p>
      <w:pPr>
        <w:ind w:firstLine="656"/>
        <w:spacing w:after="0" w:line="343" w:lineRule="auto"/>
        <w:tabs>
          <w:tab w:leader="none" w:pos="982" w:val="left"/>
        </w:tabs>
        <w:numPr>
          <w:ilvl w:val="0"/>
          <w:numId w:val="45"/>
        </w:numPr>
        <w:rPr>
          <w:rFonts w:ascii="Arial" w:cs="Arial" w:eastAsia="Arial" w:hAnsi="Arial"/>
          <w:sz w:val="19"/>
          <w:szCs w:val="19"/>
          <w:color w:val="auto"/>
        </w:rPr>
      </w:pPr>
      <w:r>
        <w:rPr>
          <w:rFonts w:ascii="Arial" w:cs="Arial" w:eastAsia="Arial" w:hAnsi="Arial"/>
          <w:sz w:val="19"/>
          <w:szCs w:val="19"/>
          <w:color w:val="auto"/>
        </w:rPr>
        <w:t>such transaction does not result in the loss or suspension or material impairment of any Gaming License unless a comparable Gaming License is effective prior to or simultaneously with such loss, suspension or material impairment;</w:t>
      </w:r>
    </w:p>
    <w:p>
      <w:pPr>
        <w:spacing w:after="0" w:line="131" w:lineRule="exact"/>
        <w:rPr>
          <w:rFonts w:ascii="Arial" w:cs="Arial" w:eastAsia="Arial" w:hAnsi="Arial"/>
          <w:sz w:val="19"/>
          <w:szCs w:val="19"/>
          <w:color w:val="auto"/>
        </w:rPr>
      </w:pPr>
    </w:p>
    <w:p>
      <w:pPr>
        <w:ind w:firstLine="656"/>
        <w:spacing w:after="0" w:line="263" w:lineRule="auto"/>
        <w:tabs>
          <w:tab w:leader="none" w:pos="982" w:val="left"/>
        </w:tabs>
        <w:numPr>
          <w:ilvl w:val="0"/>
          <w:numId w:val="45"/>
        </w:numPr>
        <w:rPr>
          <w:rFonts w:ascii="Arial" w:cs="Arial" w:eastAsia="Arial" w:hAnsi="Arial"/>
          <w:sz w:val="22"/>
          <w:szCs w:val="22"/>
          <w:color w:val="auto"/>
        </w:rPr>
      </w:pPr>
      <w:r>
        <w:rPr>
          <w:rFonts w:ascii="Arial" w:cs="Arial" w:eastAsia="Arial" w:hAnsi="Arial"/>
          <w:sz w:val="22"/>
          <w:szCs w:val="22"/>
          <w:color w:val="auto"/>
        </w:rPr>
        <w:t>such transaction does not require any Holder or Beneficial Owner of the Notes to obtain a Gaming License or be qualified or found suitable under the laws of any applicable gaming jurisdiction;</w:t>
      </w:r>
    </w:p>
    <w:p>
      <w:pPr>
        <w:spacing w:after="0" w:line="201" w:lineRule="exact"/>
        <w:rPr>
          <w:rFonts w:ascii="Arial" w:cs="Arial" w:eastAsia="Arial" w:hAnsi="Arial"/>
          <w:sz w:val="22"/>
          <w:szCs w:val="22"/>
          <w:color w:val="auto"/>
        </w:rPr>
      </w:pPr>
    </w:p>
    <w:p>
      <w:pPr>
        <w:jc w:val="both"/>
        <w:ind w:firstLine="656"/>
        <w:spacing w:after="0" w:line="250" w:lineRule="auto"/>
        <w:tabs>
          <w:tab w:leader="none" w:pos="982" w:val="left"/>
        </w:tabs>
        <w:numPr>
          <w:ilvl w:val="0"/>
          <w:numId w:val="45"/>
        </w:numPr>
        <w:rPr>
          <w:rFonts w:ascii="Arial" w:cs="Arial" w:eastAsia="Arial" w:hAnsi="Arial"/>
          <w:sz w:val="22"/>
          <w:szCs w:val="22"/>
          <w:color w:val="auto"/>
        </w:rPr>
      </w:pPr>
      <w:r>
        <w:rPr>
          <w:rFonts w:ascii="Arial" w:cs="Arial" w:eastAsia="Arial" w:hAnsi="Arial"/>
          <w:sz w:val="22"/>
          <w:szCs w:val="22"/>
          <w:color w:val="auto"/>
        </w:rPr>
        <w:t>Wynn Resorts Finance shall have delivered to the Trustee an Opinion of Counsel of national repute in the United States reasonably acceptable to the Trustee, confirming that neither Issuer, nor any Guarantor nor any of the Holders shall recognize income, gain or loss for United States federal or state income tax purposes as a result of such Permitted C-Corp. Conversion; and</w:t>
      </w:r>
    </w:p>
    <w:p>
      <w:pPr>
        <w:spacing w:after="0" w:line="214" w:lineRule="exact"/>
        <w:rPr>
          <w:rFonts w:ascii="Arial" w:cs="Arial" w:eastAsia="Arial" w:hAnsi="Arial"/>
          <w:sz w:val="22"/>
          <w:szCs w:val="22"/>
          <w:color w:val="auto"/>
        </w:rPr>
      </w:pPr>
    </w:p>
    <w:p>
      <w:pPr>
        <w:ind w:right="20" w:firstLine="656"/>
        <w:spacing w:after="0" w:line="263" w:lineRule="auto"/>
        <w:tabs>
          <w:tab w:leader="none" w:pos="9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Wynn Resorts Finance shall have delivered to the Trustee a certificate of the Chief Financial Officer of Wynn Resorts Finance confirming that the conditions in clauses (1) through (7) have been satisfied.</w:t>
      </w:r>
    </w:p>
    <w:p>
      <w:pPr>
        <w:spacing w:after="0" w:line="20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“Person” means any individual, corporation, partnership, joint venture, association, joint-stock company, trust, unincorporated organization, limited liability company or government or other entity.</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“Pre-Opening Expenses” means, with respect to any fiscal period, the amount of expenses (including Consolidated Interest Expense) incurred with respect to capital projects which are appropriately classified as “pre-opening expenses” on the applicable financial statements of the Issuers and the Guarantors for such period.</w:t>
      </w:r>
    </w:p>
    <w:p>
      <w:pPr>
        <w:spacing w:after="0" w:line="2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“Principal Property” means any real estate or other physical facility or depreciable asset or securities the net book value of which on the date of determination exceeds the greater of $25.0 million and 2.0% of the Total Assets.</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“Private Placement Legend” means the legend set forth in Section 2.06(g)(1) hereof to be placed on all Notes issued under this Indenture except where otherwise permitted by the provisions of this Indenture.</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“Property” means any right, title or interest in or to property or assets of any kind whatsoever, whether real, personal or mixed and whether tangible or intangible and including all contract rights, income or revenue rights, real property interests, trademarks, trade names, equipment and proceeds of the foregoing and, with respect to any Person, Equity Interests or other ownership interests of any other Person.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“QIB” means a “qualified institutional buyer” as defined in Rule 144A.</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8" w:right="339" w:bottom="1440" w:gutter="0" w:footer="0" w:header="0"/>
        </w:sectPr>
      </w:pPr>
    </w:p>
    <w:bookmarkStart w:id="70" w:name="page71"/>
    <w:bookmarkEnd w:id="70"/>
    <w:p>
      <w:pPr>
        <w:jc w:val="both"/>
        <w:ind w:firstLine="648"/>
        <w:spacing w:after="0" w:line="250" w:lineRule="auto"/>
        <w:rPr>
          <w:sz w:val="20"/>
          <w:szCs w:val="20"/>
          <w:color w:val="auto"/>
        </w:rPr>
      </w:pPr>
      <w:r>
        <w:rPr>
          <w:rFonts w:ascii="Arial" w:cs="Arial" w:eastAsia="Arial" w:hAnsi="Arial"/>
          <w:sz w:val="22"/>
          <w:szCs w:val="22"/>
          <w:color w:val="auto"/>
        </w:rPr>
        <w:t>“Qualifying Act of Terrorism” means (a) any Act of Terrorism which occurs on any property of Wynn Resorts Finance or its Affiliates or in which Wynn Resorts Finance or any of its Affiliates, or any property of any of them, is the target or (b) any Act of Terrorism which occurs at any gaming facility or material hospitality or entertainment establishment in any market in which Wynn Resorts Finance or any of its Affiliates operates a facility.</w:t>
      </w:r>
    </w:p>
    <w:p>
      <w:pPr>
        <w:spacing w:after="0" w:line="21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“Qualifying Project” means the facilities of Wynn Resorts and its Subsidiaries which are operating or for which the financing for the development, construction and opening thereof has been obtained. For purposes of this definition, each of the Wynn Las Vegas Resort, Encore at</w:t>
      </w:r>
    </w:p>
    <w:p>
      <w:pPr>
        <w:ind w:left="660"/>
        <w:spacing w:after="0"/>
        <w:rPr>
          <w:sz w:val="20"/>
          <w:szCs w:val="20"/>
          <w:color w:val="auto"/>
        </w:rPr>
      </w:pPr>
      <w:r>
        <w:rPr>
          <w:rFonts w:ascii="Arial" w:cs="Arial" w:eastAsia="Arial" w:hAnsi="Arial"/>
          <w:sz w:val="22"/>
          <w:szCs w:val="22"/>
          <w:color w:val="auto"/>
        </w:rPr>
        <w:t>Wynn Las Vegas, the Macau Resort and the Wynn Massachusetts Resort shall count as separate projects.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“Rating Agencies” means (a) each of Moody’s and S&amp;P; and (b) if either Moody’s or S&amp;P ceases to rate the Notes or fails to make a rating of the Notes publicly available for reasons outside of our control, a “nationally recognized statistical rating organization” within the meaning of Section 3(a)(62) of the Exchange Act selected by us (as certified by a resolution of Wynn Resorts Capital’s Board of Directors) as a replacement agency for Moody’s or S&amp;P, or each of them, as the case may be.</w:t>
      </w:r>
    </w:p>
    <w:p>
      <w:pPr>
        <w:spacing w:after="0" w:line="16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“Rating Categories” means (a) with respect to S&amp;P, any of the following categories: BB, B, CCC, CC, C and D (or equivalent successor categories); (b) with respect to Moody’s, any of the following categories: Ba, B, Caa, Ca, C and D (or equivalent successor categories); and (c) the equivalent of any such category of S&amp;P or Moody’s used by another Rating Agency selected by us. In determining whether the rating of the Notes has decreased by one or more gradations, gradations within Rating Categories ((i) + and—for S&amp;P; (ii) 1, 2 and 3 for Moody’s; and (iii) the equivalent gradations for another Rating Agency selected by us) shall be taken into account (e.g., with respect to S&amp;P, a decline in a rating from BB+ to BB, or from BB- to B+, will constitute a decrease of one gradation).</w:t>
      </w:r>
    </w:p>
    <w:p>
      <w:pPr>
        <w:spacing w:after="0" w:line="22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“Rating Date” means the date that is 60 days prior to the earlier of (a) a Change of Control or (b) public notice of the occurrence of a Change of Control or the intention by Wynn Resorts Finance to affect a Change of Control.</w:t>
      </w:r>
    </w:p>
    <w:p>
      <w:pPr>
        <w:spacing w:after="0" w:line="1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“Ratings Event” shall be deemed to occur if on, or within 60 days after the earlier of, (i) the occurrence of a Change of Control or (ii) public notice of the occurrence of a Change of Control or the intention by Wynn Resorts Finance to effect a Change of Control (which period shall be extended so long as the rating of the notes is under publicly announced consideration for a possible downgrade by any of the Rating Agencies):</w:t>
      </w:r>
    </w:p>
    <w:p>
      <w:pPr>
        <w:spacing w:after="0" w:line="215" w:lineRule="exact"/>
        <w:rPr>
          <w:sz w:val="20"/>
          <w:szCs w:val="20"/>
          <w:color w:val="auto"/>
        </w:rPr>
      </w:pPr>
    </w:p>
    <w:p>
      <w:pPr>
        <w:jc w:val="both"/>
        <w:ind w:firstLine="656"/>
        <w:spacing w:after="0" w:line="253" w:lineRule="auto"/>
        <w:tabs>
          <w:tab w:leader="none" w:pos="975"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rating of the Notes by each Rating Agency shall be decreased by one or more gradations to or within a Rating Category (including gradations within Rating Categories as well as between Rating Categories) as compared to the rating of the Notes on the Rating Date, and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28" w:right="339" w:bottom="1440" w:gutter="0" w:footer="0" w:header="0"/>
        </w:sectPr>
      </w:pPr>
    </w:p>
    <w:bookmarkStart w:id="71" w:name="page72"/>
    <w:bookmarkEnd w:id="71"/>
    <w:p>
      <w:pPr>
        <w:ind w:firstLine="656"/>
        <w:spacing w:after="0" w:line="287" w:lineRule="auto"/>
        <w:tabs>
          <w:tab w:leader="none" w:pos="964"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the Notes are rated below the respective rating of the Notes on the Issue Date by both Rating Agencies. On the Issue Date, Moody’s had assigned a rating of B1 to the Notes and S&amp;P had assigned a rating of BB to the Notes.</w:t>
      </w:r>
    </w:p>
    <w:p>
      <w:pPr>
        <w:spacing w:after="0" w:line="178"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“Recurring Dividend Amount” means, the amount of dividends paid to (or, at Wynn Resorts Finance’s option, declared to be paid to) Wynn Group Asia by its direct and Subsidiaries during the applicable Test Period in the amounts set forth below:</w:t>
      </w:r>
    </w:p>
    <w:p>
      <w:pPr>
        <w:spacing w:after="0" w:line="102"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1780" w:type="dxa"/>
            <w:vAlign w:val="bottom"/>
            <w:gridSpan w:val="2"/>
          </w:tcPr>
          <w:p>
            <w:pPr>
              <w:spacing w:after="0"/>
              <w:rPr>
                <w:sz w:val="20"/>
                <w:szCs w:val="20"/>
                <w:color w:val="auto"/>
              </w:rPr>
            </w:pPr>
            <w:r>
              <w:rPr>
                <w:rFonts w:ascii="Arial" w:cs="Arial" w:eastAsia="Arial" w:hAnsi="Arial"/>
                <w:sz w:val="22"/>
                <w:szCs w:val="22"/>
                <w:color w:val="auto"/>
                <w:w w:val="94"/>
              </w:rPr>
              <w:t>Test Period Ending</w:t>
            </w:r>
          </w:p>
        </w:tc>
        <w:tc>
          <w:tcPr>
            <w:tcW w:w="3420" w:type="dxa"/>
            <w:vAlign w:val="bottom"/>
            <w:gridSpan w:val="2"/>
          </w:tcPr>
          <w:p>
            <w:pPr>
              <w:jc w:val="right"/>
              <w:spacing w:after="0"/>
              <w:rPr>
                <w:sz w:val="20"/>
                <w:szCs w:val="20"/>
                <w:color w:val="auto"/>
              </w:rPr>
            </w:pPr>
            <w:r>
              <w:rPr>
                <w:rFonts w:ascii="Arial" w:cs="Arial" w:eastAsia="Arial" w:hAnsi="Arial"/>
                <w:sz w:val="22"/>
                <w:szCs w:val="22"/>
                <w:color w:val="auto"/>
                <w:w w:val="93"/>
              </w:rPr>
              <w:t>Recurring Dividend Amount (millions)</w:t>
            </w:r>
          </w:p>
        </w:tc>
      </w:tr>
      <w:tr>
        <w:trPr>
          <w:trHeight w:val="20"/>
        </w:trPr>
        <w:tc>
          <w:tcPr>
            <w:tcW w:w="1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r>
      <w:tr>
        <w:trPr>
          <w:trHeight w:val="269"/>
        </w:trPr>
        <w:tc>
          <w:tcPr>
            <w:tcW w:w="1780" w:type="dxa"/>
            <w:vAlign w:val="bottom"/>
            <w:gridSpan w:val="2"/>
          </w:tcPr>
          <w:p>
            <w:pPr>
              <w:spacing w:after="0"/>
              <w:rPr>
                <w:sz w:val="20"/>
                <w:szCs w:val="20"/>
                <w:color w:val="auto"/>
              </w:rPr>
            </w:pPr>
            <w:r>
              <w:rPr>
                <w:rFonts w:ascii="Arial" w:cs="Arial" w:eastAsia="Arial" w:hAnsi="Arial"/>
                <w:sz w:val="22"/>
                <w:szCs w:val="22"/>
                <w:color w:val="auto"/>
                <w:w w:val="88"/>
              </w:rPr>
              <w:t>September 30, 2019</w:t>
            </w:r>
          </w:p>
        </w:tc>
        <w:tc>
          <w:tcPr>
            <w:tcW w:w="3420" w:type="dxa"/>
            <w:vAlign w:val="bottom"/>
            <w:gridSpan w:val="2"/>
          </w:tcPr>
          <w:p>
            <w:pPr>
              <w:jc w:val="right"/>
              <w:ind w:right="2600"/>
              <w:spacing w:after="0"/>
              <w:rPr>
                <w:sz w:val="20"/>
                <w:szCs w:val="20"/>
                <w:color w:val="auto"/>
              </w:rPr>
            </w:pPr>
            <w:r>
              <w:rPr>
                <w:rFonts w:ascii="Arial" w:cs="Arial" w:eastAsia="Arial" w:hAnsi="Arial"/>
                <w:sz w:val="22"/>
                <w:szCs w:val="22"/>
                <w:color w:val="auto"/>
              </w:rPr>
              <w:t>$432.0</w:t>
            </w:r>
          </w:p>
        </w:tc>
      </w:tr>
      <w:tr>
        <w:trPr>
          <w:trHeight w:val="257"/>
        </w:trPr>
        <w:tc>
          <w:tcPr>
            <w:tcW w:w="1780" w:type="dxa"/>
            <w:vAlign w:val="bottom"/>
            <w:gridSpan w:val="2"/>
          </w:tcPr>
          <w:p>
            <w:pPr>
              <w:spacing w:after="0"/>
              <w:rPr>
                <w:sz w:val="20"/>
                <w:szCs w:val="20"/>
                <w:color w:val="auto"/>
              </w:rPr>
            </w:pPr>
            <w:r>
              <w:rPr>
                <w:rFonts w:ascii="Arial" w:cs="Arial" w:eastAsia="Arial" w:hAnsi="Arial"/>
                <w:sz w:val="22"/>
                <w:szCs w:val="22"/>
                <w:color w:val="auto"/>
                <w:w w:val="88"/>
              </w:rPr>
              <w:t>September 30, 2020</w:t>
            </w:r>
          </w:p>
        </w:tc>
        <w:tc>
          <w:tcPr>
            <w:tcW w:w="3420" w:type="dxa"/>
            <w:vAlign w:val="bottom"/>
            <w:gridSpan w:val="2"/>
          </w:tcPr>
          <w:p>
            <w:pPr>
              <w:jc w:val="right"/>
              <w:ind w:right="2600"/>
              <w:spacing w:after="0"/>
              <w:rPr>
                <w:sz w:val="20"/>
                <w:szCs w:val="20"/>
                <w:color w:val="auto"/>
              </w:rPr>
            </w:pPr>
            <w:r>
              <w:rPr>
                <w:rFonts w:ascii="Arial" w:cs="Arial" w:eastAsia="Arial" w:hAnsi="Arial"/>
                <w:sz w:val="22"/>
                <w:szCs w:val="22"/>
                <w:color w:val="auto"/>
              </w:rPr>
              <w:t>$475.0</w:t>
            </w:r>
          </w:p>
        </w:tc>
      </w:tr>
      <w:tr>
        <w:trPr>
          <w:trHeight w:val="257"/>
        </w:trPr>
        <w:tc>
          <w:tcPr>
            <w:tcW w:w="1780" w:type="dxa"/>
            <w:vAlign w:val="bottom"/>
            <w:gridSpan w:val="2"/>
          </w:tcPr>
          <w:p>
            <w:pPr>
              <w:spacing w:after="0"/>
              <w:rPr>
                <w:sz w:val="20"/>
                <w:szCs w:val="20"/>
                <w:color w:val="auto"/>
              </w:rPr>
            </w:pPr>
            <w:r>
              <w:rPr>
                <w:rFonts w:ascii="Arial" w:cs="Arial" w:eastAsia="Arial" w:hAnsi="Arial"/>
                <w:sz w:val="22"/>
                <w:szCs w:val="22"/>
                <w:color w:val="auto"/>
                <w:w w:val="88"/>
              </w:rPr>
              <w:t>September 30, 2021</w:t>
            </w:r>
          </w:p>
        </w:tc>
        <w:tc>
          <w:tcPr>
            <w:tcW w:w="3420" w:type="dxa"/>
            <w:vAlign w:val="bottom"/>
            <w:gridSpan w:val="2"/>
          </w:tcPr>
          <w:p>
            <w:pPr>
              <w:jc w:val="right"/>
              <w:ind w:right="2600"/>
              <w:spacing w:after="0"/>
              <w:rPr>
                <w:sz w:val="20"/>
                <w:szCs w:val="20"/>
                <w:color w:val="auto"/>
              </w:rPr>
            </w:pPr>
            <w:r>
              <w:rPr>
                <w:rFonts w:ascii="Arial" w:cs="Arial" w:eastAsia="Arial" w:hAnsi="Arial"/>
                <w:sz w:val="22"/>
                <w:szCs w:val="22"/>
                <w:color w:val="auto"/>
              </w:rPr>
              <w:t>$532.0</w:t>
            </w:r>
          </w:p>
        </w:tc>
      </w:tr>
      <w:tr>
        <w:trPr>
          <w:trHeight w:val="256"/>
        </w:trPr>
        <w:tc>
          <w:tcPr>
            <w:tcW w:w="1780" w:type="dxa"/>
            <w:vAlign w:val="bottom"/>
            <w:gridSpan w:val="2"/>
          </w:tcPr>
          <w:p>
            <w:pPr>
              <w:spacing w:after="0"/>
              <w:rPr>
                <w:sz w:val="20"/>
                <w:szCs w:val="20"/>
                <w:color w:val="auto"/>
              </w:rPr>
            </w:pPr>
            <w:r>
              <w:rPr>
                <w:rFonts w:ascii="Arial" w:cs="Arial" w:eastAsia="Arial" w:hAnsi="Arial"/>
                <w:sz w:val="22"/>
                <w:szCs w:val="22"/>
                <w:color w:val="auto"/>
                <w:w w:val="88"/>
              </w:rPr>
              <w:t>September 30, 2022</w:t>
            </w:r>
          </w:p>
        </w:tc>
        <w:tc>
          <w:tcPr>
            <w:tcW w:w="3420" w:type="dxa"/>
            <w:vAlign w:val="bottom"/>
            <w:gridSpan w:val="2"/>
          </w:tcPr>
          <w:p>
            <w:pPr>
              <w:jc w:val="right"/>
              <w:ind w:right="2600"/>
              <w:spacing w:after="0"/>
              <w:rPr>
                <w:sz w:val="20"/>
                <w:szCs w:val="20"/>
                <w:color w:val="auto"/>
              </w:rPr>
            </w:pPr>
            <w:r>
              <w:rPr>
                <w:rFonts w:ascii="Arial" w:cs="Arial" w:eastAsia="Arial" w:hAnsi="Arial"/>
                <w:sz w:val="22"/>
                <w:szCs w:val="22"/>
                <w:color w:val="auto"/>
              </w:rPr>
              <w:t>$575.0</w:t>
            </w:r>
          </w:p>
        </w:tc>
      </w:tr>
      <w:tr>
        <w:trPr>
          <w:trHeight w:val="274"/>
        </w:trPr>
        <w:tc>
          <w:tcPr>
            <w:tcW w:w="1780" w:type="dxa"/>
            <w:vAlign w:val="bottom"/>
            <w:gridSpan w:val="2"/>
          </w:tcPr>
          <w:p>
            <w:pPr>
              <w:spacing w:after="0"/>
              <w:rPr>
                <w:sz w:val="20"/>
                <w:szCs w:val="20"/>
                <w:color w:val="auto"/>
              </w:rPr>
            </w:pPr>
            <w:r>
              <w:rPr>
                <w:rFonts w:ascii="Arial" w:cs="Arial" w:eastAsia="Arial" w:hAnsi="Arial"/>
                <w:sz w:val="22"/>
                <w:szCs w:val="22"/>
                <w:color w:val="auto"/>
                <w:w w:val="88"/>
              </w:rPr>
              <w:t>September 30, 2023</w:t>
            </w:r>
          </w:p>
        </w:tc>
        <w:tc>
          <w:tcPr>
            <w:tcW w:w="3420" w:type="dxa"/>
            <w:vAlign w:val="bottom"/>
            <w:gridSpan w:val="2"/>
          </w:tcPr>
          <w:p>
            <w:pPr>
              <w:jc w:val="right"/>
              <w:ind w:right="2600"/>
              <w:spacing w:after="0"/>
              <w:rPr>
                <w:sz w:val="20"/>
                <w:szCs w:val="20"/>
                <w:color w:val="auto"/>
              </w:rPr>
            </w:pPr>
            <w:r>
              <w:rPr>
                <w:rFonts w:ascii="Arial" w:cs="Arial" w:eastAsia="Arial" w:hAnsi="Arial"/>
                <w:sz w:val="22"/>
                <w:szCs w:val="22"/>
                <w:color w:val="auto"/>
              </w:rPr>
              <w:t>$632.0</w:t>
            </w:r>
          </w:p>
        </w:tc>
      </w:tr>
    </w:tbl>
    <w:p>
      <w:pPr>
        <w:ind w:left="660"/>
        <w:spacing w:after="0"/>
        <w:rPr>
          <w:sz w:val="20"/>
          <w:szCs w:val="20"/>
          <w:color w:val="auto"/>
        </w:rPr>
      </w:pPr>
      <w:r>
        <w:rPr>
          <w:rFonts w:ascii="Arial" w:cs="Arial" w:eastAsia="Arial" w:hAnsi="Arial"/>
          <w:sz w:val="22"/>
          <w:szCs w:val="22"/>
          <w:color w:val="auto"/>
        </w:rPr>
        <w:t>September 30, 2024 and thereafter  $695.0</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“Regulated Bank” means (x) a banking organization with a consolidated combined capital and surplus of at least $5.0 billion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Federal Reserve Board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 or (y) any Affiliate of a Person set forth in clause (x) to the extent that (1) all of the Capital Stock of such Affiliate is directly or indirectly owned by either (I) such Person set forth in clause (x) or (II) a parent entity that also owns, directly or indirectly, all of the Capital Stock of such Person set forth in clause (x) and (2) such Affiliate is a securities broker or dealer registered with the SEC under Section 15 of the Exchange Act.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“Regulation S” means Regulation S promulgated under the Securities Act.</w:t>
      </w:r>
    </w:p>
    <w:p>
      <w:pPr>
        <w:spacing w:after="0" w:line="2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“Regulation S Global Note” means a Regulation S Temporary Global Note or Regulation S Permanent Global Note, as appropriate.</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“Regulation S Permanent Global Note” means a permanent Global Note in the form of Exhibit A-1 hereto bearing the Global Note Legend and the Private Placement Legend and deposited with or on behalf of and registered in the name of the Depositary or its nominee, issued in a denomination equal to the outstanding principal amount of the Regulation S Temporary Global Note upon expiration of the Restricted Period.</w:t>
      </w:r>
    </w:p>
    <w:p>
      <w:pPr>
        <w:spacing w:after="0" w:line="21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“Regulation S Temporary Global Note” means a temporary Global Note in the form of Exhibit A-2 hereto deposited with or on behalf of and registered in the name of the Depositary or its nominee, issued in a denomination equal to the outstanding principal amount of the Notes initially sold in reliance on Rule 903 of Regulation 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28" w:right="339" w:bottom="1440" w:gutter="0" w:footer="0" w:header="0"/>
        </w:sectPr>
      </w:pPr>
    </w:p>
    <w:bookmarkStart w:id="72" w:name="page73"/>
    <w:bookmarkEnd w:id="72"/>
    <w:p>
      <w:pPr>
        <w:spacing w:after="0" w:line="23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“Responsible Officer,” when used with respect to the Trustee, means any officer within the corporate trust department of the Trustee located at the Corporate Trust Office of the Trustee (or any successor group of the Trustee) or any other officer of the Trustee customarily performing functions similar to those performed by any of the above designated officers and who shall have direct responsibility for the administration of this Indenture, and also means, with respect to a particular corporate trust matter, any other officer to whom such matter is referred because of his knowledge of and familiarity with the particular subject.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“Restricted Definitive Note” means a Definitive Note bearing the Private Placement Legend.</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“Restricted Global Note” means a Global Note bearing the Private Placement Legend.</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“Restricted Period” means the 40-day distribution compliance period as defined in Regulation S.</w:t>
      </w:r>
    </w:p>
    <w:p>
      <w:pPr>
        <w:spacing w:after="0" w:line="24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“Restructuring” means, collectively, (i) the contribution by Wynn Resorts, Limited of all of its equity interests in Wynn Group Asia to Wynn Resorts Finance, making Wynn Group Asia a wholly-owned subsidiary of Wynn Resorts Finance and (ii) the contribution by Wynn Resorts Finance of all of its equity interests in Wynn MA, LLC and Everett Property, LLC to Wynn America Group, LLC, making each a wholly-owned subsidiary of Wynn America Group, LLC.</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“Revolving Credit Facility” means the first lien revolving credit facility in an aggregate principal amount of up to $850.0 million entered into on the 2029 Notes Issue Date by Wynn Resorts Finance.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“Rule 144” means Rule 144 promulgated under the Securities Act.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“Rule 144A” means Rule 144A promulgated under the Securities Act.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“Rule 903” means Rule 903 promulgated under the Securities Act.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“Rule 904” means Rule 904 promulgated under the Securities Act.</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“S&amp;P” means Standard &amp; Poor’s Rating Services, a division of the McGraw Hill Companies, Inc., or any successor to its statistical rating business, except that any reference to a particular rating by S&amp;P shall be deemed to be a reference to the corresponding rating by any such successor.</w:t>
      </w:r>
    </w:p>
    <w:p>
      <w:pPr>
        <w:spacing w:after="0" w:line="2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“Sale and Leaseback Transaction” means, with respect to any Person, an arrangement whereby such Person enters into a lease of property previously transferred by such Person to the lessor.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40" w:right="339" w:bottom="1440" w:gutter="0" w:footer="0" w:header="0"/>
        </w:sectPr>
      </w:pPr>
    </w:p>
    <w:bookmarkStart w:id="73" w:name="page74"/>
    <w:bookmarkEnd w:id="73"/>
    <w:p>
      <w:pPr>
        <w:jc w:val="both"/>
        <w:ind w:firstLine="648"/>
        <w:spacing w:after="0" w:line="292" w:lineRule="auto"/>
        <w:rPr>
          <w:sz w:val="20"/>
          <w:szCs w:val="20"/>
          <w:color w:val="auto"/>
        </w:rPr>
      </w:pPr>
      <w:r>
        <w:rPr>
          <w:rFonts w:ascii="Arial" w:cs="Arial" w:eastAsia="Arial" w:hAnsi="Arial"/>
          <w:sz w:val="19"/>
          <w:szCs w:val="19"/>
          <w:color w:val="auto"/>
        </w:rPr>
        <w:t>“Screened Affiliate” means any Affiliate of a Holder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Wynn Resorts Finance or its Subsidiaries, (iii) whose investment policies are not directed by such Holder or any other Affiliate of such Holder that is acting in concert with such Holder in connection with its investment in the Notes, and (iv) whose investment decisions are not influenced by the investment decisions of such Holder or any other Affiliate of such Holder that is acting in concert with such Holders in connection with its investment in the Notes.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 means the Securities and Exchange Commission.</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“Securities Act” means the Securities Act of 1933, as amended.</w:t>
      </w:r>
    </w:p>
    <w:p>
      <w:pPr>
        <w:spacing w:after="0" w:line="24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“Senior Credit Facilities” means the Revolving Credit Facility and the Term Facility, including, in each case, any related notes, mortgages, letters of credit, guarantees, collateral documents, instruments and agreements executed in connection therewith, and any appendices, exhibits, annexes or schedules to any of the foregoing (as the same may be in effect from time to time) and any amendments, supplements, modifications, extensions, renewals, restatements, refundings, exchanges or refinancings thereof (whether with the original agents and lenders or other agents or lenders or otherwise, and whether provided under the original credit agreement or other credit agreements or otherwise) and any indentures or credit facilities or commercial paper facilities with banks or other institutional lenders or investors that extend, replace, refund, exchange, refinance, renew or defease any part of the loans, notes, other credit facilities or commitments thereunder, including any such replacement, refunding, exchange or refinancing facility or indenture that increases the amount borrowable thereunder or alters the maturity thereof or adds Subsidiaries as additional borrowers or guarantors thereunder and whether by the same or any other agent, lender or group of lenders.</w:t>
      </w:r>
    </w:p>
    <w:p>
      <w:pPr>
        <w:spacing w:after="0" w:line="2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“Short Derivative Instrument”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w:t>
      </w:r>
    </w:p>
    <w:p>
      <w:pPr>
        <w:spacing w:after="0" w:line="21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“Specified Transaction” means any (a) incurrence or repayment of Indebtedness (other than for working capital purposes or under a revolving credit facility), (b) investment that results in a Person becoming a Guarantor, (c) acquisition, (d) asset sale, and (e) acquisition or investment constituting an acquisition of assets constituting a business unit, line of business or division of another Person. For the avoidance of doubt, the Transactions shall constitute a Specified Transaction.</w:t>
      </w:r>
    </w:p>
    <w:p>
      <w:pPr>
        <w:spacing w:after="0" w:line="16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“Stated Maturity” means, with respect to any installment of interest or principal on any series of Indebtedness, the date on which the payment of interest or principal was scheduled to be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28" w:right="339" w:bottom="1440" w:gutter="0" w:footer="0" w:header="0"/>
        </w:sectPr>
      </w:pPr>
    </w:p>
    <w:bookmarkStart w:id="74" w:name="page75"/>
    <w:bookmarkEnd w:id="74"/>
    <w:p>
      <w:pPr>
        <w:spacing w:after="0" w:line="343" w:lineRule="auto"/>
        <w:rPr>
          <w:sz w:val="20"/>
          <w:szCs w:val="20"/>
          <w:color w:val="auto"/>
        </w:rPr>
      </w:pPr>
      <w:r>
        <w:rPr>
          <w:rFonts w:ascii="Arial" w:cs="Arial" w:eastAsia="Arial" w:hAnsi="Arial"/>
          <w:sz w:val="19"/>
          <w:szCs w:val="19"/>
          <w:color w:val="auto"/>
        </w:rPr>
        <w:t>paid in the documentation governing such Indebtedness as of the Issue Date, and shall not include any contingent obligations to repay, redeem or repurchase any such interest or principal prior to the date originally scheduled for the payment thereof.</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“Subsidiary” means, with respect to any specified Person:</w:t>
      </w:r>
    </w:p>
    <w:p>
      <w:pPr>
        <w:spacing w:after="0" w:line="247" w:lineRule="exact"/>
        <w:rPr>
          <w:sz w:val="20"/>
          <w:szCs w:val="20"/>
          <w:color w:val="auto"/>
        </w:rPr>
      </w:pPr>
    </w:p>
    <w:p>
      <w:pPr>
        <w:jc w:val="both"/>
        <w:ind w:firstLine="656"/>
        <w:spacing w:after="0" w:line="263" w:lineRule="auto"/>
        <w:tabs>
          <w:tab w:leader="none" w:pos="971" w:val="left"/>
        </w:tabs>
        <w:numPr>
          <w:ilvl w:val="0"/>
          <w:numId w:val="48"/>
        </w:numPr>
        <w:rPr>
          <w:rFonts w:ascii="Arial" w:cs="Arial" w:eastAsia="Arial" w:hAnsi="Arial"/>
          <w:sz w:val="21"/>
          <w:szCs w:val="21"/>
          <w:color w:val="auto"/>
        </w:rPr>
      </w:pPr>
      <w:r>
        <w:rPr>
          <w:rFonts w:ascii="Arial" w:cs="Arial" w:eastAsia="Arial" w:hAnsi="Arial"/>
          <w:sz w:val="21"/>
          <w:szCs w:val="21"/>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202" w:lineRule="exact"/>
        <w:rPr>
          <w:rFonts w:ascii="Arial" w:cs="Arial" w:eastAsia="Arial" w:hAnsi="Arial"/>
          <w:sz w:val="21"/>
          <w:szCs w:val="21"/>
          <w:color w:val="auto"/>
        </w:rPr>
      </w:pPr>
    </w:p>
    <w:p>
      <w:pPr>
        <w:jc w:val="both"/>
        <w:ind w:firstLine="656"/>
        <w:spacing w:after="0" w:line="253" w:lineRule="auto"/>
        <w:tabs>
          <w:tab w:leader="none" w:pos="956" w:val="left"/>
        </w:tabs>
        <w:numPr>
          <w:ilvl w:val="0"/>
          <w:numId w:val="48"/>
        </w:numPr>
        <w:rPr>
          <w:rFonts w:ascii="Arial" w:cs="Arial" w:eastAsia="Arial" w:hAnsi="Arial"/>
          <w:sz w:val="22"/>
          <w:szCs w:val="22"/>
          <w:color w:val="auto"/>
        </w:rPr>
      </w:pPr>
      <w:r>
        <w:rPr>
          <w:rFonts w:ascii="Arial" w:cs="Arial" w:eastAsia="Arial" w:hAnsi="Arial"/>
          <w:sz w:val="22"/>
          <w:szCs w:val="22"/>
          <w:color w:val="auto"/>
        </w:rPr>
        <w:t>any partnership (a) the sole general partner or the managing general partner of which is such Person or a Subsidiary of such Person or (b) the only general partners of which are that Person or one or more Subsidiaries of that Person (or any combination thereof); or</w:t>
      </w:r>
    </w:p>
    <w:p>
      <w:pPr>
        <w:spacing w:after="0" w:line="212" w:lineRule="exact"/>
        <w:rPr>
          <w:rFonts w:ascii="Arial" w:cs="Arial" w:eastAsia="Arial" w:hAnsi="Arial"/>
          <w:sz w:val="22"/>
          <w:szCs w:val="22"/>
          <w:color w:val="auto"/>
        </w:rPr>
      </w:pPr>
    </w:p>
    <w:p>
      <w:pPr>
        <w:jc w:val="both"/>
        <w:ind w:right="20" w:firstLine="656"/>
        <w:spacing w:after="0" w:line="343" w:lineRule="auto"/>
        <w:tabs>
          <w:tab w:leader="none" w:pos="967" w:val="left"/>
        </w:tabs>
        <w:numPr>
          <w:ilvl w:val="0"/>
          <w:numId w:val="48"/>
        </w:numPr>
        <w:rPr>
          <w:rFonts w:ascii="Arial" w:cs="Arial" w:eastAsia="Arial" w:hAnsi="Arial"/>
          <w:sz w:val="19"/>
          <w:szCs w:val="19"/>
          <w:color w:val="auto"/>
        </w:rPr>
      </w:pPr>
      <w:r>
        <w:rPr>
          <w:rFonts w:ascii="Arial" w:cs="Arial" w:eastAsia="Arial" w:hAnsi="Arial"/>
          <w:sz w:val="19"/>
          <w:szCs w:val="19"/>
          <w:color w:val="auto"/>
        </w:rPr>
        <w:t>any limited liability company (a) the manager or managing member of which is such Person or a Subsidiary of such Person or (b) the only members of which are that Person or one or more Subsidiaries of that Person (or any combination thereof).</w:t>
      </w:r>
    </w:p>
    <w:p>
      <w:pPr>
        <w:spacing w:after="0" w:line="13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“Substituted Consolidated EBITDA” means with respect to any fiscal quarter, the greater of Consolidated EBITDA for the fiscal quarter (a) during the immediately preceding fiscal year</w:t>
      </w:r>
    </w:p>
    <w:p>
      <w:pPr>
        <w:spacing w:after="0" w:line="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corresponding to such fiscal quarter and (b) immediately preceding the fiscal quarter in which the applicable Qualifying Act of Terrorism shall have occurred, in each case subject to customary seasonal adjustments (as determined in good faith by Wynn Resorts Finance).</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“Term Facility” means the first lien term loan A facility in an aggregate principal amount of up to $1,000.0 million entered into on the 2029 Notes Issue Date by Wynn Resorts Finance.</w:t>
      </w:r>
    </w:p>
    <w:p>
      <w:pPr>
        <w:spacing w:after="0" w:line="20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“Test Period” means, for any date of determination, the period of the four most recently ended consecutive fiscal quarters of the Issuers and the Guarantors for which quarterly or annual financial statements have been delivered or are required to have been delivered to the trustee pursuant to the “Reports” covenant; provided that, solely for purposes of determining (x) adjustments to Consolidated EBITDA for purposes of clause (F) of the definition thereof, (y) Consolidated Net Income related to dividends and distributions paid or declared to Wynn Group Asia by its direct or indirect Subsidiaries for purposes of clause (c) of the definition thereof, and (z) the Recurring Dividend Amount, “Test Period” shall be deemed the period of the four most recently ended consecutive fiscal quarters of Wynn Resorts Finance and its Subsidiaries ending September 30 for which quarterly or annual financial statements have been delivered or are required to have been delivered to the trustee.</w:t>
      </w:r>
    </w:p>
    <w:p>
      <w:pPr>
        <w:spacing w:after="0" w:line="18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“Total Assets” means at any date, the total assets of Wynn Resorts Finance and the Guarantors at such date, determined on a consolidated basis in accordance with US GAAP.</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28" w:right="339" w:bottom="1440" w:gutter="0" w:footer="0" w:header="0"/>
        </w:sectPr>
      </w:pPr>
    </w:p>
    <w:bookmarkStart w:id="75" w:name="page76"/>
    <w:bookmarkEnd w:id="75"/>
    <w:p>
      <w:pPr>
        <w:spacing w:after="0" w:line="23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“Transactions” means, collectively, (a) the issuance of the Notes and (b) the payment of fees and expenses in connection with the foregoing.</w:t>
      </w:r>
    </w:p>
    <w:p>
      <w:pPr>
        <w:spacing w:after="0" w:line="20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“Treasury Rate” means, at the time of computation, the weekly average rounded to the nearest 1/100th of a percentage point (for the most recently completed week for which such information is available as of the date that is two business days prior to the date of redemption) of the yield to maturity of United States Treasury securities with a constant maturity (as compiled and published in Federal Reserve Statistical Release H.15 with respect to each applicable day during such week (or, if such Statistical Release is no longer published, any publicly available source or similar market data)) most nearly equal to the period from the redemption date to April 15, 2022; provided, however, that if the period from the redemption date to April 15, 2022 is not equal to the constant maturity of a United States Treasury security for which such a yield is given, the Treasury Rate shall be obtained by linear interpolation (calculated to the nearest one-twelfth of a year) from the weekly average yields of United States Treasury securities for which such yields are given, except that if the period from the redemption date to April 15, 2022 is less than one year, the weekly average yield on actually traded United States Treasury securities adjusted to a constant maturity of one year will be used.</w:t>
      </w:r>
    </w:p>
    <w:p>
      <w:pPr>
        <w:spacing w:after="0" w:line="20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“Trigger Event” means the transfer of shares of Equity Interests of any Subsidiary or any gaming facility into trust or other similar arrangement required by any Gaming Authority from time to time.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“Trust Indenture Act” means the Trust Indenture Act of 1939, as amended, as in effect of the Issue Date.</w:t>
      </w:r>
    </w:p>
    <w:p>
      <w:pPr>
        <w:spacing w:after="0" w:line="2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“Trustee” means the party named as such in the preamble to this Indenture until a successor replaces it in accordance with the applicable provisions of this Indenture and thereafter means the successor serving hereunder.</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“Unrestricted Operating Cash” means, as of any date of determination, cash and cash equivalents of the Issuers and the Guarantors that would not appear as “restricted” on a combined or consolidated balance sheet of the Issuers and the Guarantors in an amount in excess of the Minimum Cage Cash Amount and excluding cash and cash equivalents constituting dividends paid to Wynn Group Asia by its direct and indirect Subsidiaries.</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“Unrestricted Definitive Note” means a Definitive Note that does not bear and is not required to bear the Private Placement Legend.</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“Unrestricted Global Note” means a Global Note that does not bear and is not required to bear the Private Placement Legend.</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“US GAAP” means generally accepted accounting principles set forth in the opinions and pronouncements of the Accounting Principles Board of the American Institute of Certified Public Accountants and statements and pronouncements of the Financial Accounting Standards Board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40" w:right="339" w:bottom="1440" w:gutter="0" w:footer="0" w:header="0"/>
        </w:sectPr>
      </w:pPr>
    </w:p>
    <w:bookmarkStart w:id="76" w:name="page77"/>
    <w:bookmarkEnd w:id="76"/>
    <w:p>
      <w:pPr>
        <w:ind w:right="20"/>
        <w:spacing w:after="0" w:line="263" w:lineRule="auto"/>
        <w:rPr>
          <w:sz w:val="20"/>
          <w:szCs w:val="20"/>
          <w:color w:val="auto"/>
        </w:rPr>
      </w:pPr>
      <w:r>
        <w:rPr>
          <w:rFonts w:ascii="Arial" w:cs="Arial" w:eastAsia="Arial" w:hAnsi="Arial"/>
          <w:sz w:val="22"/>
          <w:szCs w:val="22"/>
          <w:color w:val="auto"/>
        </w:rPr>
        <w:t>or in such other statements by such other entity as have been approved by a significant segment of the accounting profession, which are in effect on the Issue Date.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“U.S. Person” means a U.S. Person as defined in Rule 902(k) promulgated under the Securities Act.</w:t>
      </w:r>
    </w:p>
    <w:p>
      <w:pPr>
        <w:spacing w:after="0" w:line="247"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“Voting Stock” of any Person as of any date means the Capital Stock of such Person that is at the time entitled to vote in the election of the Board of Directors of such Person.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“Wynn Group Asia” means Wynn Group Asia, Inc., a Nevada corporation.</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“Wynn Las Vegas” means Wynn Las Vegas, LLC, a Nevada limited liability company, or any successor thereto.</w:t>
      </w:r>
    </w:p>
    <w:p>
      <w:pPr>
        <w:spacing w:after="0" w:line="258"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“Wynn Massachusetts Resort” means the casino resort and related amenities owned and/or operated by Wynn Resorts Finance and its Subsidiaries in Everett, Massachusetts.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“Wynn Resorts” means Wynn Resorts, Limited, a Nevada corporation, or any successor thereto.</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“Wynn Resorts Capital” means Wynn Resorts Capital Corp., a Nevada corporation, or any successor thereto.</w:t>
      </w:r>
    </w:p>
    <w:p>
      <w:pPr>
        <w:spacing w:after="0" w:line="258"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“Wynn Resorts Finance” means Wynn Resorts Finance, LLC, a Nevada limited liability company, or any successor thereto.</w:t>
      </w:r>
    </w:p>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“Wynn Resorts Holdings” means Wynn Resorts Holdings, LLC, a Nevada limited liability company, or any successor thereto.</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Section 1.02 Other Definitions.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gridSpan w:val="2"/>
          </w:tcPr>
          <w:p>
            <w:pPr>
              <w:spacing w:after="0"/>
              <w:rPr>
                <w:sz w:val="20"/>
                <w:szCs w:val="20"/>
                <w:color w:val="auto"/>
              </w:rPr>
            </w:pPr>
            <w:r>
              <w:rPr>
                <w:rFonts w:ascii="Arial" w:cs="Arial" w:eastAsia="Arial" w:hAnsi="Arial"/>
                <w:sz w:val="22"/>
                <w:szCs w:val="22"/>
                <w:b w:val="1"/>
                <w:bCs w:val="1"/>
                <w:color w:val="auto"/>
              </w:rPr>
              <w:t>Term</w:t>
            </w:r>
          </w:p>
        </w:tc>
        <w:tc>
          <w:tcPr>
            <w:tcW w:w="1920" w:type="dxa"/>
            <w:vAlign w:val="bottom"/>
            <w:gridSpan w:val="4"/>
          </w:tcPr>
          <w:p>
            <w:pPr>
              <w:jc w:val="right"/>
              <w:ind w:right="132"/>
              <w:spacing w:after="0"/>
              <w:rPr>
                <w:sz w:val="20"/>
                <w:szCs w:val="20"/>
                <w:color w:val="auto"/>
              </w:rPr>
            </w:pPr>
            <w:r>
              <w:rPr>
                <w:rFonts w:ascii="Arial" w:cs="Arial" w:eastAsia="Arial" w:hAnsi="Arial"/>
                <w:sz w:val="22"/>
                <w:szCs w:val="22"/>
                <w:b w:val="1"/>
                <w:bCs w:val="1"/>
                <w:color w:val="auto"/>
                <w:w w:val="86"/>
              </w:rPr>
              <w:t>Defined in Section</w:t>
            </w: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9"/>
        </w:trPr>
        <w:tc>
          <w:tcPr>
            <w:tcW w:w="2400" w:type="dxa"/>
            <w:vAlign w:val="bottom"/>
            <w:gridSpan w:val="4"/>
          </w:tcPr>
          <w:p>
            <w:pPr>
              <w:spacing w:after="0"/>
              <w:rPr>
                <w:sz w:val="20"/>
                <w:szCs w:val="20"/>
                <w:color w:val="auto"/>
              </w:rPr>
            </w:pPr>
            <w:r>
              <w:rPr>
                <w:rFonts w:ascii="Arial" w:cs="Arial" w:eastAsia="Arial" w:hAnsi="Arial"/>
                <w:sz w:val="22"/>
                <w:szCs w:val="22"/>
                <w:color w:val="auto"/>
              </w:rPr>
              <w:t>“Authentication Order”</w:t>
            </w:r>
          </w:p>
        </w:tc>
        <w:tc>
          <w:tcPr>
            <w:tcW w:w="560" w:type="dxa"/>
            <w:vAlign w:val="bottom"/>
            <w:gridSpan w:val="2"/>
          </w:tcPr>
          <w:p>
            <w:pPr>
              <w:jc w:val="right"/>
              <w:spacing w:after="0"/>
              <w:rPr>
                <w:sz w:val="20"/>
                <w:szCs w:val="20"/>
                <w:color w:val="auto"/>
              </w:rPr>
            </w:pPr>
            <w:r>
              <w:rPr>
                <w:rFonts w:ascii="Arial" w:cs="Arial" w:eastAsia="Arial" w:hAnsi="Arial"/>
                <w:sz w:val="22"/>
                <w:szCs w:val="22"/>
                <w:color w:val="auto"/>
              </w:rPr>
              <w:t>2.02</w:t>
            </w: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6"/>
        </w:trPr>
        <w:tc>
          <w:tcPr>
            <w:tcW w:w="1740" w:type="dxa"/>
            <w:vAlign w:val="bottom"/>
            <w:gridSpan w:val="3"/>
          </w:tcPr>
          <w:p>
            <w:pPr>
              <w:spacing w:after="0"/>
              <w:rPr>
                <w:sz w:val="20"/>
                <w:szCs w:val="20"/>
                <w:color w:val="auto"/>
              </w:rPr>
            </w:pPr>
            <w:r>
              <w:rPr>
                <w:rFonts w:ascii="Arial" w:cs="Arial" w:eastAsia="Arial" w:hAnsi="Arial"/>
                <w:sz w:val="22"/>
                <w:szCs w:val="22"/>
                <w:color w:val="auto"/>
              </w:rPr>
              <w:t>“Beneficiary”</w:t>
            </w:r>
          </w:p>
        </w:tc>
        <w:tc>
          <w:tcPr>
            <w:tcW w:w="660" w:type="dxa"/>
            <w:vAlign w:val="bottom"/>
          </w:tcPr>
          <w:p>
            <w:pPr>
              <w:jc w:val="right"/>
              <w:ind w:right="52"/>
              <w:spacing w:after="0"/>
              <w:rPr>
                <w:sz w:val="20"/>
                <w:szCs w:val="20"/>
                <w:color w:val="auto"/>
              </w:rPr>
            </w:pPr>
            <w:r>
              <w:rPr>
                <w:rFonts w:ascii="Arial" w:cs="Arial" w:eastAsia="Arial" w:hAnsi="Arial"/>
                <w:sz w:val="22"/>
                <w:szCs w:val="22"/>
                <w:color w:val="auto"/>
                <w:w w:val="87"/>
              </w:rPr>
              <w:t>13.01</w:t>
            </w: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2400" w:type="dxa"/>
            <w:vAlign w:val="bottom"/>
            <w:gridSpan w:val="4"/>
          </w:tcPr>
          <w:p>
            <w:pPr>
              <w:spacing w:after="0"/>
              <w:rPr>
                <w:sz w:val="20"/>
                <w:szCs w:val="20"/>
                <w:color w:val="auto"/>
              </w:rPr>
            </w:pPr>
            <w:r>
              <w:rPr>
                <w:rFonts w:ascii="Arial" w:cs="Arial" w:eastAsia="Arial" w:hAnsi="Arial"/>
                <w:sz w:val="22"/>
                <w:szCs w:val="22"/>
                <w:color w:val="auto"/>
                <w:w w:val="95"/>
              </w:rPr>
              <w:t>“Change of Control Offer”</w:t>
            </w:r>
          </w:p>
        </w:tc>
        <w:tc>
          <w:tcPr>
            <w:tcW w:w="320" w:type="dxa"/>
            <w:vAlign w:val="bottom"/>
          </w:tcPr>
          <w:p>
            <w:pPr>
              <w:spacing w:after="0"/>
              <w:rPr>
                <w:sz w:val="22"/>
                <w:szCs w:val="22"/>
                <w:color w:val="auto"/>
              </w:rPr>
            </w:pPr>
          </w:p>
        </w:tc>
        <w:tc>
          <w:tcPr>
            <w:tcW w:w="700" w:type="dxa"/>
            <w:vAlign w:val="bottom"/>
            <w:gridSpan w:val="2"/>
          </w:tcPr>
          <w:p>
            <w:pPr>
              <w:ind w:left="40"/>
              <w:spacing w:after="0"/>
              <w:rPr>
                <w:sz w:val="20"/>
                <w:szCs w:val="20"/>
                <w:color w:val="auto"/>
              </w:rPr>
            </w:pPr>
            <w:r>
              <w:rPr>
                <w:rFonts w:ascii="Arial" w:cs="Arial" w:eastAsia="Arial" w:hAnsi="Arial"/>
                <w:sz w:val="22"/>
                <w:szCs w:val="22"/>
                <w:color w:val="auto"/>
                <w:w w:val="91"/>
              </w:rPr>
              <w:t>4.11(a)</w:t>
            </w:r>
          </w:p>
        </w:tc>
        <w:tc>
          <w:tcPr>
            <w:tcW w:w="900" w:type="dxa"/>
            <w:vAlign w:val="bottom"/>
          </w:tcPr>
          <w:p>
            <w:pPr>
              <w:spacing w:after="0"/>
              <w:rPr>
                <w:sz w:val="22"/>
                <w:szCs w:val="22"/>
                <w:color w:val="auto"/>
              </w:rPr>
            </w:pPr>
          </w:p>
        </w:tc>
      </w:tr>
      <w:tr>
        <w:trPr>
          <w:trHeight w:val="256"/>
        </w:trPr>
        <w:tc>
          <w:tcPr>
            <w:tcW w:w="2960" w:type="dxa"/>
            <w:vAlign w:val="bottom"/>
            <w:gridSpan w:val="6"/>
          </w:tcPr>
          <w:p>
            <w:pPr>
              <w:spacing w:after="0"/>
              <w:rPr>
                <w:sz w:val="20"/>
                <w:szCs w:val="20"/>
                <w:color w:val="auto"/>
              </w:rPr>
            </w:pPr>
            <w:r>
              <w:rPr>
                <w:rFonts w:ascii="Arial" w:cs="Arial" w:eastAsia="Arial" w:hAnsi="Arial"/>
                <w:sz w:val="22"/>
                <w:szCs w:val="22"/>
                <w:color w:val="auto"/>
              </w:rPr>
              <w:t>“Change of Control Payment”</w:t>
            </w:r>
          </w:p>
        </w:tc>
        <w:tc>
          <w:tcPr>
            <w:tcW w:w="1360" w:type="dxa"/>
            <w:vAlign w:val="bottom"/>
            <w:gridSpan w:val="2"/>
          </w:tcPr>
          <w:p>
            <w:pPr>
              <w:ind w:left="40"/>
              <w:spacing w:after="0"/>
              <w:rPr>
                <w:sz w:val="20"/>
                <w:szCs w:val="20"/>
                <w:color w:val="auto"/>
              </w:rPr>
            </w:pPr>
            <w:r>
              <w:rPr>
                <w:rFonts w:ascii="Arial" w:cs="Arial" w:eastAsia="Arial" w:hAnsi="Arial"/>
                <w:sz w:val="22"/>
                <w:szCs w:val="22"/>
                <w:color w:val="auto"/>
              </w:rPr>
              <w:t>4.11(a)</w:t>
            </w:r>
          </w:p>
        </w:tc>
      </w:tr>
      <w:tr>
        <w:trPr>
          <w:trHeight w:val="257"/>
        </w:trPr>
        <w:tc>
          <w:tcPr>
            <w:tcW w:w="3420" w:type="dxa"/>
            <w:vAlign w:val="bottom"/>
            <w:gridSpan w:val="7"/>
          </w:tcPr>
          <w:p>
            <w:pPr>
              <w:spacing w:after="0"/>
              <w:rPr>
                <w:sz w:val="20"/>
                <w:szCs w:val="20"/>
                <w:color w:val="auto"/>
              </w:rPr>
            </w:pPr>
            <w:r>
              <w:rPr>
                <w:rFonts w:ascii="Arial" w:cs="Arial" w:eastAsia="Arial" w:hAnsi="Arial"/>
                <w:sz w:val="22"/>
                <w:szCs w:val="22"/>
                <w:color w:val="auto"/>
              </w:rPr>
              <w:t>“Change of Control Payment Date”</w:t>
            </w:r>
          </w:p>
        </w:tc>
        <w:tc>
          <w:tcPr>
            <w:tcW w:w="900" w:type="dxa"/>
            <w:vAlign w:val="bottom"/>
          </w:tcPr>
          <w:p>
            <w:pPr>
              <w:ind w:left="40"/>
              <w:spacing w:after="0"/>
              <w:rPr>
                <w:sz w:val="20"/>
                <w:szCs w:val="20"/>
                <w:color w:val="auto"/>
              </w:rPr>
            </w:pPr>
            <w:r>
              <w:rPr>
                <w:rFonts w:ascii="Arial" w:cs="Arial" w:eastAsia="Arial" w:hAnsi="Arial"/>
                <w:sz w:val="22"/>
                <w:szCs w:val="22"/>
                <w:color w:val="auto"/>
                <w:w w:val="86"/>
              </w:rPr>
              <w:t>4.11(a)(2)</w:t>
            </w:r>
          </w:p>
        </w:tc>
      </w:tr>
      <w:tr>
        <w:trPr>
          <w:trHeight w:val="256"/>
        </w:trPr>
        <w:tc>
          <w:tcPr>
            <w:tcW w:w="2400" w:type="dxa"/>
            <w:vAlign w:val="bottom"/>
            <w:gridSpan w:val="4"/>
          </w:tcPr>
          <w:p>
            <w:pPr>
              <w:spacing w:after="0"/>
              <w:rPr>
                <w:sz w:val="20"/>
                <w:szCs w:val="20"/>
                <w:color w:val="auto"/>
              </w:rPr>
            </w:pPr>
            <w:r>
              <w:rPr>
                <w:rFonts w:ascii="Arial" w:cs="Arial" w:eastAsia="Arial" w:hAnsi="Arial"/>
                <w:sz w:val="22"/>
                <w:szCs w:val="22"/>
                <w:color w:val="auto"/>
              </w:rPr>
              <w:t>“Covenant Defeasance”</w:t>
            </w:r>
          </w:p>
        </w:tc>
        <w:tc>
          <w:tcPr>
            <w:tcW w:w="560" w:type="dxa"/>
            <w:vAlign w:val="bottom"/>
            <w:gridSpan w:val="2"/>
          </w:tcPr>
          <w:p>
            <w:pPr>
              <w:jc w:val="right"/>
              <w:spacing w:after="0"/>
              <w:rPr>
                <w:sz w:val="20"/>
                <w:szCs w:val="20"/>
                <w:color w:val="auto"/>
              </w:rPr>
            </w:pPr>
            <w:r>
              <w:rPr>
                <w:rFonts w:ascii="Arial" w:cs="Arial" w:eastAsia="Arial" w:hAnsi="Arial"/>
                <w:sz w:val="22"/>
                <w:szCs w:val="22"/>
                <w:color w:val="auto"/>
              </w:rPr>
              <w:t>8.03</w:t>
            </w: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1740" w:type="dxa"/>
            <w:vAlign w:val="bottom"/>
            <w:gridSpan w:val="3"/>
          </w:tcPr>
          <w:p>
            <w:pPr>
              <w:spacing w:after="0"/>
              <w:rPr>
                <w:sz w:val="20"/>
                <w:szCs w:val="20"/>
                <w:color w:val="auto"/>
              </w:rPr>
            </w:pPr>
            <w:r>
              <w:rPr>
                <w:rFonts w:ascii="Arial" w:cs="Arial" w:eastAsia="Arial" w:hAnsi="Arial"/>
                <w:sz w:val="22"/>
                <w:szCs w:val="22"/>
                <w:color w:val="auto"/>
                <w:w w:val="99"/>
              </w:rPr>
              <w:t>“Directing Holder”</w:t>
            </w:r>
          </w:p>
        </w:tc>
        <w:tc>
          <w:tcPr>
            <w:tcW w:w="980" w:type="dxa"/>
            <w:vAlign w:val="bottom"/>
            <w:gridSpan w:val="2"/>
          </w:tcPr>
          <w:p>
            <w:pPr>
              <w:jc w:val="right"/>
              <w:ind w:right="72"/>
              <w:spacing w:after="0"/>
              <w:rPr>
                <w:sz w:val="20"/>
                <w:szCs w:val="20"/>
                <w:color w:val="auto"/>
              </w:rPr>
            </w:pPr>
            <w:r>
              <w:rPr>
                <w:rFonts w:ascii="Arial" w:cs="Arial" w:eastAsia="Arial" w:hAnsi="Arial"/>
                <w:sz w:val="22"/>
                <w:szCs w:val="22"/>
                <w:color w:val="auto"/>
              </w:rPr>
              <w:t>6.06</w:t>
            </w: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1040" w:type="dxa"/>
            <w:vAlign w:val="bottom"/>
            <w:gridSpan w:val="2"/>
          </w:tcPr>
          <w:p>
            <w:pPr>
              <w:spacing w:after="0"/>
              <w:rPr>
                <w:sz w:val="20"/>
                <w:szCs w:val="20"/>
                <w:color w:val="auto"/>
              </w:rPr>
            </w:pPr>
            <w:r>
              <w:rPr>
                <w:rFonts w:ascii="Arial" w:cs="Arial" w:eastAsia="Arial" w:hAnsi="Arial"/>
                <w:sz w:val="22"/>
                <w:szCs w:val="22"/>
                <w:color w:val="auto"/>
              </w:rPr>
              <w:t>“DTC”</w:t>
            </w:r>
          </w:p>
        </w:tc>
        <w:tc>
          <w:tcPr>
            <w:tcW w:w="700" w:type="dxa"/>
            <w:vAlign w:val="bottom"/>
          </w:tcPr>
          <w:p>
            <w:pPr>
              <w:jc w:val="right"/>
              <w:ind w:right="32"/>
              <w:spacing w:after="0"/>
              <w:rPr>
                <w:sz w:val="20"/>
                <w:szCs w:val="20"/>
                <w:color w:val="auto"/>
              </w:rPr>
            </w:pPr>
            <w:r>
              <w:rPr>
                <w:rFonts w:ascii="Arial" w:cs="Arial" w:eastAsia="Arial" w:hAnsi="Arial"/>
                <w:sz w:val="22"/>
                <w:szCs w:val="22"/>
                <w:color w:val="auto"/>
              </w:rPr>
              <w:t>2.03</w:t>
            </w: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6"/>
        </w:trPr>
        <w:tc>
          <w:tcPr>
            <w:tcW w:w="1740" w:type="dxa"/>
            <w:vAlign w:val="bottom"/>
            <w:gridSpan w:val="3"/>
          </w:tcPr>
          <w:p>
            <w:pPr>
              <w:spacing w:after="0"/>
              <w:rPr>
                <w:sz w:val="20"/>
                <w:szCs w:val="20"/>
                <w:color w:val="auto"/>
              </w:rPr>
            </w:pPr>
            <w:r>
              <w:rPr>
                <w:rFonts w:ascii="Arial" w:cs="Arial" w:eastAsia="Arial" w:hAnsi="Arial"/>
                <w:sz w:val="22"/>
                <w:szCs w:val="22"/>
                <w:color w:val="auto"/>
              </w:rPr>
              <w:t>“Initial Default”</w:t>
            </w:r>
          </w:p>
        </w:tc>
        <w:tc>
          <w:tcPr>
            <w:tcW w:w="660" w:type="dxa"/>
            <w:vAlign w:val="bottom"/>
          </w:tcPr>
          <w:p>
            <w:pPr>
              <w:jc w:val="right"/>
              <w:ind w:right="12"/>
              <w:spacing w:after="0"/>
              <w:rPr>
                <w:sz w:val="20"/>
                <w:szCs w:val="20"/>
                <w:color w:val="auto"/>
              </w:rPr>
            </w:pPr>
            <w:r>
              <w:rPr>
                <w:rFonts w:ascii="Arial" w:cs="Arial" w:eastAsia="Arial" w:hAnsi="Arial"/>
                <w:sz w:val="22"/>
                <w:szCs w:val="22"/>
                <w:color w:val="auto"/>
              </w:rPr>
              <w:t>6.01</w:t>
            </w: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1740" w:type="dxa"/>
            <w:vAlign w:val="bottom"/>
            <w:gridSpan w:val="3"/>
          </w:tcPr>
          <w:p>
            <w:pPr>
              <w:spacing w:after="0"/>
              <w:rPr>
                <w:sz w:val="20"/>
                <w:szCs w:val="20"/>
                <w:color w:val="auto"/>
              </w:rPr>
            </w:pPr>
            <w:r>
              <w:rPr>
                <w:rFonts w:ascii="Arial" w:cs="Arial" w:eastAsia="Arial" w:hAnsi="Arial"/>
                <w:sz w:val="22"/>
                <w:szCs w:val="22"/>
                <w:color w:val="auto"/>
                <w:w w:val="89"/>
              </w:rPr>
              <w:t>“Legal Defeasance”</w:t>
            </w:r>
          </w:p>
        </w:tc>
        <w:tc>
          <w:tcPr>
            <w:tcW w:w="980" w:type="dxa"/>
            <w:vAlign w:val="bottom"/>
            <w:gridSpan w:val="2"/>
          </w:tcPr>
          <w:p>
            <w:pPr>
              <w:jc w:val="right"/>
              <w:ind w:right="12"/>
              <w:spacing w:after="0"/>
              <w:rPr>
                <w:sz w:val="20"/>
                <w:szCs w:val="20"/>
                <w:color w:val="auto"/>
              </w:rPr>
            </w:pPr>
            <w:r>
              <w:rPr>
                <w:rFonts w:ascii="Arial" w:cs="Arial" w:eastAsia="Arial" w:hAnsi="Arial"/>
                <w:sz w:val="22"/>
                <w:szCs w:val="22"/>
                <w:color w:val="auto"/>
              </w:rPr>
              <w:t>8.02</w:t>
            </w: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6"/>
        </w:trPr>
        <w:tc>
          <w:tcPr>
            <w:tcW w:w="2400" w:type="dxa"/>
            <w:vAlign w:val="bottom"/>
            <w:gridSpan w:val="4"/>
          </w:tcPr>
          <w:p>
            <w:pPr>
              <w:spacing w:after="0"/>
              <w:rPr>
                <w:sz w:val="20"/>
                <w:szCs w:val="20"/>
                <w:color w:val="auto"/>
              </w:rPr>
            </w:pPr>
            <w:r>
              <w:rPr>
                <w:rFonts w:ascii="Arial" w:cs="Arial" w:eastAsia="Arial" w:hAnsi="Arial"/>
                <w:sz w:val="22"/>
                <w:szCs w:val="22"/>
                <w:color w:val="auto"/>
              </w:rPr>
              <w:t>“Noteholder Direction”</w:t>
            </w:r>
          </w:p>
        </w:tc>
        <w:tc>
          <w:tcPr>
            <w:tcW w:w="560" w:type="dxa"/>
            <w:vAlign w:val="bottom"/>
            <w:gridSpan w:val="2"/>
          </w:tcPr>
          <w:p>
            <w:pPr>
              <w:jc w:val="right"/>
              <w:spacing w:after="0"/>
              <w:rPr>
                <w:sz w:val="20"/>
                <w:szCs w:val="20"/>
                <w:color w:val="auto"/>
              </w:rPr>
            </w:pPr>
            <w:r>
              <w:rPr>
                <w:rFonts w:ascii="Arial" w:cs="Arial" w:eastAsia="Arial" w:hAnsi="Arial"/>
                <w:sz w:val="22"/>
                <w:szCs w:val="22"/>
                <w:color w:val="auto"/>
              </w:rPr>
              <w:t>6.06</w:t>
            </w: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1740" w:type="dxa"/>
            <w:vAlign w:val="bottom"/>
            <w:gridSpan w:val="3"/>
          </w:tcPr>
          <w:p>
            <w:pPr>
              <w:spacing w:after="0"/>
              <w:rPr>
                <w:sz w:val="20"/>
                <w:szCs w:val="20"/>
                <w:color w:val="auto"/>
              </w:rPr>
            </w:pPr>
            <w:r>
              <w:rPr>
                <w:rFonts w:ascii="Arial" w:cs="Arial" w:eastAsia="Arial" w:hAnsi="Arial"/>
                <w:sz w:val="22"/>
                <w:szCs w:val="22"/>
                <w:color w:val="auto"/>
                <w:w w:val="96"/>
              </w:rPr>
              <w:t>“Note Obligations”</w:t>
            </w:r>
          </w:p>
        </w:tc>
        <w:tc>
          <w:tcPr>
            <w:tcW w:w="1220" w:type="dxa"/>
            <w:vAlign w:val="bottom"/>
            <w:gridSpan w:val="3"/>
          </w:tcPr>
          <w:p>
            <w:pPr>
              <w:jc w:val="right"/>
              <w:spacing w:after="0"/>
              <w:rPr>
                <w:sz w:val="20"/>
                <w:szCs w:val="20"/>
                <w:color w:val="auto"/>
              </w:rPr>
            </w:pPr>
            <w:r>
              <w:rPr>
                <w:rFonts w:ascii="Arial" w:cs="Arial" w:eastAsia="Arial" w:hAnsi="Arial"/>
                <w:sz w:val="22"/>
                <w:szCs w:val="22"/>
                <w:color w:val="auto"/>
              </w:rPr>
              <w:t>13.01(b)</w:t>
            </w: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4"/>
        </w:trPr>
        <w:tc>
          <w:tcPr>
            <w:tcW w:w="1740" w:type="dxa"/>
            <w:vAlign w:val="bottom"/>
            <w:gridSpan w:val="3"/>
          </w:tcPr>
          <w:p>
            <w:pPr>
              <w:spacing w:after="0"/>
              <w:rPr>
                <w:sz w:val="20"/>
                <w:szCs w:val="20"/>
                <w:color w:val="auto"/>
              </w:rPr>
            </w:pPr>
            <w:r>
              <w:rPr>
                <w:rFonts w:ascii="Arial" w:cs="Arial" w:eastAsia="Arial" w:hAnsi="Arial"/>
                <w:sz w:val="22"/>
                <w:szCs w:val="22"/>
                <w:color w:val="auto"/>
              </w:rPr>
              <w:t>“Paying Agent”</w:t>
            </w:r>
          </w:p>
        </w:tc>
        <w:tc>
          <w:tcPr>
            <w:tcW w:w="660" w:type="dxa"/>
            <w:vAlign w:val="bottom"/>
          </w:tcPr>
          <w:p>
            <w:pPr>
              <w:jc w:val="right"/>
              <w:ind w:right="52"/>
              <w:spacing w:after="0"/>
              <w:rPr>
                <w:sz w:val="20"/>
                <w:szCs w:val="20"/>
                <w:color w:val="auto"/>
              </w:rPr>
            </w:pPr>
            <w:r>
              <w:rPr>
                <w:rFonts w:ascii="Arial" w:cs="Arial" w:eastAsia="Arial" w:hAnsi="Arial"/>
                <w:sz w:val="22"/>
                <w:szCs w:val="22"/>
                <w:color w:val="auto"/>
              </w:rPr>
              <w:t>2.03</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r>
    </w:tbl>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28" w:right="339" w:bottom="1440" w:gutter="0" w:footer="0" w:header="0"/>
        </w:sectPr>
      </w:pPr>
    </w:p>
    <w:bookmarkStart w:id="77" w:name="page78"/>
    <w:bookmarkEnd w:id="77"/>
    <w:p>
      <w:pPr>
        <w:spacing w:after="0"/>
        <w:tabs>
          <w:tab w:leader="none" w:pos="2660" w:val="left"/>
        </w:tabs>
        <w:rPr>
          <w:sz w:val="20"/>
          <w:szCs w:val="20"/>
          <w:color w:val="auto"/>
        </w:rPr>
      </w:pPr>
      <w:r>
        <w:rPr>
          <w:rFonts w:ascii="Arial" w:cs="Arial" w:eastAsia="Arial" w:hAnsi="Arial"/>
          <w:sz w:val="22"/>
          <w:szCs w:val="22"/>
          <w:color w:val="auto"/>
        </w:rPr>
        <w:t>“Position Representation”</w:t>
      </w:r>
      <w:r>
        <w:rPr>
          <w:sz w:val="20"/>
          <w:szCs w:val="20"/>
          <w:color w:val="auto"/>
        </w:rPr>
        <w:tab/>
      </w:r>
      <w:r>
        <w:rPr>
          <w:rFonts w:ascii="Arial" w:cs="Arial" w:eastAsia="Arial" w:hAnsi="Arial"/>
          <w:sz w:val="19"/>
          <w:szCs w:val="19"/>
          <w:color w:val="auto"/>
        </w:rPr>
        <w:t>6.06</w:t>
      </w:r>
    </w:p>
    <w:p>
      <w:pPr>
        <w:spacing w:after="0" w:line="21" w:lineRule="exact"/>
        <w:rPr>
          <w:sz w:val="20"/>
          <w:szCs w:val="20"/>
          <w:color w:val="auto"/>
        </w:rPr>
      </w:pPr>
    </w:p>
    <w:p>
      <w:pPr>
        <w:spacing w:after="0"/>
        <w:tabs>
          <w:tab w:leader="none" w:pos="1520" w:val="left"/>
        </w:tabs>
        <w:rPr>
          <w:sz w:val="20"/>
          <w:szCs w:val="20"/>
          <w:color w:val="auto"/>
        </w:rPr>
      </w:pPr>
      <w:r>
        <w:rPr>
          <w:rFonts w:ascii="Arial" w:cs="Arial" w:eastAsia="Arial" w:hAnsi="Arial"/>
          <w:sz w:val="22"/>
          <w:szCs w:val="22"/>
          <w:color w:val="auto"/>
        </w:rPr>
        <w:t>“Registrar”</w:t>
      </w:r>
      <w:r>
        <w:rPr>
          <w:sz w:val="20"/>
          <w:szCs w:val="20"/>
          <w:color w:val="auto"/>
        </w:rPr>
        <w:tab/>
      </w:r>
      <w:r>
        <w:rPr>
          <w:rFonts w:ascii="Arial" w:cs="Arial" w:eastAsia="Arial" w:hAnsi="Arial"/>
          <w:sz w:val="22"/>
          <w:szCs w:val="22"/>
          <w:color w:val="auto"/>
        </w:rPr>
        <w:t>2.03</w:t>
      </w:r>
    </w:p>
    <w:p>
      <w:pPr>
        <w:spacing w:after="0" w:line="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color w:val="auto"/>
        </w:rPr>
        <w:t>“Verification Covenant”</w:t>
      </w:r>
      <w:r>
        <w:rPr>
          <w:sz w:val="20"/>
          <w:szCs w:val="20"/>
          <w:color w:val="auto"/>
        </w:rPr>
        <w:tab/>
      </w:r>
      <w:r>
        <w:rPr>
          <w:rFonts w:ascii="Arial" w:cs="Arial" w:eastAsia="Arial" w:hAnsi="Arial"/>
          <w:sz w:val="19"/>
          <w:szCs w:val="19"/>
          <w:color w:val="auto"/>
        </w:rPr>
        <w:t>6.06</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Section 1.03 Rules of Construction.</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Unless the context otherwise requires:</w:t>
      </w:r>
    </w:p>
    <w:p>
      <w:pPr>
        <w:spacing w:after="0" w:line="247" w:lineRule="exact"/>
        <w:rPr>
          <w:sz w:val="20"/>
          <w:szCs w:val="20"/>
          <w:color w:val="auto"/>
        </w:rPr>
      </w:pPr>
    </w:p>
    <w:p>
      <w:pPr>
        <w:ind w:left="960" w:hanging="304"/>
        <w:spacing w:after="0"/>
        <w:tabs>
          <w:tab w:leader="none" w:pos="9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a term has the meaning assigned to it;</w:t>
      </w:r>
    </w:p>
    <w:p>
      <w:pPr>
        <w:spacing w:after="0" w:line="246" w:lineRule="exact"/>
        <w:rPr>
          <w:rFonts w:ascii="Arial" w:cs="Arial" w:eastAsia="Arial" w:hAnsi="Arial"/>
          <w:sz w:val="22"/>
          <w:szCs w:val="22"/>
          <w:color w:val="auto"/>
        </w:rPr>
      </w:pPr>
    </w:p>
    <w:p>
      <w:pPr>
        <w:ind w:left="960" w:hanging="304"/>
        <w:spacing w:after="0"/>
        <w:tabs>
          <w:tab w:leader="none" w:pos="9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an accounting term not otherwise defined has the meaning assigned to it in accordance with GAAP;</w:t>
      </w:r>
    </w:p>
    <w:p>
      <w:pPr>
        <w:spacing w:after="0" w:line="246" w:lineRule="exact"/>
        <w:rPr>
          <w:rFonts w:ascii="Arial" w:cs="Arial" w:eastAsia="Arial" w:hAnsi="Arial"/>
          <w:sz w:val="22"/>
          <w:szCs w:val="22"/>
          <w:color w:val="auto"/>
        </w:rPr>
      </w:pPr>
    </w:p>
    <w:p>
      <w:pPr>
        <w:ind w:left="960" w:hanging="304"/>
        <w:spacing w:after="0"/>
        <w:tabs>
          <w:tab w:leader="none" w:pos="9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“or” is not exclusive;</w:t>
      </w:r>
    </w:p>
    <w:p>
      <w:pPr>
        <w:spacing w:after="0" w:line="246" w:lineRule="exact"/>
        <w:rPr>
          <w:rFonts w:ascii="Arial" w:cs="Arial" w:eastAsia="Arial" w:hAnsi="Arial"/>
          <w:sz w:val="22"/>
          <w:szCs w:val="22"/>
          <w:color w:val="auto"/>
        </w:rPr>
      </w:pPr>
    </w:p>
    <w:p>
      <w:pPr>
        <w:ind w:left="960" w:hanging="304"/>
        <w:spacing w:after="0"/>
        <w:tabs>
          <w:tab w:leader="none" w:pos="9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words in the singular include the plural, and in the plural include the singular;</w:t>
      </w:r>
    </w:p>
    <w:p>
      <w:pPr>
        <w:spacing w:after="0" w:line="246" w:lineRule="exact"/>
        <w:rPr>
          <w:rFonts w:ascii="Arial" w:cs="Arial" w:eastAsia="Arial" w:hAnsi="Arial"/>
          <w:sz w:val="22"/>
          <w:szCs w:val="22"/>
          <w:color w:val="auto"/>
        </w:rPr>
      </w:pPr>
    </w:p>
    <w:p>
      <w:pPr>
        <w:ind w:left="960" w:hanging="304"/>
        <w:spacing w:after="0"/>
        <w:tabs>
          <w:tab w:leader="none" w:pos="9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“will” shall be interpreted to express a command;</w:t>
      </w:r>
    </w:p>
    <w:p>
      <w:pPr>
        <w:spacing w:after="0" w:line="246" w:lineRule="exact"/>
        <w:rPr>
          <w:rFonts w:ascii="Arial" w:cs="Arial" w:eastAsia="Arial" w:hAnsi="Arial"/>
          <w:sz w:val="22"/>
          <w:szCs w:val="22"/>
          <w:color w:val="auto"/>
        </w:rPr>
      </w:pPr>
    </w:p>
    <w:p>
      <w:pPr>
        <w:ind w:left="960" w:hanging="304"/>
        <w:spacing w:after="0"/>
        <w:tabs>
          <w:tab w:leader="none" w:pos="9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provisions apply to successive events and transactions;</w:t>
      </w:r>
    </w:p>
    <w:p>
      <w:pPr>
        <w:spacing w:after="0" w:line="246" w:lineRule="exact"/>
        <w:rPr>
          <w:rFonts w:ascii="Arial" w:cs="Arial" w:eastAsia="Arial" w:hAnsi="Arial"/>
          <w:sz w:val="22"/>
          <w:szCs w:val="22"/>
          <w:color w:val="auto"/>
        </w:rPr>
      </w:pPr>
    </w:p>
    <w:p>
      <w:pPr>
        <w:ind w:firstLine="656"/>
        <w:spacing w:after="0" w:line="263" w:lineRule="auto"/>
        <w:tabs>
          <w:tab w:leader="none" w:pos="993" w:val="left"/>
        </w:tabs>
        <w:numPr>
          <w:ilvl w:val="0"/>
          <w:numId w:val="49"/>
        </w:numPr>
        <w:rPr>
          <w:rFonts w:ascii="Arial" w:cs="Arial" w:eastAsia="Arial" w:hAnsi="Arial"/>
          <w:sz w:val="22"/>
          <w:szCs w:val="22"/>
          <w:color w:val="auto"/>
        </w:rPr>
      </w:pPr>
      <w:r>
        <w:rPr>
          <w:rFonts w:ascii="Arial" w:cs="Arial" w:eastAsia="Arial" w:hAnsi="Arial"/>
          <w:sz w:val="22"/>
          <w:szCs w:val="22"/>
          <w:color w:val="auto"/>
        </w:rPr>
        <w:t>references to sections of or rules under the Securities Act shall be deemed to include substitute, replacement of successor sections or rules adopted by the SEC from time to time;</w:t>
      </w:r>
    </w:p>
    <w:p>
      <w:pPr>
        <w:spacing w:after="0" w:line="201" w:lineRule="exact"/>
        <w:rPr>
          <w:rFonts w:ascii="Arial" w:cs="Arial" w:eastAsia="Arial" w:hAnsi="Arial"/>
          <w:sz w:val="22"/>
          <w:szCs w:val="22"/>
          <w:color w:val="auto"/>
        </w:rPr>
      </w:pPr>
    </w:p>
    <w:p>
      <w:pPr>
        <w:ind w:firstLine="656"/>
        <w:spacing w:after="0" w:line="263" w:lineRule="auto"/>
        <w:tabs>
          <w:tab w:leader="none" w:pos="954" w:val="left"/>
        </w:tabs>
        <w:numPr>
          <w:ilvl w:val="0"/>
          <w:numId w:val="49"/>
        </w:numPr>
        <w:rPr>
          <w:rFonts w:ascii="Arial" w:cs="Arial" w:eastAsia="Arial" w:hAnsi="Arial"/>
          <w:sz w:val="22"/>
          <w:szCs w:val="22"/>
          <w:color w:val="auto"/>
        </w:rPr>
      </w:pPr>
      <w:r>
        <w:rPr>
          <w:rFonts w:ascii="Arial" w:cs="Arial" w:eastAsia="Arial" w:hAnsi="Arial"/>
          <w:sz w:val="22"/>
          <w:szCs w:val="22"/>
          <w:color w:val="auto"/>
        </w:rPr>
        <w:t>references to any statute, law, rule or regulation shall be deemed to refer to the same as from time to time amended and in effect and to any successor statute, law, rule or regulation; and</w:t>
      </w:r>
    </w:p>
    <w:p>
      <w:pPr>
        <w:spacing w:after="0" w:line="201" w:lineRule="exact"/>
        <w:rPr>
          <w:rFonts w:ascii="Arial" w:cs="Arial" w:eastAsia="Arial" w:hAnsi="Arial"/>
          <w:sz w:val="22"/>
          <w:szCs w:val="22"/>
          <w:color w:val="auto"/>
        </w:rPr>
      </w:pPr>
    </w:p>
    <w:p>
      <w:pPr>
        <w:jc w:val="both"/>
        <w:ind w:firstLine="656"/>
        <w:spacing w:after="0" w:line="253" w:lineRule="auto"/>
        <w:tabs>
          <w:tab w:leader="none" w:pos="987" w:val="left"/>
        </w:tabs>
        <w:numPr>
          <w:ilvl w:val="0"/>
          <w:numId w:val="49"/>
        </w:numPr>
        <w:rPr>
          <w:rFonts w:ascii="Arial" w:cs="Arial" w:eastAsia="Arial" w:hAnsi="Arial"/>
          <w:sz w:val="22"/>
          <w:szCs w:val="22"/>
          <w:color w:val="auto"/>
        </w:rPr>
      </w:pPr>
      <w:r>
        <w:rPr>
          <w:rFonts w:ascii="Arial" w:cs="Arial" w:eastAsia="Arial" w:hAnsi="Arial"/>
          <w:sz w:val="22"/>
          <w:szCs w:val="22"/>
          <w:color w:val="auto"/>
        </w:rPr>
        <w:t>references to any contract, agreement or instrument shall mean the same as amended, modified, supplemented or amended and restated from time to time, in each case, in accordance with any applicable restrictions contained therein or in this Indenture.</w:t>
      </w:r>
    </w:p>
    <w:p>
      <w:pPr>
        <w:spacing w:after="0" w:line="206" w:lineRule="exact"/>
        <w:rPr>
          <w:sz w:val="20"/>
          <w:szCs w:val="20"/>
          <w:color w:val="auto"/>
        </w:rPr>
      </w:pPr>
    </w:p>
    <w:p>
      <w:pPr>
        <w:ind w:left="5360"/>
        <w:spacing w:after="0"/>
        <w:rPr>
          <w:sz w:val="20"/>
          <w:szCs w:val="20"/>
          <w:color w:val="auto"/>
        </w:rPr>
      </w:pPr>
      <w:r>
        <w:rPr>
          <w:rFonts w:ascii="Arial" w:cs="Arial" w:eastAsia="Arial" w:hAnsi="Arial"/>
          <w:sz w:val="22"/>
          <w:szCs w:val="22"/>
          <w:b w:val="1"/>
          <w:bCs w:val="1"/>
          <w:color w:val="auto"/>
        </w:rPr>
        <w:t>ARTICLE 2.</w:t>
      </w:r>
    </w:p>
    <w:p>
      <w:pPr>
        <w:spacing w:after="0" w:line="27" w:lineRule="exact"/>
        <w:rPr>
          <w:sz w:val="20"/>
          <w:szCs w:val="20"/>
          <w:color w:val="auto"/>
        </w:rPr>
      </w:pPr>
    </w:p>
    <w:p>
      <w:pPr>
        <w:ind w:left="5320"/>
        <w:spacing w:after="0"/>
        <w:rPr>
          <w:sz w:val="20"/>
          <w:szCs w:val="20"/>
          <w:color w:val="auto"/>
        </w:rPr>
      </w:pPr>
      <w:r>
        <w:rPr>
          <w:rFonts w:ascii="Arial" w:cs="Arial" w:eastAsia="Arial" w:hAnsi="Arial"/>
          <w:sz w:val="22"/>
          <w:szCs w:val="22"/>
          <w:b w:val="1"/>
          <w:bCs w:val="1"/>
          <w:color w:val="auto"/>
        </w:rPr>
        <w:t>THE NOTES</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Section 2.01 Form and Dating.</w:t>
      </w:r>
    </w:p>
    <w:p>
      <w:pPr>
        <w:spacing w:after="0" w:line="247" w:lineRule="exact"/>
        <w:rPr>
          <w:sz w:val="20"/>
          <w:szCs w:val="20"/>
          <w:color w:val="auto"/>
        </w:rPr>
      </w:pPr>
    </w:p>
    <w:p>
      <w:pPr>
        <w:jc w:val="both"/>
        <w:ind w:firstLine="656"/>
        <w:spacing w:after="0" w:line="263" w:lineRule="auto"/>
        <w:tabs>
          <w:tab w:leader="none" w:pos="942" w:val="left"/>
        </w:tabs>
        <w:numPr>
          <w:ilvl w:val="0"/>
          <w:numId w:val="50"/>
        </w:numPr>
        <w:rPr>
          <w:rFonts w:ascii="Arial" w:cs="Arial" w:eastAsia="Arial" w:hAnsi="Arial"/>
          <w:sz w:val="21"/>
          <w:szCs w:val="21"/>
          <w:color w:val="auto"/>
        </w:rPr>
      </w:pPr>
      <w:r>
        <w:rPr>
          <w:rFonts w:ascii="Arial" w:cs="Arial" w:eastAsia="Arial" w:hAnsi="Arial"/>
          <w:sz w:val="21"/>
          <w:szCs w:val="21"/>
          <w:color w:val="auto"/>
        </w:rPr>
        <w:t>General. The Notes and the Trustee’s certificate of authentication shall be substantially in the form of Exhibits A-1 and A-2 hereto. The Notes may have notations, legends or endorsements required by law, stock exchange rule or usage. Each Note shall be dated the date of its authentication. The Notes shall be in denominations of $2,000 or an integral multiple of $1,000 in excess of $2,000. The terms and provisions contained in the Notes shall constitute, and are hereby expressly made, a part of this Indenture and the Issuers, the Guarantors and the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28" w:right="339" w:bottom="1440" w:gutter="0" w:footer="0" w:header="0"/>
        </w:sectPr>
      </w:pPr>
    </w:p>
    <w:bookmarkStart w:id="78" w:name="page79"/>
    <w:bookmarkEnd w:id="78"/>
    <w:p>
      <w:pPr>
        <w:spacing w:after="0"/>
        <w:rPr>
          <w:sz w:val="20"/>
          <w:szCs w:val="20"/>
          <w:color w:val="auto"/>
        </w:rPr>
      </w:pPr>
      <w:r>
        <w:rPr>
          <w:rFonts w:ascii="Arial" w:cs="Arial" w:eastAsia="Arial" w:hAnsi="Arial"/>
          <w:sz w:val="19"/>
          <w:szCs w:val="19"/>
          <w:color w:val="auto"/>
        </w:rPr>
        <w:t>Trustee, by their execution and delivery of this Indenture, expressly agree to such terms and provisions and to be bound thereby.</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However, to the extent any provision of any Note conflicts with the express provisions of this Indenture, the provisions of this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Indenture shall govern and be controlling.</w:t>
      </w:r>
    </w:p>
    <w:p>
      <w:pPr>
        <w:spacing w:after="0" w:line="229" w:lineRule="exact"/>
        <w:rPr>
          <w:sz w:val="20"/>
          <w:szCs w:val="20"/>
          <w:color w:val="auto"/>
        </w:rPr>
      </w:pPr>
    </w:p>
    <w:p>
      <w:pPr>
        <w:jc w:val="both"/>
        <w:ind w:firstLine="656"/>
        <w:spacing w:after="0" w:line="286" w:lineRule="auto"/>
        <w:tabs>
          <w:tab w:leader="none" w:pos="965" w:val="left"/>
        </w:tabs>
        <w:numPr>
          <w:ilvl w:val="0"/>
          <w:numId w:val="51"/>
        </w:numPr>
        <w:rPr>
          <w:rFonts w:ascii="Arial" w:cs="Arial" w:eastAsia="Arial" w:hAnsi="Arial"/>
          <w:sz w:val="19"/>
          <w:szCs w:val="19"/>
          <w:color w:val="auto"/>
        </w:rPr>
      </w:pPr>
      <w:r>
        <w:rPr>
          <w:rFonts w:ascii="Arial" w:cs="Arial" w:eastAsia="Arial" w:hAnsi="Arial"/>
          <w:sz w:val="19"/>
          <w:szCs w:val="19"/>
          <w:color w:val="auto"/>
        </w:rPr>
        <w:t>Global Notes. Notes issued in global form shall be substantially in the form of Exhibits A-1 and A-2 attached hereto (including the Global Note Legend thereon and the “Schedule of Exchanges of Interests in the Global Note” attached thereto), which Notes shall be deposited on behalf of the holders of the Notes represented thereby with the Trustee, as Custodian for the Depositary, and registered in the name of the Depositary or the nominee of the Depositary. Notes issued in definitive form shall also be substantially in the form of Exhibit A-1 attached hereto (but without the Global Note Legend thereon and without the “Schedule of Exchanges of Interests in the Global Note” attached thereto). Any Notes issued in global form and definitive form shall be duly executed by the Issuers and authenticated by the Trustee as hereinafter provided. Each Global Note shall represent such of the outstanding Notes as shall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Section 2.06 hereof.</w:t>
      </w:r>
    </w:p>
    <w:p>
      <w:pPr>
        <w:spacing w:after="0" w:line="192" w:lineRule="exact"/>
        <w:rPr>
          <w:rFonts w:ascii="Arial" w:cs="Arial" w:eastAsia="Arial" w:hAnsi="Arial"/>
          <w:sz w:val="19"/>
          <w:szCs w:val="19"/>
          <w:color w:val="auto"/>
        </w:rPr>
      </w:pPr>
    </w:p>
    <w:p>
      <w:pPr>
        <w:jc w:val="both"/>
        <w:ind w:firstLine="656"/>
        <w:spacing w:after="0" w:line="261" w:lineRule="auto"/>
        <w:tabs>
          <w:tab w:leader="none" w:pos="945" w:val="left"/>
        </w:tabs>
        <w:numPr>
          <w:ilvl w:val="0"/>
          <w:numId w:val="51"/>
        </w:numPr>
        <w:rPr>
          <w:rFonts w:ascii="Arial" w:cs="Arial" w:eastAsia="Arial" w:hAnsi="Arial"/>
          <w:sz w:val="21"/>
          <w:szCs w:val="21"/>
          <w:color w:val="auto"/>
        </w:rPr>
      </w:pPr>
      <w:r>
        <w:rPr>
          <w:rFonts w:ascii="Arial" w:cs="Arial" w:eastAsia="Arial" w:hAnsi="Arial"/>
          <w:sz w:val="21"/>
          <w:szCs w:val="21"/>
          <w:color w:val="auto"/>
        </w:rPr>
        <w:t>Temporary Global Notes. Notes offered and sold in reliance on Regulation S shall be issued initially in the form of the Regulation S Temporary Global Note substantially in the form of Exhibit A-2 attached hereto, which shall be deposited on behalf of the holders of the Notes represented thereby with the Trustee, as Custodian for the Depositary, and registered in the name of the Depositary or the nominee of the Depositary for the accounts of designated agents holding on behalf of Euroclear or Clearstream, duly executed by the Issuers and authenticated by the Trustee as hereinafter provided. The Restricted Period shall be terminated upon the receipt by the Trustee of:</w:t>
      </w:r>
    </w:p>
    <w:p>
      <w:pPr>
        <w:spacing w:after="0" w:line="206" w:lineRule="exact"/>
        <w:rPr>
          <w:sz w:val="20"/>
          <w:szCs w:val="20"/>
          <w:color w:val="auto"/>
        </w:rPr>
      </w:pPr>
    </w:p>
    <w:p>
      <w:pPr>
        <w:jc w:val="both"/>
        <w:ind w:firstLine="656"/>
        <w:spacing w:after="0" w:line="261" w:lineRule="auto"/>
        <w:tabs>
          <w:tab w:leader="none" w:pos="954" w:val="left"/>
        </w:tabs>
        <w:numPr>
          <w:ilvl w:val="0"/>
          <w:numId w:val="52"/>
        </w:numPr>
        <w:rPr>
          <w:rFonts w:ascii="Arial" w:cs="Arial" w:eastAsia="Arial" w:hAnsi="Arial"/>
          <w:sz w:val="21"/>
          <w:szCs w:val="21"/>
          <w:color w:val="auto"/>
        </w:rPr>
      </w:pPr>
      <w:r>
        <w:rPr>
          <w:rFonts w:ascii="Arial" w:cs="Arial" w:eastAsia="Arial" w:hAnsi="Arial"/>
          <w:sz w:val="21"/>
          <w:szCs w:val="21"/>
          <w:color w:val="auto"/>
        </w:rPr>
        <w:t>a written certificate from the Depositary, together with copies of certificates from Euroclear and Clearstream certifying that they have received certification of non-United States beneficial ownership of 100% of the aggregate principal amount of the Regulation S Temporary Global Note (except to the extent of any Beneficial Owners thereof who acquired an interest therein during the Restricted Period pursuant to another exemption from registration under the Securities Act and who shall take delivery of a beneficial ownership interest in a 144A Global Note or an IAI Global Note bearing a Private Placement Legend, all as contemplated by Section 2.06(b) hereof); and</w:t>
      </w:r>
    </w:p>
    <w:p>
      <w:pPr>
        <w:spacing w:after="0" w:line="206" w:lineRule="exact"/>
        <w:rPr>
          <w:rFonts w:ascii="Arial" w:cs="Arial" w:eastAsia="Arial" w:hAnsi="Arial"/>
          <w:sz w:val="21"/>
          <w:szCs w:val="21"/>
          <w:color w:val="auto"/>
        </w:rPr>
      </w:pPr>
    </w:p>
    <w:p>
      <w:pPr>
        <w:ind w:left="960" w:hanging="304"/>
        <w:spacing w:after="0"/>
        <w:tabs>
          <w:tab w:leader="none" w:pos="9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an Officers’ Certificate from each of the Issuers.</w:t>
      </w:r>
    </w:p>
    <w:p>
      <w:pPr>
        <w:spacing w:after="0" w:line="2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Following the termination of the Restricted Period, beneficial interests in the Regulation S Temporary Global Note shall be exchanged for beneficial interests in the Regulation S Permanent Global Note pursuant to the Applicable Procedures. Simultaneously with the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28" w:right="339" w:bottom="1440" w:gutter="0" w:footer="0" w:header="0"/>
        </w:sectPr>
      </w:pPr>
    </w:p>
    <w:bookmarkStart w:id="79" w:name="page80"/>
    <w:bookmarkEnd w:id="79"/>
    <w:p>
      <w:pPr>
        <w:jc w:val="both"/>
        <w:spacing w:after="0" w:line="265" w:lineRule="auto"/>
        <w:rPr>
          <w:sz w:val="20"/>
          <w:szCs w:val="20"/>
          <w:color w:val="auto"/>
        </w:rPr>
      </w:pPr>
      <w:r>
        <w:rPr>
          <w:rFonts w:ascii="Arial" w:cs="Arial" w:eastAsia="Arial" w:hAnsi="Arial"/>
          <w:sz w:val="21"/>
          <w:szCs w:val="21"/>
          <w:color w:val="auto"/>
        </w:rPr>
        <w:t>authentication of the Regulation S Permanent Global Note, the Trustee shall cancel the Regulation S Temporary Global Note. The aggregate principal amount of the Regulation S Temporary Global Note and the Regulation S Permanent Global Note may from time to time be increased or decreased by adjustments made on the records of the Trustee and the Depositary or its nominee, as the case may be, in connection with transfers of interest as hereinafter provided.</w:t>
      </w:r>
    </w:p>
    <w:p>
      <w:pPr>
        <w:spacing w:after="0" w:line="202" w:lineRule="exact"/>
        <w:rPr>
          <w:sz w:val="20"/>
          <w:szCs w:val="20"/>
          <w:color w:val="auto"/>
        </w:rPr>
      </w:pPr>
    </w:p>
    <w:p>
      <w:pPr>
        <w:jc w:val="both"/>
        <w:ind w:firstLine="656"/>
        <w:spacing w:after="0" w:line="248" w:lineRule="auto"/>
        <w:tabs>
          <w:tab w:leader="none" w:pos="991" w:val="left"/>
        </w:tabs>
        <w:numPr>
          <w:ilvl w:val="0"/>
          <w:numId w:val="53"/>
        </w:numPr>
        <w:rPr>
          <w:rFonts w:ascii="Arial" w:cs="Arial" w:eastAsia="Arial" w:hAnsi="Arial"/>
          <w:sz w:val="22"/>
          <w:szCs w:val="22"/>
          <w:color w:val="auto"/>
        </w:rPr>
      </w:pPr>
      <w:r>
        <w:rPr>
          <w:rFonts w:ascii="Arial" w:cs="Arial" w:eastAsia="Arial" w:hAnsi="Arial"/>
          <w:sz w:val="22"/>
          <w:szCs w:val="22"/>
          <w:color w:val="auto"/>
        </w:rPr>
        <w:t>Euroclear and Clearstream Procedures Applicable. The provisions of the “Operating Procedures of the Euroclear System” and “Terms and Conditions Governing Use of Euroclear” and the “General Terms and Conditions of Clearstream Banking” and “Customer Handbook” of Clearstream shall be applicable to transfers of beneficial interests in the Regulation S Temporary Global Note and the Regulation S Permanent Global Note that are held by Participants through Euroclear or Clearstream.</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Section 2.02 Execution and Authentication.</w:t>
      </w:r>
    </w:p>
    <w:p>
      <w:pPr>
        <w:spacing w:after="0" w:line="2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A Designated Officer on behalf of each of Wynn Resorts Finance and Wynn Resorts Capital must sign the Notes for the Issuers by manual or facsimile signature.</w:t>
      </w:r>
    </w:p>
    <w:p>
      <w:pPr>
        <w:spacing w:after="0" w:line="2"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2"/>
          <w:szCs w:val="22"/>
          <w:color w:val="auto"/>
        </w:rPr>
        <w:t>If an Officer whose signature is on a Note no longer holds that office at the time a Note is authenticated, the Note shall nevertheless be valid.</w:t>
      </w:r>
    </w:p>
    <w:p>
      <w:pPr>
        <w:spacing w:after="0" w:line="21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A Note shall not be valid until authenticated by the manual signature of the Trustee. The signature shall be conclusive evidence that the Note has been authenticated under this Indenture.</w:t>
      </w:r>
    </w:p>
    <w:p>
      <w:pPr>
        <w:spacing w:after="0" w:line="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The Trustee shall, upon receipt of a written order of the Issuers signed by a Designated Officer of each of Wynn Resorts Finance and Wynn Resorts Capital (an “Authentication Order”), authenticate Notes for original issue that may be validly issued under this Indenture, including any Additional Notes (including Notes to be issued in substitution for outstanding Notes to reflect any name change of either Issuer, by succession permitted hereunder or otherwise).</w:t>
      </w:r>
    </w:p>
    <w:p>
      <w:pPr>
        <w:spacing w:after="0" w:line="209"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The aggregate principal amount of Notes outstanding at any time may not exceed aggregate principal amount of Notes authorized for issuance by the Issuers pursuant to one or more Authentication Orders, except as provided in Section 2.07 hereof.</w:t>
      </w:r>
    </w:p>
    <w:p>
      <w:pPr>
        <w:spacing w:after="0" w:line="13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Trustee may appoint an authenticating agent acceptable to the Issuers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Section 2.03 Registrar and Paying Agent.</w:t>
      </w:r>
    </w:p>
    <w:p>
      <w:pPr>
        <w:spacing w:after="0" w:line="24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Issuers shall maintain an office or agency where Notes may be presented for registration of transfer or for exchange (“Registrar”) and an office or agency where Notes may be presented for payment (“Paying Agent”). The Registrar shall keep a register of the Notes and of their transfer and exchange. The Issuers may appoint one or more co-registrars and one or more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28" w:right="339" w:bottom="1440" w:gutter="0" w:footer="0" w:header="0"/>
        </w:sectPr>
      </w:pPr>
    </w:p>
    <w:bookmarkStart w:id="80" w:name="page81"/>
    <w:bookmarkEnd w:id="80"/>
    <w:p>
      <w:pPr>
        <w:jc w:val="both"/>
        <w:spacing w:after="0" w:line="248" w:lineRule="auto"/>
        <w:rPr>
          <w:sz w:val="20"/>
          <w:szCs w:val="20"/>
          <w:color w:val="auto"/>
        </w:rPr>
      </w:pPr>
      <w:r>
        <w:rPr>
          <w:rFonts w:ascii="Arial" w:cs="Arial" w:eastAsia="Arial" w:hAnsi="Arial"/>
          <w:sz w:val="22"/>
          <w:szCs w:val="22"/>
          <w:color w:val="auto"/>
        </w:rPr>
        <w:t>additional paying agents. The term “Registrar” includes any co-registrar and the term “Paying Agent” includes any additional paying agent. The Issuers may change any Paying Agent or Registrar without notice to any Holder. The Issuers shall notify the Trustee in writing of the name and address of any Agent not a party to this Indenture. If the Issuers fail to appoint or maintain another entity as Registrar or Paying Agent, the Trustee shall act as such. Either or both of the Issuers or any of their Subsidiaries may act as Paying Agent or Registrar.</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Issuers initially appoint The Depository Trust Company (“DTC”) to act as Depositary with respect to the Global</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Notes.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Issuers initially appoint the Trustee to act as the Registrar and Paying Agent and to act as Custodian with respect to the Global Notes.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Section 2.04 Paying Agent to Hold Money in Trust.</w:t>
      </w:r>
    </w:p>
    <w:p>
      <w:pPr>
        <w:spacing w:after="0" w:line="2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The Issuers shall require each Paying Agent other than the Trustee to agree in writing that the Paying Agent shall hold in trust for the benefit of Holders or the Trustee all money held by the Paying Agent for the payment of principal, premium, if any, or interest on the Notes, and shall notify the Trustee of any default by the Issuers in making any such payment. While any such default continues, the Trustee may require a Paying Agent to pay all money held by it to the Trustee. The Issuers at any time may require a Paying Agent to pay all money held by it to the Trustee. Upon payment over to the Trustee, the Paying Agent (if other than the Issuers or a Subsidiary thereof) shall have no further liability for the money. If either Issuer or a Subsidiary acts as Paying Agent, it shall segregate and hold in a separate trust fund for the benefit of the Holders all money held by it as Paying Agent. Upon any bankruptcy or reorganization proceedings relating to the Issuers, the Trustee shall serve as Paying Agent for the Notes.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Section 2.05 Holder Lists.</w:t>
      </w:r>
    </w:p>
    <w:p>
      <w:pPr>
        <w:spacing w:after="0" w:line="2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Trustee shall preserve in as current a form as is reasonably practicable the most recent list available to it of the names and addresses of all Holders. If the Trustee is not the Registrar, the Issuers shall furnish to the Trustee at least seven Business Days before each interest payment date and at such other times as the Trustee may request in writing, a list in such form and as of such date as the Trustee may reasonably require of the names and addresses of the Holders of Notes.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Section 2.06 Transfer and Exchange.</w:t>
      </w:r>
    </w:p>
    <w:p>
      <w:pPr>
        <w:spacing w:after="0" w:line="247" w:lineRule="exact"/>
        <w:rPr>
          <w:sz w:val="20"/>
          <w:szCs w:val="20"/>
          <w:color w:val="auto"/>
        </w:rPr>
      </w:pPr>
    </w:p>
    <w:p>
      <w:pPr>
        <w:jc w:val="both"/>
        <w:ind w:firstLine="656"/>
        <w:spacing w:after="0" w:line="250" w:lineRule="auto"/>
        <w:tabs>
          <w:tab w:leader="none" w:pos="946" w:val="left"/>
        </w:tabs>
        <w:numPr>
          <w:ilvl w:val="0"/>
          <w:numId w:val="54"/>
        </w:numPr>
        <w:rPr>
          <w:rFonts w:ascii="Arial" w:cs="Arial" w:eastAsia="Arial" w:hAnsi="Arial"/>
          <w:sz w:val="22"/>
          <w:szCs w:val="22"/>
          <w:color w:val="auto"/>
        </w:rPr>
      </w:pPr>
      <w:r>
        <w:rPr>
          <w:rFonts w:ascii="Arial" w:cs="Arial" w:eastAsia="Arial" w:hAnsi="Arial"/>
          <w:sz w:val="22"/>
          <w:szCs w:val="22"/>
          <w:color w:val="auto"/>
        </w:rPr>
        <w:t>Transfer and Exchange of Global Notes. A Global Note may not be transferred as a whole except by the Depositary to a nominee of the Depositary, by a nominee of the Depositary to the Depositary or to another nominee of the Depositary, or by the Depositary or any such nominee to a successor Depositary or a nominee of such successor Depositary. All Global Notes shall be exchanged by the Issuers for Definitive Notes if:</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28" w:right="339" w:bottom="1440" w:gutter="0" w:footer="0" w:header="0"/>
        </w:sectPr>
      </w:pPr>
    </w:p>
    <w:bookmarkStart w:id="81" w:name="page82"/>
    <w:bookmarkEnd w:id="81"/>
    <w:p>
      <w:pPr>
        <w:jc w:val="both"/>
        <w:ind w:firstLine="656"/>
        <w:spacing w:after="0" w:line="250" w:lineRule="auto"/>
        <w:tabs>
          <w:tab w:leader="none" w:pos="984" w:val="left"/>
        </w:tabs>
        <w:numPr>
          <w:ilvl w:val="1"/>
          <w:numId w:val="55"/>
        </w:numPr>
        <w:rPr>
          <w:rFonts w:ascii="Arial" w:cs="Arial" w:eastAsia="Arial" w:hAnsi="Arial"/>
          <w:sz w:val="22"/>
          <w:szCs w:val="22"/>
          <w:color w:val="auto"/>
        </w:rPr>
      </w:pPr>
      <w:r>
        <w:rPr>
          <w:rFonts w:ascii="Arial" w:cs="Arial" w:eastAsia="Arial" w:hAnsi="Arial"/>
          <w:sz w:val="22"/>
          <w:szCs w:val="22"/>
          <w:color w:val="auto"/>
        </w:rPr>
        <w:t>Wynn Resorts Finance delivers to the Trustee written notice from the Depositary that it is unwilling or unable to continue to act as Depositary or that it is no longer a clearing agency registered under the Exchange Act and, in either case, a successor Depositary is not appointed by Wynn Resorts Finance within 120 days after the date of such notice from the Depositary;</w:t>
      </w:r>
    </w:p>
    <w:p>
      <w:pPr>
        <w:spacing w:after="0" w:line="214" w:lineRule="exact"/>
        <w:rPr>
          <w:rFonts w:ascii="Arial" w:cs="Arial" w:eastAsia="Arial" w:hAnsi="Arial"/>
          <w:sz w:val="22"/>
          <w:szCs w:val="22"/>
          <w:color w:val="auto"/>
        </w:rPr>
      </w:pPr>
    </w:p>
    <w:p>
      <w:pPr>
        <w:jc w:val="both"/>
        <w:ind w:firstLine="656"/>
        <w:spacing w:after="0" w:line="288" w:lineRule="auto"/>
        <w:tabs>
          <w:tab w:leader="none" w:pos="962" w:val="left"/>
        </w:tabs>
        <w:numPr>
          <w:ilvl w:val="1"/>
          <w:numId w:val="55"/>
        </w:numPr>
        <w:rPr>
          <w:rFonts w:ascii="Arial" w:cs="Arial" w:eastAsia="Arial" w:hAnsi="Arial"/>
          <w:sz w:val="19"/>
          <w:szCs w:val="19"/>
          <w:color w:val="auto"/>
        </w:rPr>
      </w:pPr>
      <w:r>
        <w:rPr>
          <w:rFonts w:ascii="Arial" w:cs="Arial" w:eastAsia="Arial" w:hAnsi="Arial"/>
          <w:sz w:val="19"/>
          <w:szCs w:val="19"/>
          <w:color w:val="auto"/>
        </w:rPr>
        <w:t>the Issuers in their sole discretion determine that the Global Notes (in whole but not in part) should be exchanged for Definitive Notes and delivers a written notice to such effect to the Trustee; provided that in no event shall the Regulation S Temporary Global Note be exchanged by the Issuers for Definitive Notes prior to (A) the expiration of the Restricted Period and</w:t>
      </w:r>
    </w:p>
    <w:p>
      <w:pPr>
        <w:ind w:left="360" w:hanging="352"/>
        <w:spacing w:after="0"/>
        <w:tabs>
          <w:tab w:leader="none" w:pos="360" w:val="left"/>
        </w:tabs>
        <w:numPr>
          <w:ilvl w:val="0"/>
          <w:numId w:val="56"/>
        </w:numPr>
        <w:rPr>
          <w:rFonts w:ascii="Arial" w:cs="Arial" w:eastAsia="Arial" w:hAnsi="Arial"/>
          <w:sz w:val="21"/>
          <w:szCs w:val="21"/>
          <w:color w:val="auto"/>
        </w:rPr>
      </w:pPr>
      <w:r>
        <w:rPr>
          <w:rFonts w:ascii="Arial" w:cs="Arial" w:eastAsia="Arial" w:hAnsi="Arial"/>
          <w:sz w:val="21"/>
          <w:szCs w:val="21"/>
          <w:color w:val="auto"/>
        </w:rPr>
        <w:t>the receipt by the Registrar of any certificates required pursuant to Rule 903(b)(3)(ii)(B) under the Securities Act; or</w:t>
      </w:r>
    </w:p>
    <w:p>
      <w:pPr>
        <w:spacing w:after="0" w:line="240" w:lineRule="exact"/>
        <w:rPr>
          <w:rFonts w:ascii="Arial" w:cs="Arial" w:eastAsia="Arial" w:hAnsi="Arial"/>
          <w:sz w:val="21"/>
          <w:szCs w:val="21"/>
          <w:color w:val="auto"/>
        </w:rPr>
      </w:pPr>
    </w:p>
    <w:p>
      <w:pPr>
        <w:jc w:val="both"/>
        <w:ind w:firstLine="656"/>
        <w:spacing w:after="0" w:line="253" w:lineRule="auto"/>
        <w:tabs>
          <w:tab w:leader="none" w:pos="960" w:val="left"/>
        </w:tabs>
        <w:numPr>
          <w:ilvl w:val="1"/>
          <w:numId w:val="56"/>
        </w:numPr>
        <w:rPr>
          <w:rFonts w:ascii="Arial" w:cs="Arial" w:eastAsia="Arial" w:hAnsi="Arial"/>
          <w:sz w:val="22"/>
          <w:szCs w:val="22"/>
          <w:color w:val="auto"/>
        </w:rPr>
      </w:pPr>
      <w:r>
        <w:rPr>
          <w:rFonts w:ascii="Arial" w:cs="Arial" w:eastAsia="Arial" w:hAnsi="Arial"/>
          <w:sz w:val="22"/>
          <w:szCs w:val="22"/>
          <w:color w:val="auto"/>
        </w:rPr>
        <w:t>following the occurrence and during the continuation of a Default or Event of Default, any Person having a beneficial interest in a Global Note requests that the Global Notes should be exchanged for Definitive Notes and delivers a written notice to such effect to the Trustee.</w:t>
      </w:r>
    </w:p>
    <w:p>
      <w:pPr>
        <w:spacing w:after="0" w:line="21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Upon the occurrence of either of the preceding events in (1) or (2) above, Definitive Notes shall be issued in such names as the Depositary shall instruct the Trustee. Global Notes also may be exchanged or replaced, in whole or in part, as provided in Sections 2.07 and 2.10 hereof. Every Note authenticated and delivered in exchange for, or in lieu of, a Global Note or any portion thereof, pursuant to this Section 2.06 or Section 2.07 or 2.10 hereof,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or (c) hereof.</w:t>
      </w:r>
    </w:p>
    <w:p>
      <w:pPr>
        <w:spacing w:after="0" w:line="176" w:lineRule="exact"/>
        <w:rPr>
          <w:sz w:val="20"/>
          <w:szCs w:val="20"/>
          <w:color w:val="auto"/>
        </w:rPr>
      </w:pPr>
    </w:p>
    <w:p>
      <w:pPr>
        <w:jc w:val="both"/>
        <w:ind w:firstLine="656"/>
        <w:spacing w:after="0" w:line="247" w:lineRule="auto"/>
        <w:tabs>
          <w:tab w:leader="none" w:pos="957" w:val="left"/>
        </w:tabs>
        <w:numPr>
          <w:ilvl w:val="0"/>
          <w:numId w:val="57"/>
        </w:numPr>
        <w:rPr>
          <w:rFonts w:ascii="Arial" w:cs="Arial" w:eastAsia="Arial" w:hAnsi="Arial"/>
          <w:sz w:val="22"/>
          <w:szCs w:val="22"/>
          <w:color w:val="auto"/>
        </w:rPr>
      </w:pPr>
      <w:r>
        <w:rPr>
          <w:rFonts w:ascii="Arial" w:cs="Arial" w:eastAsia="Arial" w:hAnsi="Arial"/>
          <w:sz w:val="22"/>
          <w:szCs w:val="22"/>
          <w:color w:val="auto"/>
        </w:rPr>
        <w:t>Transfer and Exchange of Beneficial Interests in the Global Notes. The transfer and exchange of beneficial interests in the Global Notes shall be 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either subparagraph (1) or (2) below, as applicable, as well as one or more of the other following subparagraphs, as applicable:</w:t>
      </w:r>
    </w:p>
    <w:p>
      <w:pPr>
        <w:spacing w:after="0" w:line="220" w:lineRule="exact"/>
        <w:rPr>
          <w:sz w:val="20"/>
          <w:szCs w:val="20"/>
          <w:color w:val="auto"/>
        </w:rPr>
      </w:pPr>
    </w:p>
    <w:p>
      <w:pPr>
        <w:jc w:val="both"/>
        <w:ind w:firstLine="656"/>
        <w:spacing w:after="0" w:line="292" w:lineRule="auto"/>
        <w:tabs>
          <w:tab w:leader="none" w:pos="971" w:val="left"/>
        </w:tabs>
        <w:numPr>
          <w:ilvl w:val="0"/>
          <w:numId w:val="58"/>
        </w:numPr>
        <w:rPr>
          <w:rFonts w:ascii="Arial" w:cs="Arial" w:eastAsia="Arial" w:hAnsi="Arial"/>
          <w:sz w:val="19"/>
          <w:szCs w:val="19"/>
          <w:color w:val="auto"/>
        </w:rPr>
      </w:pPr>
      <w:r>
        <w:rPr>
          <w:rFonts w:ascii="Arial" w:cs="Arial" w:eastAsia="Arial" w:hAnsi="Arial"/>
          <w:sz w:val="19"/>
          <w:szCs w:val="19"/>
          <w:color w:val="auto"/>
        </w:rPr>
        <w:t>Transfer of Beneficial Interests in the Same Global Note. Beneficial interests in any Restricted Global Note may be transferred to Persons who take delivery thereof in the form of a beneficial interest in the same Restricted Global Note in accordance with the transfer restrictions set forth in the Private Placement Legend; provided, however, that prior to the expiration of the Restricted Period, transfers of beneficial interests in the Regulation S Temporary Global Note may not be made to a U.S. Person or for the account or benefit of a U.S. Person.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2.06(b)(1).</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28" w:right="339" w:bottom="1440" w:gutter="0" w:footer="0" w:header="0"/>
        </w:sectPr>
      </w:pPr>
    </w:p>
    <w:bookmarkStart w:id="82" w:name="page83"/>
    <w:bookmarkEnd w:id="82"/>
    <w:p>
      <w:pPr>
        <w:jc w:val="both"/>
        <w:ind w:firstLine="656"/>
        <w:spacing w:after="0" w:line="253" w:lineRule="auto"/>
        <w:tabs>
          <w:tab w:leader="none" w:pos="994" w:val="left"/>
        </w:tabs>
        <w:numPr>
          <w:ilvl w:val="0"/>
          <w:numId w:val="59"/>
        </w:numPr>
        <w:rPr>
          <w:rFonts w:ascii="Arial" w:cs="Arial" w:eastAsia="Arial" w:hAnsi="Arial"/>
          <w:sz w:val="22"/>
          <w:szCs w:val="22"/>
          <w:color w:val="auto"/>
        </w:rPr>
      </w:pPr>
      <w:r>
        <w:rPr>
          <w:rFonts w:ascii="Arial" w:cs="Arial" w:eastAsia="Arial" w:hAnsi="Arial"/>
          <w:sz w:val="22"/>
          <w:szCs w:val="22"/>
          <w:color w:val="auto"/>
        </w:rPr>
        <w:t>All Other Transfers and Exchanges of Beneficial Interests in Global Notes. In connection with all transfers and exchanges of beneficial interests that are not subject to Section 2.06(b)(1) above, the transferor of such beneficial interest must deliver to the Registrar either:</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both:</w:t>
      </w:r>
    </w:p>
    <w:p>
      <w:pPr>
        <w:spacing w:after="0" w:line="247" w:lineRule="exact"/>
        <w:rPr>
          <w:sz w:val="20"/>
          <w:szCs w:val="20"/>
          <w:color w:val="auto"/>
        </w:rPr>
      </w:pPr>
    </w:p>
    <w:p>
      <w:pPr>
        <w:jc w:val="both"/>
        <w:ind w:firstLine="656"/>
        <w:spacing w:after="0" w:line="253" w:lineRule="auto"/>
        <w:tabs>
          <w:tab w:leader="none" w:pos="914" w:val="left"/>
        </w:tabs>
        <w:numPr>
          <w:ilvl w:val="0"/>
          <w:numId w:val="60"/>
        </w:numPr>
        <w:rPr>
          <w:rFonts w:ascii="Arial" w:cs="Arial" w:eastAsia="Arial" w:hAnsi="Arial"/>
          <w:sz w:val="22"/>
          <w:szCs w:val="22"/>
          <w:color w:val="auto"/>
        </w:rPr>
      </w:pPr>
      <w:r>
        <w:rPr>
          <w:rFonts w:ascii="Arial" w:cs="Arial" w:eastAsia="Arial" w:hAnsi="Arial"/>
          <w:sz w:val="22"/>
          <w:szCs w:val="22"/>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212" w:lineRule="exact"/>
        <w:rPr>
          <w:rFonts w:ascii="Arial" w:cs="Arial" w:eastAsia="Arial" w:hAnsi="Arial"/>
          <w:sz w:val="22"/>
          <w:szCs w:val="22"/>
          <w:color w:val="auto"/>
        </w:rPr>
      </w:pPr>
    </w:p>
    <w:p>
      <w:pPr>
        <w:ind w:firstLine="656"/>
        <w:spacing w:after="0" w:line="263" w:lineRule="auto"/>
        <w:tabs>
          <w:tab w:leader="none" w:pos="1002" w:val="left"/>
        </w:tabs>
        <w:numPr>
          <w:ilvl w:val="0"/>
          <w:numId w:val="60"/>
        </w:numPr>
        <w:rPr>
          <w:rFonts w:ascii="Arial" w:cs="Arial" w:eastAsia="Arial" w:hAnsi="Arial"/>
          <w:sz w:val="22"/>
          <w:szCs w:val="22"/>
          <w:color w:val="auto"/>
        </w:rPr>
      </w:pPr>
      <w:r>
        <w:rPr>
          <w:rFonts w:ascii="Arial" w:cs="Arial" w:eastAsia="Arial" w:hAnsi="Arial"/>
          <w:sz w:val="22"/>
          <w:szCs w:val="22"/>
          <w:color w:val="auto"/>
        </w:rPr>
        <w:t>instructions given in accordance with the Applicable Procedures containing information regarding the Participant account to be credited with such increase; or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 both:</w:t>
      </w:r>
    </w:p>
    <w:p>
      <w:pPr>
        <w:spacing w:after="0" w:line="247" w:lineRule="exact"/>
        <w:rPr>
          <w:sz w:val="20"/>
          <w:szCs w:val="20"/>
          <w:color w:val="auto"/>
        </w:rPr>
      </w:pPr>
    </w:p>
    <w:p>
      <w:pPr>
        <w:jc w:val="both"/>
        <w:ind w:firstLine="656"/>
        <w:spacing w:after="0" w:line="253" w:lineRule="auto"/>
        <w:tabs>
          <w:tab w:leader="none" w:pos="914" w:val="left"/>
        </w:tabs>
        <w:numPr>
          <w:ilvl w:val="0"/>
          <w:numId w:val="61"/>
        </w:numPr>
        <w:rPr>
          <w:rFonts w:ascii="Arial" w:cs="Arial" w:eastAsia="Arial" w:hAnsi="Arial"/>
          <w:sz w:val="22"/>
          <w:szCs w:val="22"/>
          <w:color w:val="auto"/>
        </w:rPr>
      </w:pPr>
      <w:r>
        <w:rPr>
          <w:rFonts w:ascii="Arial" w:cs="Arial" w:eastAsia="Arial" w:hAnsi="Arial"/>
          <w:sz w:val="22"/>
          <w:szCs w:val="22"/>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212" w:lineRule="exact"/>
        <w:rPr>
          <w:rFonts w:ascii="Arial" w:cs="Arial" w:eastAsia="Arial" w:hAnsi="Arial"/>
          <w:sz w:val="22"/>
          <w:szCs w:val="22"/>
          <w:color w:val="auto"/>
        </w:rPr>
      </w:pPr>
    </w:p>
    <w:p>
      <w:pPr>
        <w:jc w:val="both"/>
        <w:ind w:firstLine="656"/>
        <w:spacing w:after="0" w:line="248" w:lineRule="auto"/>
        <w:tabs>
          <w:tab w:leader="none" w:pos="970" w:val="left"/>
        </w:tabs>
        <w:numPr>
          <w:ilvl w:val="0"/>
          <w:numId w:val="61"/>
        </w:numPr>
        <w:rPr>
          <w:rFonts w:ascii="Arial" w:cs="Arial" w:eastAsia="Arial" w:hAnsi="Arial"/>
          <w:sz w:val="22"/>
          <w:szCs w:val="22"/>
          <w:color w:val="auto"/>
        </w:rPr>
      </w:pPr>
      <w:r>
        <w:rPr>
          <w:rFonts w:ascii="Arial" w:cs="Arial" w:eastAsia="Arial" w:hAnsi="Arial"/>
          <w:sz w:val="22"/>
          <w:szCs w:val="22"/>
          <w:color w:val="auto"/>
        </w:rPr>
        <w:t>instructions given by the Depositary to the Registrar containing information regarding the Person in whose name such Definitive Note shall be registered to effect the transfer or exchange referred to in (1) above; provided that in no event shall Definitive Notes be issued upon the transfer or exchange of beneficial interests in the Regulation S Temporary Global Note prior to (A) the expiration of the Restricted Period and (B) the receipt by the Registrar of any certificates required pursuant to Rule 903 under the Securities Act.</w:t>
      </w:r>
    </w:p>
    <w:p>
      <w:pPr>
        <w:spacing w:after="0" w:line="21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2.06(g) hereof.</w:t>
      </w:r>
    </w:p>
    <w:p>
      <w:pPr>
        <w:spacing w:after="0" w:line="212" w:lineRule="exact"/>
        <w:rPr>
          <w:sz w:val="20"/>
          <w:szCs w:val="20"/>
          <w:color w:val="auto"/>
        </w:rPr>
      </w:pPr>
    </w:p>
    <w:p>
      <w:pPr>
        <w:jc w:val="both"/>
        <w:ind w:firstLine="656"/>
        <w:spacing w:after="0" w:line="312" w:lineRule="auto"/>
        <w:tabs>
          <w:tab w:leader="none" w:pos="958" w:val="left"/>
        </w:tabs>
        <w:numPr>
          <w:ilvl w:val="0"/>
          <w:numId w:val="62"/>
        </w:numPr>
        <w:rPr>
          <w:rFonts w:ascii="Arial" w:cs="Arial" w:eastAsia="Arial" w:hAnsi="Arial"/>
          <w:sz w:val="19"/>
          <w:szCs w:val="19"/>
          <w:color w:val="auto"/>
        </w:rPr>
      </w:pPr>
      <w:r>
        <w:rPr>
          <w:rFonts w:ascii="Arial" w:cs="Arial" w:eastAsia="Arial" w:hAnsi="Arial"/>
          <w:sz w:val="19"/>
          <w:szCs w:val="19"/>
          <w:color w:val="auto"/>
        </w:rPr>
        <w:t>Transfer of Beneficial Interests to Another Restricted Global Note. A beneficial interest in any Restricted Global Note may be transferred to a Person who takes delivery thereof in the form of a beneficial interest in another Restricted Global Note if the transfer complies with the requirements of Section 2.06(b)(2) above and the Registrar receives the following:</w:t>
      </w:r>
    </w:p>
    <w:p>
      <w:pPr>
        <w:spacing w:after="0" w:line="160" w:lineRule="exact"/>
        <w:rPr>
          <w:sz w:val="20"/>
          <w:szCs w:val="20"/>
          <w:color w:val="auto"/>
        </w:rPr>
      </w:pPr>
    </w:p>
    <w:p>
      <w:pPr>
        <w:ind w:right="20" w:firstLine="656"/>
        <w:spacing w:after="0" w:line="263" w:lineRule="auto"/>
        <w:tabs>
          <w:tab w:leader="none" w:pos="1019" w:val="left"/>
        </w:tabs>
        <w:numPr>
          <w:ilvl w:val="0"/>
          <w:numId w:val="63"/>
        </w:numPr>
        <w:rPr>
          <w:rFonts w:ascii="Arial" w:cs="Arial" w:eastAsia="Arial" w:hAnsi="Arial"/>
          <w:sz w:val="22"/>
          <w:szCs w:val="22"/>
          <w:color w:val="auto"/>
        </w:rPr>
      </w:pPr>
      <w:r>
        <w:rPr>
          <w:rFonts w:ascii="Arial" w:cs="Arial" w:eastAsia="Arial" w:hAnsi="Arial"/>
          <w:sz w:val="22"/>
          <w:szCs w:val="22"/>
          <w:color w:val="auto"/>
        </w:rPr>
        <w:t>if the transferee shall take delivery in the form of a beneficial interest in the 144A Global Note, then the transferor must deliver a certificate in the form of Exhibit B hereto, including the certifications in item (1) thereof;</w:t>
      </w:r>
    </w:p>
    <w:p>
      <w:pPr>
        <w:spacing w:after="0" w:line="201" w:lineRule="exact"/>
        <w:rPr>
          <w:rFonts w:ascii="Arial" w:cs="Arial" w:eastAsia="Arial" w:hAnsi="Arial"/>
          <w:sz w:val="22"/>
          <w:szCs w:val="22"/>
          <w:color w:val="auto"/>
        </w:rPr>
      </w:pPr>
    </w:p>
    <w:p>
      <w:pPr>
        <w:jc w:val="both"/>
        <w:ind w:firstLine="656"/>
        <w:spacing w:after="0" w:line="253" w:lineRule="auto"/>
        <w:tabs>
          <w:tab w:leader="none" w:pos="999" w:val="left"/>
        </w:tabs>
        <w:numPr>
          <w:ilvl w:val="0"/>
          <w:numId w:val="63"/>
        </w:numPr>
        <w:rPr>
          <w:rFonts w:ascii="Arial" w:cs="Arial" w:eastAsia="Arial" w:hAnsi="Arial"/>
          <w:sz w:val="22"/>
          <w:szCs w:val="22"/>
          <w:color w:val="auto"/>
        </w:rPr>
      </w:pPr>
      <w:r>
        <w:rPr>
          <w:rFonts w:ascii="Arial" w:cs="Arial" w:eastAsia="Arial" w:hAnsi="Arial"/>
          <w:sz w:val="22"/>
          <w:szCs w:val="22"/>
          <w:color w:val="auto"/>
        </w:rPr>
        <w:t>if the transferee shall take delivery in the form of a beneficial interest in the Regulation S Temporary Global Note or the Regulation S Permanent Global Note, then the transferor must deliver a certificate in the form of Exhibit B hereto, including the certifications in item (2) thereof; and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1428" w:right="339" w:bottom="1440" w:gutter="0" w:footer="0" w:header="0"/>
        </w:sectPr>
      </w:pPr>
    </w:p>
    <w:bookmarkStart w:id="83" w:name="page84"/>
    <w:bookmarkEnd w:id="83"/>
    <w:p>
      <w:pPr>
        <w:spacing w:after="0" w:line="231" w:lineRule="exact"/>
        <w:rPr>
          <w:sz w:val="20"/>
          <w:szCs w:val="20"/>
          <w:color w:val="auto"/>
        </w:rPr>
      </w:pPr>
    </w:p>
    <w:p>
      <w:pPr>
        <w:jc w:val="both"/>
        <w:ind w:firstLine="656"/>
        <w:spacing w:after="0" w:line="253" w:lineRule="auto"/>
        <w:tabs>
          <w:tab w:leader="none" w:pos="994" w:val="left"/>
        </w:tabs>
        <w:numPr>
          <w:ilvl w:val="0"/>
          <w:numId w:val="64"/>
        </w:numPr>
        <w:rPr>
          <w:rFonts w:ascii="Arial" w:cs="Arial" w:eastAsia="Arial" w:hAnsi="Arial"/>
          <w:sz w:val="22"/>
          <w:szCs w:val="22"/>
          <w:color w:val="auto"/>
        </w:rPr>
      </w:pPr>
      <w:r>
        <w:rPr>
          <w:rFonts w:ascii="Arial" w:cs="Arial" w:eastAsia="Arial" w:hAnsi="Arial"/>
          <w:sz w:val="22"/>
          <w:szCs w:val="22"/>
          <w:color w:val="auto"/>
        </w:rPr>
        <w:t>if the transferee shall take delivery in the form of a beneficial interest in the IAI Global Note, then the transferor must deliver a certificate in the form of Exhibit B hereto, including the certifications, certificates and Opinion of Counsel required by item (3) thereof, if applicable.</w:t>
      </w:r>
    </w:p>
    <w:p>
      <w:pPr>
        <w:spacing w:after="0" w:line="212" w:lineRule="exact"/>
        <w:rPr>
          <w:sz w:val="20"/>
          <w:szCs w:val="20"/>
          <w:color w:val="auto"/>
        </w:rPr>
      </w:pPr>
    </w:p>
    <w:p>
      <w:pPr>
        <w:jc w:val="both"/>
        <w:ind w:firstLine="656"/>
        <w:spacing w:after="0" w:line="248" w:lineRule="auto"/>
        <w:tabs>
          <w:tab w:leader="none" w:pos="969" w:val="left"/>
        </w:tabs>
        <w:numPr>
          <w:ilvl w:val="0"/>
          <w:numId w:val="65"/>
        </w:numPr>
        <w:rPr>
          <w:rFonts w:ascii="Arial" w:cs="Arial" w:eastAsia="Arial" w:hAnsi="Arial"/>
          <w:sz w:val="22"/>
          <w:szCs w:val="22"/>
          <w:color w:val="auto"/>
        </w:rPr>
      </w:pPr>
      <w:r>
        <w:rPr>
          <w:rFonts w:ascii="Arial" w:cs="Arial" w:eastAsia="Arial" w:hAnsi="Arial"/>
          <w:sz w:val="22"/>
          <w:szCs w:val="22"/>
          <w:color w:val="auto"/>
        </w:rPr>
        <w:t>Transfer and Exchange of Beneficial Interests in a Restricted Global Note for Beneficial Interests in an Unrestricted Global Note.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2.06(b)(2) above and the Registrar receives the following:</w:t>
      </w:r>
    </w:p>
    <w:p>
      <w:pPr>
        <w:spacing w:after="0" w:line="219" w:lineRule="exact"/>
        <w:rPr>
          <w:sz w:val="20"/>
          <w:szCs w:val="20"/>
          <w:color w:val="auto"/>
        </w:rPr>
      </w:pPr>
    </w:p>
    <w:p>
      <w:pPr>
        <w:jc w:val="both"/>
        <w:ind w:firstLine="656"/>
        <w:spacing w:after="0" w:line="253" w:lineRule="auto"/>
        <w:tabs>
          <w:tab w:leader="none" w:pos="1005" w:val="left"/>
        </w:tabs>
        <w:numPr>
          <w:ilvl w:val="0"/>
          <w:numId w:val="66"/>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exchange such beneficial interest for a beneficial interest in an Unrestricted Global Note, a certificate from such holder in the form of Exhibit C hereto, including the certifications in item (1)(a) thereof; or</w:t>
      </w:r>
    </w:p>
    <w:p>
      <w:pPr>
        <w:spacing w:after="0" w:line="212" w:lineRule="exact"/>
        <w:rPr>
          <w:rFonts w:ascii="Arial" w:cs="Arial" w:eastAsia="Arial" w:hAnsi="Arial"/>
          <w:sz w:val="22"/>
          <w:szCs w:val="22"/>
          <w:color w:val="auto"/>
        </w:rPr>
      </w:pPr>
    </w:p>
    <w:p>
      <w:pPr>
        <w:jc w:val="both"/>
        <w:ind w:firstLine="656"/>
        <w:spacing w:after="0" w:line="253" w:lineRule="auto"/>
        <w:tabs>
          <w:tab w:leader="none" w:pos="1005" w:val="left"/>
        </w:tabs>
        <w:numPr>
          <w:ilvl w:val="0"/>
          <w:numId w:val="66"/>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transfer such beneficial interest to a Person who shall take delivery thereof in the form of a beneficial interest in an Unrestricted Global Note, a certificate from such holder in the form of Exhibit B hereto, including the certifications in item (4) thereof;</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21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If any such transfer is effected pursuant to this paragraph (4) above at a time when an Unrestricted Global Note has not yet been issued, the Issuers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this paragraph (4) above.</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Beneficial interests in an Unrestricted Global Note cannot be exchanged for, or transferred to Persons who take delivery thereof in the form of, a beneficial interest in a Restricted Global Note.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 Transfer or Exchange of Beneficial Interests for Definitive Notes.</w:t>
      </w:r>
    </w:p>
    <w:p>
      <w:pPr>
        <w:spacing w:after="0" w:line="247" w:lineRule="exact"/>
        <w:rPr>
          <w:sz w:val="20"/>
          <w:szCs w:val="20"/>
          <w:color w:val="auto"/>
        </w:rPr>
      </w:pPr>
    </w:p>
    <w:p>
      <w:pPr>
        <w:jc w:val="both"/>
        <w:ind w:firstLine="656"/>
        <w:spacing w:after="0" w:line="253" w:lineRule="auto"/>
        <w:tabs>
          <w:tab w:leader="none" w:pos="955" w:val="left"/>
        </w:tabs>
        <w:numPr>
          <w:ilvl w:val="0"/>
          <w:numId w:val="67"/>
        </w:numPr>
        <w:rPr>
          <w:rFonts w:ascii="Arial" w:cs="Arial" w:eastAsia="Arial" w:hAnsi="Arial"/>
          <w:sz w:val="22"/>
          <w:szCs w:val="22"/>
          <w:color w:val="auto"/>
        </w:rPr>
      </w:pPr>
      <w:r>
        <w:rPr>
          <w:rFonts w:ascii="Arial" w:cs="Arial" w:eastAsia="Arial" w:hAnsi="Arial"/>
          <w:sz w:val="22"/>
          <w:szCs w:val="22"/>
          <w:color w:val="auto"/>
        </w:rPr>
        <w:t>Beneficial Interests in Restricted Global Notes to Restricted Definitive Notes. If any holder of a beneficial interest in a Restricted Global Note proposes to exchange such beneficial interest for a Restricted Definitive Note or to transfer such beneficial interest to a Person who</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440" w:right="339" w:bottom="1440" w:gutter="0" w:footer="0" w:header="0"/>
        </w:sectPr>
      </w:pPr>
    </w:p>
    <w:bookmarkStart w:id="84" w:name="page85"/>
    <w:bookmarkEnd w:id="84"/>
    <w:p>
      <w:pPr>
        <w:spacing w:after="0" w:line="263" w:lineRule="auto"/>
        <w:rPr>
          <w:sz w:val="20"/>
          <w:szCs w:val="20"/>
          <w:color w:val="auto"/>
        </w:rPr>
      </w:pPr>
      <w:r>
        <w:rPr>
          <w:rFonts w:ascii="Arial" w:cs="Arial" w:eastAsia="Arial" w:hAnsi="Arial"/>
          <w:sz w:val="22"/>
          <w:szCs w:val="22"/>
          <w:color w:val="auto"/>
        </w:rPr>
        <w:t>takes delivery thereof in the form of a Restricted Definitive Note, then, upon receipt by the Registrar of the following documentation:</w:t>
      </w:r>
    </w:p>
    <w:p>
      <w:pPr>
        <w:spacing w:after="0" w:line="202" w:lineRule="exact"/>
        <w:rPr>
          <w:sz w:val="20"/>
          <w:szCs w:val="20"/>
          <w:color w:val="auto"/>
        </w:rPr>
      </w:pPr>
    </w:p>
    <w:p>
      <w:pPr>
        <w:jc w:val="both"/>
        <w:ind w:firstLine="656"/>
        <w:spacing w:after="0" w:line="291" w:lineRule="auto"/>
        <w:tabs>
          <w:tab w:leader="none" w:pos="1005" w:val="left"/>
        </w:tabs>
        <w:numPr>
          <w:ilvl w:val="1"/>
          <w:numId w:val="68"/>
        </w:numPr>
        <w:rPr>
          <w:rFonts w:ascii="Arial" w:cs="Arial" w:eastAsia="Arial" w:hAnsi="Arial"/>
          <w:sz w:val="19"/>
          <w:szCs w:val="19"/>
          <w:color w:val="auto"/>
        </w:rPr>
      </w:pPr>
      <w:r>
        <w:rPr>
          <w:rFonts w:ascii="Arial" w:cs="Arial" w:eastAsia="Arial" w:hAnsi="Arial"/>
          <w:sz w:val="19"/>
          <w:szCs w:val="19"/>
          <w:color w:val="auto"/>
        </w:rPr>
        <w:t>if the holder of such beneficial interest in a Restricted Global Note proposes to exchange such beneficial interest for a Restricted Definitive Note, a certificate from such holder in the form of Exhibit C hereto, including the certifications in item (2)</w:t>
      </w:r>
    </w:p>
    <w:p>
      <w:pPr>
        <w:spacing w:after="0" w:line="1" w:lineRule="exact"/>
        <w:rPr>
          <w:rFonts w:ascii="Arial" w:cs="Arial" w:eastAsia="Arial" w:hAnsi="Arial"/>
          <w:sz w:val="19"/>
          <w:szCs w:val="19"/>
          <w:color w:val="auto"/>
        </w:rPr>
      </w:pPr>
    </w:p>
    <w:p>
      <w:pPr>
        <w:ind w:left="300" w:hanging="292"/>
        <w:spacing w:after="0"/>
        <w:tabs>
          <w:tab w:leader="none" w:pos="300"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thereof;</w:t>
      </w:r>
    </w:p>
    <w:p>
      <w:pPr>
        <w:spacing w:after="0" w:line="228" w:lineRule="exact"/>
        <w:rPr>
          <w:rFonts w:ascii="Arial" w:cs="Arial" w:eastAsia="Arial" w:hAnsi="Arial"/>
          <w:sz w:val="22"/>
          <w:szCs w:val="22"/>
          <w:color w:val="auto"/>
        </w:rPr>
      </w:pPr>
    </w:p>
    <w:p>
      <w:pPr>
        <w:ind w:firstLine="656"/>
        <w:spacing w:after="0" w:line="263" w:lineRule="auto"/>
        <w:tabs>
          <w:tab w:leader="none" w:pos="1007" w:val="left"/>
        </w:tabs>
        <w:numPr>
          <w:ilvl w:val="1"/>
          <w:numId w:val="69"/>
        </w:numPr>
        <w:rPr>
          <w:rFonts w:ascii="Arial" w:cs="Arial" w:eastAsia="Arial" w:hAnsi="Arial"/>
          <w:sz w:val="22"/>
          <w:szCs w:val="22"/>
          <w:color w:val="auto"/>
        </w:rPr>
      </w:pPr>
      <w:r>
        <w:rPr>
          <w:rFonts w:ascii="Arial" w:cs="Arial" w:eastAsia="Arial" w:hAnsi="Arial"/>
          <w:sz w:val="22"/>
          <w:szCs w:val="22"/>
          <w:color w:val="auto"/>
        </w:rPr>
        <w:t>if such beneficial interest is being transferred to a QIB in accordance with Rule 144A, a certificate to the effect set forth in Exhibit B hereto, including the certifications in item (1) thereof;</w:t>
      </w:r>
    </w:p>
    <w:p>
      <w:pPr>
        <w:spacing w:after="0" w:line="201" w:lineRule="exact"/>
        <w:rPr>
          <w:rFonts w:ascii="Arial" w:cs="Arial" w:eastAsia="Arial" w:hAnsi="Arial"/>
          <w:sz w:val="22"/>
          <w:szCs w:val="22"/>
          <w:color w:val="auto"/>
        </w:rPr>
      </w:pPr>
    </w:p>
    <w:p>
      <w:pPr>
        <w:ind w:firstLine="656"/>
        <w:spacing w:after="0" w:line="343" w:lineRule="auto"/>
        <w:tabs>
          <w:tab w:leader="none" w:pos="992" w:val="left"/>
        </w:tabs>
        <w:numPr>
          <w:ilvl w:val="1"/>
          <w:numId w:val="69"/>
        </w:numPr>
        <w:rPr>
          <w:rFonts w:ascii="Arial" w:cs="Arial" w:eastAsia="Arial" w:hAnsi="Arial"/>
          <w:sz w:val="19"/>
          <w:szCs w:val="19"/>
          <w:color w:val="auto"/>
        </w:rPr>
      </w:pPr>
      <w:r>
        <w:rPr>
          <w:rFonts w:ascii="Arial" w:cs="Arial" w:eastAsia="Arial" w:hAnsi="Arial"/>
          <w:sz w:val="19"/>
          <w:szCs w:val="19"/>
          <w:color w:val="auto"/>
        </w:rPr>
        <w:t>if such beneficial interest is being transferred to a Non-U.S. Person in an offshore transaction in accordance with Rule 903 or Rule 904, a certificate to the effect set forth in Exhibit B hereto, including the certifications in item (2) thereof;</w:t>
      </w:r>
    </w:p>
    <w:p>
      <w:pPr>
        <w:spacing w:after="0" w:line="131" w:lineRule="exact"/>
        <w:rPr>
          <w:rFonts w:ascii="Arial" w:cs="Arial" w:eastAsia="Arial" w:hAnsi="Arial"/>
          <w:sz w:val="19"/>
          <w:szCs w:val="19"/>
          <w:color w:val="auto"/>
        </w:rPr>
      </w:pPr>
    </w:p>
    <w:p>
      <w:pPr>
        <w:jc w:val="both"/>
        <w:ind w:firstLine="656"/>
        <w:spacing w:after="0" w:line="253" w:lineRule="auto"/>
        <w:tabs>
          <w:tab w:leader="none" w:pos="1032" w:val="left"/>
        </w:tabs>
        <w:numPr>
          <w:ilvl w:val="1"/>
          <w:numId w:val="69"/>
        </w:numPr>
        <w:rPr>
          <w:rFonts w:ascii="Arial" w:cs="Arial" w:eastAsia="Arial" w:hAnsi="Arial"/>
          <w:sz w:val="22"/>
          <w:szCs w:val="22"/>
          <w:color w:val="auto"/>
        </w:rPr>
      </w:pPr>
      <w:r>
        <w:rPr>
          <w:rFonts w:ascii="Arial" w:cs="Arial" w:eastAsia="Arial" w:hAnsi="Arial"/>
          <w:sz w:val="22"/>
          <w:szCs w:val="22"/>
          <w:color w:val="auto"/>
        </w:rPr>
        <w:t>if such beneficial interest is being transferred pursuant to an exemption from the registration requirements of the Securities Act in accordance with Rule 144, a certificate to the effect set forth in Exhibit B hereto, including the certifications in item (3)(a) thereof;</w:t>
      </w:r>
    </w:p>
    <w:p>
      <w:pPr>
        <w:spacing w:after="0" w:line="212" w:lineRule="exact"/>
        <w:rPr>
          <w:rFonts w:ascii="Arial" w:cs="Arial" w:eastAsia="Arial" w:hAnsi="Arial"/>
          <w:sz w:val="22"/>
          <w:szCs w:val="22"/>
          <w:color w:val="auto"/>
        </w:rPr>
      </w:pPr>
    </w:p>
    <w:p>
      <w:pPr>
        <w:jc w:val="both"/>
        <w:ind w:firstLine="656"/>
        <w:spacing w:after="0" w:line="250" w:lineRule="auto"/>
        <w:tabs>
          <w:tab w:leader="none" w:pos="982" w:val="left"/>
        </w:tabs>
        <w:numPr>
          <w:ilvl w:val="1"/>
          <w:numId w:val="69"/>
        </w:numPr>
        <w:rPr>
          <w:rFonts w:ascii="Arial" w:cs="Arial" w:eastAsia="Arial" w:hAnsi="Arial"/>
          <w:sz w:val="22"/>
          <w:szCs w:val="22"/>
          <w:color w:val="auto"/>
        </w:rPr>
      </w:pPr>
      <w:r>
        <w:rPr>
          <w:rFonts w:ascii="Arial" w:cs="Arial" w:eastAsia="Arial" w:hAnsi="Arial"/>
          <w:sz w:val="22"/>
          <w:szCs w:val="22"/>
          <w:color w:val="auto"/>
        </w:rPr>
        <w:t>if such beneficial interest is being transferred to an Institutional Accredited Investor in reliance on an exemption from the registration requirements of the Securities Act other than those listed in subparagraphs (B) through (D) above, a certificate to the effect set forth in Exhibit B hereto, including the certifications, certificates and Opinion of Counsel required by item (3) thereof, if applicable; or</w:t>
      </w:r>
    </w:p>
    <w:p>
      <w:pPr>
        <w:spacing w:after="0" w:line="214" w:lineRule="exact"/>
        <w:rPr>
          <w:rFonts w:ascii="Arial" w:cs="Arial" w:eastAsia="Arial" w:hAnsi="Arial"/>
          <w:sz w:val="22"/>
          <w:szCs w:val="22"/>
          <w:color w:val="auto"/>
        </w:rPr>
      </w:pPr>
    </w:p>
    <w:p>
      <w:pPr>
        <w:jc w:val="both"/>
        <w:ind w:firstLine="656"/>
        <w:spacing w:after="0" w:line="288" w:lineRule="auto"/>
        <w:tabs>
          <w:tab w:leader="none" w:pos="979" w:val="left"/>
        </w:tabs>
        <w:numPr>
          <w:ilvl w:val="1"/>
          <w:numId w:val="69"/>
        </w:numPr>
        <w:rPr>
          <w:rFonts w:ascii="Arial" w:cs="Arial" w:eastAsia="Arial" w:hAnsi="Arial"/>
          <w:sz w:val="19"/>
          <w:szCs w:val="19"/>
          <w:color w:val="auto"/>
        </w:rPr>
      </w:pPr>
      <w:r>
        <w:rPr>
          <w:rFonts w:ascii="Arial" w:cs="Arial" w:eastAsia="Arial" w:hAnsi="Arial"/>
          <w:sz w:val="19"/>
          <w:szCs w:val="19"/>
          <w:color w:val="auto"/>
        </w:rPr>
        <w:t>if such beneficial interest is being transferred to the Issuers or any of their Subsidiaries, a certificate to the effect set forth in Exhibit B hereto, including the certifications in item (3)(b) thereof, the Trustee shall cause the aggregate principal amount of the applicable Global Note to be reduced accordingly pursuant to Section 2.06(g) hereof, and the Issuers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186" w:lineRule="exact"/>
        <w:rPr>
          <w:sz w:val="20"/>
          <w:szCs w:val="20"/>
          <w:color w:val="auto"/>
        </w:rPr>
      </w:pPr>
    </w:p>
    <w:p>
      <w:pPr>
        <w:ind w:left="980" w:hanging="324"/>
        <w:spacing w:after="0"/>
        <w:tabs>
          <w:tab w:leader="none" w:pos="980" w:val="left"/>
        </w:tabs>
        <w:numPr>
          <w:ilvl w:val="1"/>
          <w:numId w:val="70"/>
        </w:numPr>
        <w:rPr>
          <w:rFonts w:ascii="Arial" w:cs="Arial" w:eastAsia="Arial" w:hAnsi="Arial"/>
          <w:sz w:val="19"/>
          <w:szCs w:val="19"/>
          <w:color w:val="auto"/>
        </w:rPr>
      </w:pPr>
      <w:r>
        <w:rPr>
          <w:rFonts w:ascii="Arial" w:cs="Arial" w:eastAsia="Arial" w:hAnsi="Arial"/>
          <w:sz w:val="19"/>
          <w:szCs w:val="19"/>
          <w:color w:val="auto"/>
        </w:rPr>
        <w:t>Beneficial Interests in Regulation S Temporary Global Note to Definitive Notes. Notwithstanding Sections 2.06(c)(1)</w:t>
      </w:r>
    </w:p>
    <w:p>
      <w:pPr>
        <w:spacing w:after="0" w:line="55" w:lineRule="exact"/>
        <w:rPr>
          <w:rFonts w:ascii="Arial" w:cs="Arial" w:eastAsia="Arial" w:hAnsi="Arial"/>
          <w:sz w:val="19"/>
          <w:szCs w:val="19"/>
          <w:color w:val="auto"/>
        </w:rPr>
      </w:pPr>
    </w:p>
    <w:p>
      <w:pPr>
        <w:jc w:val="both"/>
        <w:ind w:firstLine="8"/>
        <w:spacing w:after="0" w:line="245" w:lineRule="auto"/>
        <w:tabs>
          <w:tab w:leader="none" w:pos="36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and (C) hereof, a beneficial interest in the Regulation S Temporary Global Note may not be exchanged for a Definitive Note or transferred to a Person who takes delivery thereof in the form of a Definitive Note prior to (A) the expiration of the Restricted Period and (B) the receipt by the Registrar of any certificates required pursuant to</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428" w:right="339" w:bottom="1440" w:gutter="0" w:footer="0" w:header="0"/>
        </w:sectPr>
      </w:pPr>
    </w:p>
    <w:bookmarkStart w:id="85" w:name="page86"/>
    <w:bookmarkEnd w:id="85"/>
    <w:p>
      <w:pPr>
        <w:spacing w:after="0" w:line="263" w:lineRule="auto"/>
        <w:rPr>
          <w:sz w:val="20"/>
          <w:szCs w:val="20"/>
          <w:color w:val="auto"/>
        </w:rPr>
      </w:pPr>
      <w:r>
        <w:rPr>
          <w:rFonts w:ascii="Arial" w:cs="Arial" w:eastAsia="Arial" w:hAnsi="Arial"/>
          <w:sz w:val="22"/>
          <w:szCs w:val="22"/>
          <w:color w:val="auto"/>
        </w:rPr>
        <w:t>Rule 903(b)(3)(ii)(B) under the Securities Act, except in the case of a transfer pursuant to an exemption from the registration requirements of the Securities Act other than Rule 903 or Rule 904.</w:t>
      </w:r>
    </w:p>
    <w:p>
      <w:pPr>
        <w:spacing w:after="0" w:line="202" w:lineRule="exact"/>
        <w:rPr>
          <w:sz w:val="20"/>
          <w:szCs w:val="20"/>
          <w:color w:val="auto"/>
        </w:rPr>
      </w:pPr>
    </w:p>
    <w:p>
      <w:pPr>
        <w:jc w:val="both"/>
        <w:ind w:firstLine="656"/>
        <w:spacing w:after="0" w:line="250" w:lineRule="auto"/>
        <w:tabs>
          <w:tab w:leader="none" w:pos="964" w:val="left"/>
        </w:tabs>
        <w:numPr>
          <w:ilvl w:val="0"/>
          <w:numId w:val="72"/>
        </w:numPr>
        <w:rPr>
          <w:rFonts w:ascii="Arial" w:cs="Arial" w:eastAsia="Arial" w:hAnsi="Arial"/>
          <w:sz w:val="22"/>
          <w:szCs w:val="22"/>
          <w:color w:val="auto"/>
        </w:rPr>
      </w:pPr>
      <w:r>
        <w:rPr>
          <w:rFonts w:ascii="Arial" w:cs="Arial" w:eastAsia="Arial" w:hAnsi="Arial"/>
          <w:sz w:val="22"/>
          <w:szCs w:val="22"/>
          <w:color w:val="auto"/>
        </w:rPr>
        <w:t>Beneficial Interests in Restricted Global Notes to Unrestricted Definitive Notes. A holder of a beneficial interest in a Restricted Global Note may exchange such beneficial interest for an Unrestricted Definitive Note or may transfer such beneficial interest to a Person who takes delivery thereof in the form of an Unrestricted Definitive Note only if the Registrar receives the following:</w:t>
      </w:r>
    </w:p>
    <w:p>
      <w:pPr>
        <w:spacing w:after="0" w:line="215" w:lineRule="exact"/>
        <w:rPr>
          <w:sz w:val="20"/>
          <w:szCs w:val="20"/>
          <w:color w:val="auto"/>
        </w:rPr>
      </w:pPr>
    </w:p>
    <w:p>
      <w:pPr>
        <w:jc w:val="both"/>
        <w:ind w:firstLine="656"/>
        <w:spacing w:after="0" w:line="291" w:lineRule="auto"/>
        <w:tabs>
          <w:tab w:leader="none" w:pos="908" w:val="left"/>
        </w:tabs>
        <w:numPr>
          <w:ilvl w:val="0"/>
          <w:numId w:val="73"/>
        </w:numPr>
        <w:rPr>
          <w:rFonts w:ascii="Arial" w:cs="Arial" w:eastAsia="Arial" w:hAnsi="Arial"/>
          <w:sz w:val="19"/>
          <w:szCs w:val="19"/>
          <w:color w:val="auto"/>
        </w:rPr>
      </w:pPr>
      <w:r>
        <w:rPr>
          <w:rFonts w:ascii="Arial" w:cs="Arial" w:eastAsia="Arial" w:hAnsi="Arial"/>
          <w:sz w:val="19"/>
          <w:szCs w:val="19"/>
          <w:color w:val="auto"/>
        </w:rPr>
        <w:t>if the holder of such beneficial interest in a Restricted Global Note proposes to exchange such beneficial interest for an Unrestricted Definitive Note, a certificate from such holder in the form of Exhibit C hereto, including the certifications in item</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(1)(b) thereof; or</w:t>
      </w:r>
    </w:p>
    <w:p>
      <w:pPr>
        <w:spacing w:after="0" w:line="228" w:lineRule="exact"/>
        <w:rPr>
          <w:rFonts w:ascii="Arial" w:cs="Arial" w:eastAsia="Arial" w:hAnsi="Arial"/>
          <w:sz w:val="19"/>
          <w:szCs w:val="19"/>
          <w:color w:val="auto"/>
        </w:rPr>
      </w:pPr>
    </w:p>
    <w:p>
      <w:pPr>
        <w:jc w:val="both"/>
        <w:ind w:firstLine="656"/>
        <w:spacing w:after="0" w:line="253" w:lineRule="auto"/>
        <w:tabs>
          <w:tab w:leader="none" w:pos="983" w:val="left"/>
        </w:tabs>
        <w:numPr>
          <w:ilvl w:val="0"/>
          <w:numId w:val="73"/>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transfer such beneficial interest to a Person who shall take delivery thereof in the form of an Unrestricted Definitive Note, a certificate from such holder in the form of Exhibit B hereto, including the certifications in item (4) thereof;</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215" w:lineRule="exact"/>
        <w:rPr>
          <w:sz w:val="20"/>
          <w:szCs w:val="20"/>
          <w:color w:val="auto"/>
        </w:rPr>
      </w:pPr>
    </w:p>
    <w:p>
      <w:pPr>
        <w:jc w:val="both"/>
        <w:ind w:firstLine="656"/>
        <w:spacing w:after="0" w:line="257" w:lineRule="auto"/>
        <w:tabs>
          <w:tab w:leader="none" w:pos="955" w:val="left"/>
        </w:tabs>
        <w:numPr>
          <w:ilvl w:val="0"/>
          <w:numId w:val="74"/>
        </w:numPr>
        <w:rPr>
          <w:rFonts w:ascii="Arial" w:cs="Arial" w:eastAsia="Arial" w:hAnsi="Arial"/>
          <w:sz w:val="21"/>
          <w:szCs w:val="21"/>
          <w:color w:val="auto"/>
        </w:rPr>
      </w:pPr>
      <w:r>
        <w:rPr>
          <w:rFonts w:ascii="Arial" w:cs="Arial" w:eastAsia="Arial" w:hAnsi="Arial"/>
          <w:sz w:val="21"/>
          <w:szCs w:val="21"/>
          <w:color w:val="auto"/>
        </w:rPr>
        <w:t>Beneficial Interests in Unrestricted Global Notes to Unrestricted Definitive Notes. If any holder of a beneficial interest in an Unrestricted Global Note proposes to exchange such beneficial interest for a Definitive Note or to transfer such beneficial interest to a Person who takes delivery thereof in the form of a Definitive Note, then, upon satisfaction of the conditions set forth in Section 2.06(b)(2) hereof, the Trustee shall cause the aggregate principal amount of the applicable Global Note to be reduced accordingly pursuant to Section 2.06(h) hereof, and the Issuers shall execute and the Trustee shall authenticate and deliver to the Person designated in the instructions a Definitive Note in the appropriate principal amount. Any Definitive Note issued in exchange for a beneficial interest pursuant to this Section 2.06(c)(4) shall be registered in such name or names and in such authorized denomination or denominations as the holder of such beneficial interest requests through instructions to the Registrar from or through the Depositary and the Participant or Indirect Participant. The Trustee shall deliver such Definitive Notes to the Persons in whose names such Notes are so registered. Any Definitive Note issued in exchange for a beneficial interest pursuant to this Section 2.06(c)(4) shall not bear the Private Placement Legend. (d) Transfer and Exchange of Definitive Notes for Beneficial Interests.</w:t>
      </w:r>
    </w:p>
    <w:p>
      <w:pPr>
        <w:spacing w:after="0" w:line="218" w:lineRule="exact"/>
        <w:rPr>
          <w:sz w:val="20"/>
          <w:szCs w:val="20"/>
          <w:color w:val="auto"/>
        </w:rPr>
      </w:pPr>
    </w:p>
    <w:p>
      <w:pPr>
        <w:jc w:val="both"/>
        <w:ind w:firstLine="656"/>
        <w:spacing w:after="0" w:line="253" w:lineRule="auto"/>
        <w:tabs>
          <w:tab w:leader="none" w:pos="959" w:val="left"/>
        </w:tabs>
        <w:numPr>
          <w:ilvl w:val="0"/>
          <w:numId w:val="75"/>
        </w:numPr>
        <w:rPr>
          <w:rFonts w:ascii="Arial" w:cs="Arial" w:eastAsia="Arial" w:hAnsi="Arial"/>
          <w:sz w:val="22"/>
          <w:szCs w:val="22"/>
          <w:color w:val="auto"/>
        </w:rPr>
      </w:pPr>
      <w:r>
        <w:rPr>
          <w:rFonts w:ascii="Arial" w:cs="Arial" w:eastAsia="Arial" w:hAnsi="Arial"/>
          <w:sz w:val="22"/>
          <w:szCs w:val="22"/>
          <w:color w:val="auto"/>
        </w:rPr>
        <w:t>Restricted Definitive Notes to Beneficial Interests in Restricted Global Notes. If any Holder of a Restricted Definitive Note proposes to exchange such Note for a beneficial interest in a Restricted Global Note or to transfer such Restricted Definitive Notes to a Person who takes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428" w:right="339" w:bottom="1440" w:gutter="0" w:footer="0" w:header="0"/>
        </w:sectPr>
      </w:pPr>
    </w:p>
    <w:bookmarkStart w:id="86" w:name="page87"/>
    <w:bookmarkEnd w:id="86"/>
    <w:p>
      <w:pPr>
        <w:spacing w:after="0" w:line="263" w:lineRule="auto"/>
        <w:rPr>
          <w:sz w:val="20"/>
          <w:szCs w:val="20"/>
          <w:color w:val="auto"/>
        </w:rPr>
      </w:pPr>
      <w:r>
        <w:rPr>
          <w:rFonts w:ascii="Arial" w:cs="Arial" w:eastAsia="Arial" w:hAnsi="Arial"/>
          <w:sz w:val="22"/>
          <w:szCs w:val="22"/>
          <w:color w:val="auto"/>
        </w:rPr>
        <w:t>delivery thereof in the form of a beneficial interest in a Restricted Global Note, then, upon receipt by the Registrar of the following documentation:</w:t>
      </w:r>
    </w:p>
    <w:p>
      <w:pPr>
        <w:spacing w:after="0" w:line="202" w:lineRule="exact"/>
        <w:rPr>
          <w:sz w:val="20"/>
          <w:szCs w:val="20"/>
          <w:color w:val="auto"/>
        </w:rPr>
      </w:pPr>
    </w:p>
    <w:p>
      <w:pPr>
        <w:jc w:val="both"/>
        <w:ind w:firstLine="656"/>
        <w:spacing w:after="0" w:line="253" w:lineRule="auto"/>
        <w:tabs>
          <w:tab w:leader="none" w:pos="1046" w:val="left"/>
        </w:tabs>
        <w:numPr>
          <w:ilvl w:val="0"/>
          <w:numId w:val="76"/>
        </w:numPr>
        <w:rPr>
          <w:rFonts w:ascii="Arial" w:cs="Arial" w:eastAsia="Arial" w:hAnsi="Arial"/>
          <w:sz w:val="22"/>
          <w:szCs w:val="22"/>
          <w:color w:val="auto"/>
        </w:rPr>
      </w:pPr>
      <w:r>
        <w:rPr>
          <w:rFonts w:ascii="Arial" w:cs="Arial" w:eastAsia="Arial" w:hAnsi="Arial"/>
          <w:sz w:val="22"/>
          <w:szCs w:val="22"/>
          <w:color w:val="auto"/>
        </w:rPr>
        <w:t>if the Holder of such Restricted Definitive Note proposes to exchange such Note for a beneficial interest in a Restricted Global Note, a certificate from such Holder in the form of Exhibit C hereto, including the certifications in item (2)(b) thereof;</w:t>
      </w:r>
    </w:p>
    <w:p>
      <w:pPr>
        <w:spacing w:after="0" w:line="212" w:lineRule="exact"/>
        <w:rPr>
          <w:rFonts w:ascii="Arial" w:cs="Arial" w:eastAsia="Arial" w:hAnsi="Arial"/>
          <w:sz w:val="22"/>
          <w:szCs w:val="22"/>
          <w:color w:val="auto"/>
        </w:rPr>
      </w:pPr>
    </w:p>
    <w:p>
      <w:pPr>
        <w:ind w:firstLine="656"/>
        <w:spacing w:after="0" w:line="263" w:lineRule="auto"/>
        <w:tabs>
          <w:tab w:leader="none" w:pos="1013" w:val="left"/>
        </w:tabs>
        <w:numPr>
          <w:ilvl w:val="0"/>
          <w:numId w:val="76"/>
        </w:numPr>
        <w:rPr>
          <w:rFonts w:ascii="Arial" w:cs="Arial" w:eastAsia="Arial" w:hAnsi="Arial"/>
          <w:sz w:val="22"/>
          <w:szCs w:val="22"/>
          <w:color w:val="auto"/>
        </w:rPr>
      </w:pPr>
      <w:r>
        <w:rPr>
          <w:rFonts w:ascii="Arial" w:cs="Arial" w:eastAsia="Arial" w:hAnsi="Arial"/>
          <w:sz w:val="22"/>
          <w:szCs w:val="22"/>
          <w:color w:val="auto"/>
        </w:rPr>
        <w:t>if such Restricted Definitive Note is being transferred to a QIB in accordance with Rule 144A, a certificate to the effect set forth in Exhibit B hereto, including the certifications in item (1) thereof;</w:t>
      </w:r>
    </w:p>
    <w:p>
      <w:pPr>
        <w:spacing w:after="0" w:line="201" w:lineRule="exact"/>
        <w:rPr>
          <w:rFonts w:ascii="Arial" w:cs="Arial" w:eastAsia="Arial" w:hAnsi="Arial"/>
          <w:sz w:val="22"/>
          <w:szCs w:val="22"/>
          <w:color w:val="auto"/>
        </w:rPr>
      </w:pPr>
    </w:p>
    <w:p>
      <w:pPr>
        <w:ind w:firstLine="656"/>
        <w:spacing w:after="0" w:line="343" w:lineRule="auto"/>
        <w:tabs>
          <w:tab w:leader="none" w:pos="1001" w:val="left"/>
        </w:tabs>
        <w:numPr>
          <w:ilvl w:val="0"/>
          <w:numId w:val="76"/>
        </w:numPr>
        <w:rPr>
          <w:rFonts w:ascii="Arial" w:cs="Arial" w:eastAsia="Arial" w:hAnsi="Arial"/>
          <w:sz w:val="19"/>
          <w:szCs w:val="19"/>
          <w:color w:val="auto"/>
        </w:rPr>
      </w:pPr>
      <w:r>
        <w:rPr>
          <w:rFonts w:ascii="Arial" w:cs="Arial" w:eastAsia="Arial" w:hAnsi="Arial"/>
          <w:sz w:val="19"/>
          <w:szCs w:val="19"/>
          <w:color w:val="auto"/>
        </w:rPr>
        <w:t>if such Restricted Definitive Note is being transferred to a Non-U.S. Person in an offshore transaction in accordance with Rule 903 or Rule 904, a certificate to the effect set forth in Exhibit B hereto, including the certifications in item (2) thereof;</w:t>
      </w:r>
    </w:p>
    <w:p>
      <w:pPr>
        <w:spacing w:after="0" w:line="131" w:lineRule="exact"/>
        <w:rPr>
          <w:rFonts w:ascii="Arial" w:cs="Arial" w:eastAsia="Arial" w:hAnsi="Arial"/>
          <w:sz w:val="19"/>
          <w:szCs w:val="19"/>
          <w:color w:val="auto"/>
        </w:rPr>
      </w:pPr>
    </w:p>
    <w:p>
      <w:pPr>
        <w:jc w:val="both"/>
        <w:ind w:firstLine="656"/>
        <w:spacing w:after="0" w:line="253" w:lineRule="auto"/>
        <w:tabs>
          <w:tab w:leader="none" w:pos="1007" w:val="left"/>
        </w:tabs>
        <w:numPr>
          <w:ilvl w:val="0"/>
          <w:numId w:val="76"/>
        </w:numPr>
        <w:rPr>
          <w:rFonts w:ascii="Arial" w:cs="Arial" w:eastAsia="Arial" w:hAnsi="Arial"/>
          <w:sz w:val="22"/>
          <w:szCs w:val="22"/>
          <w:color w:val="auto"/>
        </w:rPr>
      </w:pPr>
      <w:r>
        <w:rPr>
          <w:rFonts w:ascii="Arial" w:cs="Arial" w:eastAsia="Arial" w:hAnsi="Arial"/>
          <w:sz w:val="22"/>
          <w:szCs w:val="22"/>
          <w:color w:val="auto"/>
        </w:rPr>
        <w:t>if such Restricted Definitive Note is being transferred pursuant to an exemption from the registration requirements of the Securities Act in accordance with Rule 144, a certificate to the effect set forth in Exhibit B hereto, including the certifications in item (3)(a) thereof;</w:t>
      </w:r>
    </w:p>
    <w:p>
      <w:pPr>
        <w:spacing w:after="0" w:line="212" w:lineRule="exact"/>
        <w:rPr>
          <w:rFonts w:ascii="Arial" w:cs="Arial" w:eastAsia="Arial" w:hAnsi="Arial"/>
          <w:sz w:val="22"/>
          <w:szCs w:val="22"/>
          <w:color w:val="auto"/>
        </w:rPr>
      </w:pPr>
    </w:p>
    <w:p>
      <w:pPr>
        <w:jc w:val="both"/>
        <w:ind w:firstLine="656"/>
        <w:spacing w:after="0" w:line="250" w:lineRule="auto"/>
        <w:tabs>
          <w:tab w:leader="none" w:pos="1024" w:val="left"/>
        </w:tabs>
        <w:numPr>
          <w:ilvl w:val="0"/>
          <w:numId w:val="76"/>
        </w:numPr>
        <w:rPr>
          <w:rFonts w:ascii="Arial" w:cs="Arial" w:eastAsia="Arial" w:hAnsi="Arial"/>
          <w:sz w:val="22"/>
          <w:szCs w:val="22"/>
          <w:color w:val="auto"/>
        </w:rPr>
      </w:pPr>
      <w:r>
        <w:rPr>
          <w:rFonts w:ascii="Arial" w:cs="Arial" w:eastAsia="Arial" w:hAnsi="Arial"/>
          <w:sz w:val="22"/>
          <w:szCs w:val="22"/>
          <w:color w:val="auto"/>
        </w:rPr>
        <w:t>if such Restricted Definitive Note is being transferred to an Institutional Accredited Investor in reliance on an exemption from the registration requirements of the Securities Act other than those listed in subparagraphs (B) through (D) above, a certificate to the effect set forth in Exhibit B hereto, including the certifications, certificates and Opinion of Counsel required by item (3) thereof, if applicable; or</w:t>
      </w:r>
    </w:p>
    <w:p>
      <w:pPr>
        <w:spacing w:after="0" w:line="214" w:lineRule="exact"/>
        <w:rPr>
          <w:rFonts w:ascii="Arial" w:cs="Arial" w:eastAsia="Arial" w:hAnsi="Arial"/>
          <w:sz w:val="22"/>
          <w:szCs w:val="22"/>
          <w:color w:val="auto"/>
        </w:rPr>
      </w:pPr>
    </w:p>
    <w:p>
      <w:pPr>
        <w:jc w:val="both"/>
        <w:ind w:firstLine="656"/>
        <w:spacing w:after="0" w:line="248" w:lineRule="auto"/>
        <w:tabs>
          <w:tab w:leader="none" w:pos="985" w:val="left"/>
        </w:tabs>
        <w:numPr>
          <w:ilvl w:val="0"/>
          <w:numId w:val="76"/>
        </w:numPr>
        <w:rPr>
          <w:rFonts w:ascii="Arial" w:cs="Arial" w:eastAsia="Arial" w:hAnsi="Arial"/>
          <w:sz w:val="22"/>
          <w:szCs w:val="22"/>
          <w:color w:val="auto"/>
        </w:rPr>
      </w:pPr>
      <w:r>
        <w:rPr>
          <w:rFonts w:ascii="Arial" w:cs="Arial" w:eastAsia="Arial" w:hAnsi="Arial"/>
          <w:sz w:val="22"/>
          <w:szCs w:val="22"/>
          <w:color w:val="auto"/>
        </w:rPr>
        <w:t>if such Restricted Definitive Note is being transferred to the Issuers or any of their Subsidiaries, a certificate to the effect set forth in Exhibit B hereto, including the certifications in item (3)(b) thereof, the Trustee shall cancel the Restricted Definitive Note, increase or cause to be increased the aggregate principal amount of, in the case of clause (A) above, the appropriate Restricted Global Note, in the case of clause (B) above, the 144A Global Note, in the case of clause (C) above, the Regulation S Global Note.</w:t>
      </w:r>
    </w:p>
    <w:p>
      <w:pPr>
        <w:spacing w:after="0" w:line="219" w:lineRule="exact"/>
        <w:rPr>
          <w:sz w:val="20"/>
          <w:szCs w:val="20"/>
          <w:color w:val="auto"/>
        </w:rPr>
      </w:pPr>
    </w:p>
    <w:p>
      <w:pPr>
        <w:jc w:val="both"/>
        <w:ind w:firstLine="656"/>
        <w:spacing w:after="0" w:line="250" w:lineRule="auto"/>
        <w:tabs>
          <w:tab w:leader="none" w:pos="970" w:val="left"/>
        </w:tabs>
        <w:numPr>
          <w:ilvl w:val="0"/>
          <w:numId w:val="77"/>
        </w:numPr>
        <w:rPr>
          <w:rFonts w:ascii="Arial" w:cs="Arial" w:eastAsia="Arial" w:hAnsi="Arial"/>
          <w:sz w:val="22"/>
          <w:szCs w:val="22"/>
          <w:color w:val="auto"/>
        </w:rPr>
      </w:pPr>
      <w:r>
        <w:rPr>
          <w:rFonts w:ascii="Arial" w:cs="Arial" w:eastAsia="Arial" w:hAnsi="Arial"/>
          <w:sz w:val="22"/>
          <w:szCs w:val="22"/>
          <w:color w:val="auto"/>
        </w:rPr>
        <w:t>Restricted Definitive Notes to Beneficial Interests in Unrestricted Global Notes. A Holder of a Restricted Definitive Note may exchange such Note for a beneficial interest in an Unrestricted Global Note or transfer such Restricted Definitive Note to a Person who takes delivery thereof in the form of a beneficial interest in an Unrestricted Global Note only if the Registrar receives the following:</w:t>
      </w:r>
    </w:p>
    <w:p>
      <w:pPr>
        <w:spacing w:after="0" w:line="215" w:lineRule="exact"/>
        <w:rPr>
          <w:sz w:val="20"/>
          <w:szCs w:val="20"/>
          <w:color w:val="auto"/>
        </w:rPr>
      </w:pPr>
    </w:p>
    <w:p>
      <w:pPr>
        <w:ind w:right="20" w:firstLine="656"/>
        <w:spacing w:after="0" w:line="343" w:lineRule="auto"/>
        <w:tabs>
          <w:tab w:leader="none" w:pos="1018" w:val="left"/>
        </w:tabs>
        <w:numPr>
          <w:ilvl w:val="0"/>
          <w:numId w:val="78"/>
        </w:numPr>
        <w:rPr>
          <w:rFonts w:ascii="Arial" w:cs="Arial" w:eastAsia="Arial" w:hAnsi="Arial"/>
          <w:sz w:val="19"/>
          <w:szCs w:val="19"/>
          <w:color w:val="auto"/>
        </w:rPr>
      </w:pPr>
      <w:r>
        <w:rPr>
          <w:rFonts w:ascii="Arial" w:cs="Arial" w:eastAsia="Arial" w:hAnsi="Arial"/>
          <w:sz w:val="19"/>
          <w:szCs w:val="19"/>
          <w:color w:val="auto"/>
        </w:rPr>
        <w:t>if the Holder of such Definitive Notes proposes to exchange such Notes for a beneficial interest in the Unrestricted Global Note, a certificate from such Holder in the form of Exhibit C hereto, including the certifications in item (1)(c) thereof; or</w:t>
      </w:r>
    </w:p>
    <w:p>
      <w:pPr>
        <w:spacing w:after="0" w:line="131" w:lineRule="exact"/>
        <w:rPr>
          <w:rFonts w:ascii="Arial" w:cs="Arial" w:eastAsia="Arial" w:hAnsi="Arial"/>
          <w:sz w:val="19"/>
          <w:szCs w:val="19"/>
          <w:color w:val="auto"/>
        </w:rPr>
      </w:pPr>
    </w:p>
    <w:p>
      <w:pPr>
        <w:jc w:val="both"/>
        <w:ind w:firstLine="656"/>
        <w:spacing w:after="0" w:line="253" w:lineRule="auto"/>
        <w:tabs>
          <w:tab w:leader="none" w:pos="1001" w:val="left"/>
        </w:tabs>
        <w:numPr>
          <w:ilvl w:val="0"/>
          <w:numId w:val="78"/>
        </w:numPr>
        <w:rPr>
          <w:rFonts w:ascii="Arial" w:cs="Arial" w:eastAsia="Arial" w:hAnsi="Arial"/>
          <w:sz w:val="22"/>
          <w:szCs w:val="22"/>
          <w:color w:val="auto"/>
        </w:rPr>
      </w:pPr>
      <w:r>
        <w:rPr>
          <w:rFonts w:ascii="Arial" w:cs="Arial" w:eastAsia="Arial" w:hAnsi="Arial"/>
          <w:sz w:val="22"/>
          <w:szCs w:val="22"/>
          <w:color w:val="auto"/>
        </w:rPr>
        <w:t>if the Holder of such Definitive Notes proposes to transfer such Notes to a Person who shall take delivery thereof in the form of a beneficial interest in the Unrestricted Global Note, a certificate from such Holder in the form of Exhibit B hereto, including the certifications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1428" w:right="339" w:bottom="1440" w:gutter="0" w:footer="0" w:header="0"/>
        </w:sectPr>
      </w:pPr>
    </w:p>
    <w:bookmarkStart w:id="87" w:name="page88"/>
    <w:bookmarkEnd w:id="87"/>
    <w:p>
      <w:pPr>
        <w:jc w:val="both"/>
        <w:spacing w:after="0" w:line="250" w:lineRule="auto"/>
        <w:rPr>
          <w:sz w:val="20"/>
          <w:szCs w:val="20"/>
          <w:color w:val="auto"/>
        </w:rPr>
      </w:pPr>
      <w:r>
        <w:rPr>
          <w:rFonts w:ascii="Arial" w:cs="Arial" w:eastAsia="Arial" w:hAnsi="Arial"/>
          <w:sz w:val="22"/>
          <w:szCs w:val="22"/>
          <w:color w:val="auto"/>
        </w:rPr>
        <w:t>in item (4) thereof; 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215"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Upon satisfaction of the conditions of any of the subparagraphs in this Section 2.06(d)(2), the Trustee shall cancel the Definitive Notes and increase or cause to be increased the aggregate principal amount of the Unrestricted Global Note.</w:t>
      </w:r>
    </w:p>
    <w:p>
      <w:pPr>
        <w:spacing w:after="0" w:line="131" w:lineRule="exact"/>
        <w:rPr>
          <w:sz w:val="20"/>
          <w:szCs w:val="20"/>
          <w:color w:val="auto"/>
        </w:rPr>
      </w:pPr>
    </w:p>
    <w:p>
      <w:pPr>
        <w:jc w:val="both"/>
        <w:ind w:firstLine="656"/>
        <w:spacing w:after="0" w:line="297" w:lineRule="auto"/>
        <w:tabs>
          <w:tab w:leader="none" w:pos="1000" w:val="left"/>
        </w:tabs>
        <w:numPr>
          <w:ilvl w:val="0"/>
          <w:numId w:val="79"/>
        </w:numPr>
        <w:rPr>
          <w:rFonts w:ascii="Arial" w:cs="Arial" w:eastAsia="Arial" w:hAnsi="Arial"/>
          <w:sz w:val="19"/>
          <w:szCs w:val="19"/>
          <w:color w:val="auto"/>
        </w:rPr>
      </w:pPr>
      <w:r>
        <w:rPr>
          <w:rFonts w:ascii="Arial" w:cs="Arial" w:eastAsia="Arial" w:hAnsi="Arial"/>
          <w:sz w:val="19"/>
          <w:szCs w:val="19"/>
          <w:color w:val="auto"/>
        </w:rPr>
        <w:t>Unrestricted Definitive Notes to Beneficial Interests in Unrestricted Global Notes. A Holder of an Unrestricted 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any such exchange or transfer from a Definitive Note to a beneficial interest is effected pursuant to subparagraphs (2) or</w:t>
      </w:r>
    </w:p>
    <w:p>
      <w:pPr>
        <w:spacing w:after="0" w:line="56" w:lineRule="exact"/>
        <w:rPr>
          <w:sz w:val="20"/>
          <w:szCs w:val="20"/>
          <w:color w:val="auto"/>
        </w:rPr>
      </w:pPr>
    </w:p>
    <w:p>
      <w:pPr>
        <w:jc w:val="both"/>
        <w:ind w:firstLine="8"/>
        <w:spacing w:after="0" w:line="302" w:lineRule="auto"/>
        <w:tabs>
          <w:tab w:leader="none" w:pos="329" w:val="left"/>
        </w:tabs>
        <w:numPr>
          <w:ilvl w:val="0"/>
          <w:numId w:val="80"/>
        </w:numPr>
        <w:rPr>
          <w:rFonts w:ascii="Arial" w:cs="Arial" w:eastAsia="Arial" w:hAnsi="Arial"/>
          <w:sz w:val="19"/>
          <w:szCs w:val="19"/>
          <w:color w:val="auto"/>
        </w:rPr>
      </w:pPr>
      <w:r>
        <w:rPr>
          <w:rFonts w:ascii="Arial" w:cs="Arial" w:eastAsia="Arial" w:hAnsi="Arial"/>
          <w:sz w:val="19"/>
          <w:szCs w:val="19"/>
          <w:color w:val="auto"/>
        </w:rPr>
        <w:t>above at a time when an Unrestricted Global Note has not yet been issued, the Issuers shall issue and, upon receipt of an Authentication Order in accordance with Section 2.02 hereof, the Trustee shall authenticate one or more Unrestricted Global Notes in an aggregate principal amount equal to the principal amount of Definitive Notes so transferred.</w:t>
      </w:r>
    </w:p>
    <w:p>
      <w:pPr>
        <w:spacing w:after="0" w:line="169" w:lineRule="exact"/>
        <w:rPr>
          <w:rFonts w:ascii="Arial" w:cs="Arial" w:eastAsia="Arial" w:hAnsi="Arial"/>
          <w:sz w:val="19"/>
          <w:szCs w:val="19"/>
          <w:color w:val="auto"/>
        </w:rPr>
      </w:pPr>
    </w:p>
    <w:p>
      <w:pPr>
        <w:jc w:val="both"/>
        <w:ind w:firstLine="656"/>
        <w:spacing w:after="0" w:line="246" w:lineRule="auto"/>
        <w:tabs>
          <w:tab w:leader="none" w:pos="961" w:val="left"/>
        </w:tabs>
        <w:numPr>
          <w:ilvl w:val="1"/>
          <w:numId w:val="80"/>
        </w:numPr>
        <w:rPr>
          <w:rFonts w:ascii="Arial" w:cs="Arial" w:eastAsia="Arial" w:hAnsi="Arial"/>
          <w:sz w:val="22"/>
          <w:szCs w:val="22"/>
          <w:color w:val="auto"/>
        </w:rPr>
      </w:pPr>
      <w:r>
        <w:rPr>
          <w:rFonts w:ascii="Arial" w:cs="Arial" w:eastAsia="Arial" w:hAnsi="Arial"/>
          <w:sz w:val="22"/>
          <w:szCs w:val="22"/>
          <w:color w:val="auto"/>
        </w:rPr>
        <w:t>Transfer and Exchange of Definitive Notes for Definitive Notes. Upon request by a Holder of Definitive Notes and such Holder’s compliance with the provisions of this Section 2.06(e), the Registrar shall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223" w:lineRule="exact"/>
        <w:rPr>
          <w:sz w:val="20"/>
          <w:szCs w:val="20"/>
          <w:color w:val="auto"/>
        </w:rPr>
      </w:pPr>
    </w:p>
    <w:p>
      <w:pPr>
        <w:jc w:val="both"/>
        <w:ind w:firstLine="656"/>
        <w:spacing w:after="0" w:line="253" w:lineRule="auto"/>
        <w:tabs>
          <w:tab w:leader="none" w:pos="966" w:val="left"/>
        </w:tabs>
        <w:numPr>
          <w:ilvl w:val="0"/>
          <w:numId w:val="81"/>
        </w:numPr>
        <w:rPr>
          <w:rFonts w:ascii="Arial" w:cs="Arial" w:eastAsia="Arial" w:hAnsi="Arial"/>
          <w:sz w:val="22"/>
          <w:szCs w:val="22"/>
          <w:color w:val="auto"/>
        </w:rPr>
      </w:pPr>
      <w:r>
        <w:rPr>
          <w:rFonts w:ascii="Arial" w:cs="Arial" w:eastAsia="Arial" w:hAnsi="Arial"/>
          <w:sz w:val="22"/>
          <w:szCs w:val="22"/>
          <w:color w:val="auto"/>
        </w:rPr>
        <w:t>Restricted Definitive Notes to Restricted Definitive Notes. Any Restricted Definitive Note may be transferred to and registered in the name of Persons who take delivery thereof in the form of a Restricted Definitive Note if the Registrar receives the following:</w:t>
      </w:r>
    </w:p>
    <w:p>
      <w:pPr>
        <w:spacing w:after="0" w:line="212" w:lineRule="exact"/>
        <w:rPr>
          <w:sz w:val="20"/>
          <w:szCs w:val="20"/>
          <w:color w:val="auto"/>
        </w:rPr>
      </w:pPr>
    </w:p>
    <w:p>
      <w:pPr>
        <w:ind w:firstLine="656"/>
        <w:spacing w:after="0" w:line="263" w:lineRule="auto"/>
        <w:tabs>
          <w:tab w:leader="none" w:pos="1034" w:val="left"/>
        </w:tabs>
        <w:numPr>
          <w:ilvl w:val="0"/>
          <w:numId w:val="82"/>
        </w:numPr>
        <w:rPr>
          <w:rFonts w:ascii="Arial" w:cs="Arial" w:eastAsia="Arial" w:hAnsi="Arial"/>
          <w:sz w:val="22"/>
          <w:szCs w:val="22"/>
          <w:color w:val="auto"/>
        </w:rPr>
      </w:pPr>
      <w:r>
        <w:rPr>
          <w:rFonts w:ascii="Arial" w:cs="Arial" w:eastAsia="Arial" w:hAnsi="Arial"/>
          <w:sz w:val="22"/>
          <w:szCs w:val="22"/>
          <w:color w:val="auto"/>
        </w:rPr>
        <w:t>if the transfer shall be made pursuant to Rule 144A, then the transferor must deliver a certificate in the form of Exhibit B hereto, including the certifications in item (1) thereof;</w:t>
      </w:r>
    </w:p>
    <w:p>
      <w:pPr>
        <w:spacing w:after="0" w:line="201" w:lineRule="exact"/>
        <w:rPr>
          <w:rFonts w:ascii="Arial" w:cs="Arial" w:eastAsia="Arial" w:hAnsi="Arial"/>
          <w:sz w:val="22"/>
          <w:szCs w:val="22"/>
          <w:color w:val="auto"/>
        </w:rPr>
      </w:pPr>
    </w:p>
    <w:p>
      <w:pPr>
        <w:ind w:firstLine="656"/>
        <w:spacing w:after="0" w:line="263" w:lineRule="auto"/>
        <w:tabs>
          <w:tab w:leader="none" w:pos="990" w:val="left"/>
        </w:tabs>
        <w:numPr>
          <w:ilvl w:val="0"/>
          <w:numId w:val="82"/>
        </w:numPr>
        <w:rPr>
          <w:rFonts w:ascii="Arial" w:cs="Arial" w:eastAsia="Arial" w:hAnsi="Arial"/>
          <w:sz w:val="22"/>
          <w:szCs w:val="22"/>
          <w:color w:val="auto"/>
        </w:rPr>
      </w:pPr>
      <w:r>
        <w:rPr>
          <w:rFonts w:ascii="Arial" w:cs="Arial" w:eastAsia="Arial" w:hAnsi="Arial"/>
          <w:sz w:val="22"/>
          <w:szCs w:val="22"/>
          <w:color w:val="auto"/>
        </w:rPr>
        <w:t>if the transfer shall be made pursuant to Rule 903 or Rule 904, then the transferor must deliver a certificate in the form of Exhibit B hereto, including the certifications in item (2) thereof; and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28" w:right="339" w:bottom="1440" w:gutter="0" w:footer="0" w:header="0"/>
        </w:sectPr>
      </w:pPr>
    </w:p>
    <w:bookmarkStart w:id="88" w:name="page89"/>
    <w:bookmarkEnd w:id="88"/>
    <w:p>
      <w:pPr>
        <w:spacing w:after="0" w:line="231" w:lineRule="exact"/>
        <w:rPr>
          <w:sz w:val="20"/>
          <w:szCs w:val="20"/>
          <w:color w:val="auto"/>
        </w:rPr>
      </w:pPr>
    </w:p>
    <w:p>
      <w:pPr>
        <w:jc w:val="both"/>
        <w:ind w:firstLine="656"/>
        <w:spacing w:after="0" w:line="253" w:lineRule="auto"/>
        <w:tabs>
          <w:tab w:leader="none" w:pos="995" w:val="left"/>
        </w:tabs>
        <w:numPr>
          <w:ilvl w:val="0"/>
          <w:numId w:val="83"/>
        </w:numPr>
        <w:rPr>
          <w:rFonts w:ascii="Arial" w:cs="Arial" w:eastAsia="Arial" w:hAnsi="Arial"/>
          <w:sz w:val="22"/>
          <w:szCs w:val="22"/>
          <w:color w:val="auto"/>
        </w:rPr>
      </w:pPr>
      <w:r>
        <w:rPr>
          <w:rFonts w:ascii="Arial" w:cs="Arial" w:eastAsia="Arial" w:hAnsi="Arial"/>
          <w:sz w:val="22"/>
          <w:szCs w:val="22"/>
          <w:color w:val="auto"/>
        </w:rPr>
        <w:t>if the transfer shall be made pursuant to any other exemption from the registration requirements of the Securities Act, then the transferor must deliver a certificate in the form of Exhibit B hereto, including the certifications, certificates and Opinion of Counsel required by item (3) thereof, if applicable.</w:t>
      </w:r>
    </w:p>
    <w:p>
      <w:pPr>
        <w:spacing w:after="0" w:line="212" w:lineRule="exact"/>
        <w:rPr>
          <w:sz w:val="20"/>
          <w:szCs w:val="20"/>
          <w:color w:val="auto"/>
        </w:rPr>
      </w:pPr>
    </w:p>
    <w:p>
      <w:pPr>
        <w:jc w:val="both"/>
        <w:ind w:firstLine="656"/>
        <w:spacing w:after="0" w:line="253" w:lineRule="auto"/>
        <w:tabs>
          <w:tab w:leader="none" w:pos="955" w:val="left"/>
        </w:tabs>
        <w:numPr>
          <w:ilvl w:val="0"/>
          <w:numId w:val="84"/>
        </w:numPr>
        <w:rPr>
          <w:rFonts w:ascii="Arial" w:cs="Arial" w:eastAsia="Arial" w:hAnsi="Arial"/>
          <w:sz w:val="22"/>
          <w:szCs w:val="22"/>
          <w:color w:val="auto"/>
        </w:rPr>
      </w:pPr>
      <w:r>
        <w:rPr>
          <w:rFonts w:ascii="Arial" w:cs="Arial" w:eastAsia="Arial" w:hAnsi="Arial"/>
          <w:sz w:val="22"/>
          <w:szCs w:val="22"/>
          <w:color w:val="auto"/>
        </w:rPr>
        <w:t>Restricted Definitive Notes to Unrestricted Definitive Notes. Any Restricted Definitive Note may be exchanged by the Holder thereof for an Unrestricted Definitive Note or transferred to a Person or Persons who take delivery thereof in the form of an Unrestricted Definitive Note if the Registrar receives the following:</w:t>
      </w:r>
    </w:p>
    <w:p>
      <w:pPr>
        <w:spacing w:after="0" w:line="212" w:lineRule="exact"/>
        <w:rPr>
          <w:sz w:val="20"/>
          <w:szCs w:val="20"/>
          <w:color w:val="auto"/>
        </w:rPr>
      </w:pPr>
    </w:p>
    <w:p>
      <w:pPr>
        <w:ind w:firstLine="656"/>
        <w:spacing w:after="0" w:line="343" w:lineRule="auto"/>
        <w:tabs>
          <w:tab w:leader="none" w:pos="1030" w:val="left"/>
        </w:tabs>
        <w:numPr>
          <w:ilvl w:val="0"/>
          <w:numId w:val="85"/>
        </w:numPr>
        <w:rPr>
          <w:rFonts w:ascii="Arial" w:cs="Arial" w:eastAsia="Arial" w:hAnsi="Arial"/>
          <w:sz w:val="19"/>
          <w:szCs w:val="19"/>
          <w:color w:val="auto"/>
        </w:rPr>
      </w:pPr>
      <w:r>
        <w:rPr>
          <w:rFonts w:ascii="Arial" w:cs="Arial" w:eastAsia="Arial" w:hAnsi="Arial"/>
          <w:sz w:val="19"/>
          <w:szCs w:val="19"/>
          <w:color w:val="auto"/>
        </w:rPr>
        <w:t>if the Holder of such Restricted Definitive Notes proposes to exchange such Notes for an Unrestricted Definitive Note, a certificate from such Holder in the form of Exhibit C hereto, including the certifications in item (1)(d) thereof; or</w:t>
      </w:r>
    </w:p>
    <w:p>
      <w:pPr>
        <w:spacing w:after="0" w:line="131" w:lineRule="exact"/>
        <w:rPr>
          <w:rFonts w:ascii="Arial" w:cs="Arial" w:eastAsia="Arial" w:hAnsi="Arial"/>
          <w:sz w:val="19"/>
          <w:szCs w:val="19"/>
          <w:color w:val="auto"/>
        </w:rPr>
      </w:pPr>
    </w:p>
    <w:p>
      <w:pPr>
        <w:jc w:val="both"/>
        <w:ind w:firstLine="656"/>
        <w:spacing w:after="0" w:line="247" w:lineRule="auto"/>
        <w:tabs>
          <w:tab w:leader="none" w:pos="999" w:val="left"/>
        </w:tabs>
        <w:numPr>
          <w:ilvl w:val="0"/>
          <w:numId w:val="85"/>
        </w:numPr>
        <w:rPr>
          <w:rFonts w:ascii="Arial" w:cs="Arial" w:eastAsia="Arial" w:hAnsi="Arial"/>
          <w:sz w:val="22"/>
          <w:szCs w:val="22"/>
          <w:color w:val="auto"/>
        </w:rPr>
      </w:pPr>
      <w:r>
        <w:rPr>
          <w:rFonts w:ascii="Arial" w:cs="Arial" w:eastAsia="Arial" w:hAnsi="Arial"/>
          <w:sz w:val="22"/>
          <w:szCs w:val="22"/>
          <w:color w:val="auto"/>
        </w:rPr>
        <w:t>if the Holder of such Restricted Definitive Notes proposes to transfer such Notes to a Person who shall take delivery thereof in the form of an Unrestricted Definitive Note, a certificate from such Holder in the form of Exhibit B hereto, including the certifications in item (4) thereof; and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220" w:lineRule="exact"/>
        <w:rPr>
          <w:sz w:val="20"/>
          <w:szCs w:val="20"/>
          <w:color w:val="auto"/>
        </w:rPr>
      </w:pPr>
    </w:p>
    <w:p>
      <w:pPr>
        <w:jc w:val="both"/>
        <w:ind w:firstLine="656"/>
        <w:spacing w:after="0" w:line="250" w:lineRule="auto"/>
        <w:tabs>
          <w:tab w:leader="none" w:pos="1004" w:val="left"/>
        </w:tabs>
        <w:numPr>
          <w:ilvl w:val="0"/>
          <w:numId w:val="86"/>
        </w:numPr>
        <w:rPr>
          <w:rFonts w:ascii="Arial" w:cs="Arial" w:eastAsia="Arial" w:hAnsi="Arial"/>
          <w:sz w:val="22"/>
          <w:szCs w:val="22"/>
          <w:color w:val="auto"/>
        </w:rPr>
      </w:pPr>
      <w:r>
        <w:rPr>
          <w:rFonts w:ascii="Arial" w:cs="Arial" w:eastAsia="Arial" w:hAnsi="Arial"/>
          <w:sz w:val="22"/>
          <w:szCs w:val="22"/>
          <w:color w:val="auto"/>
        </w:rPr>
        <w:t>Unrestricted Definitive Notes to Unrestricted Definitive Notes. A Holder of Unrestricted Definitive Notes may transfer such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215" w:lineRule="exact"/>
        <w:rPr>
          <w:sz w:val="20"/>
          <w:szCs w:val="20"/>
          <w:color w:val="auto"/>
        </w:rPr>
      </w:pPr>
    </w:p>
    <w:p>
      <w:pPr>
        <w:ind w:right="20" w:firstLine="656"/>
        <w:spacing w:after="0" w:line="263" w:lineRule="auto"/>
        <w:tabs>
          <w:tab w:leader="none" w:pos="937" w:val="left"/>
        </w:tabs>
        <w:numPr>
          <w:ilvl w:val="0"/>
          <w:numId w:val="87"/>
        </w:numPr>
        <w:rPr>
          <w:rFonts w:ascii="Arial" w:cs="Arial" w:eastAsia="Arial" w:hAnsi="Arial"/>
          <w:sz w:val="22"/>
          <w:szCs w:val="22"/>
          <w:color w:val="auto"/>
        </w:rPr>
      </w:pPr>
      <w:r>
        <w:rPr>
          <w:rFonts w:ascii="Arial" w:cs="Arial" w:eastAsia="Arial" w:hAnsi="Arial"/>
          <w:sz w:val="22"/>
          <w:szCs w:val="22"/>
          <w:color w:val="auto"/>
        </w:rPr>
        <w:t>Legends. The following legends shall appear on the face of all Global Notes and Definitive Notes issued under this Indenture unless specifically stated otherwise in the applicable provisions of this Indenture.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 Private Placement Legend.</w:t>
      </w:r>
    </w:p>
    <w:p>
      <w:pPr>
        <w:spacing w:after="0" w:line="247" w:lineRule="exact"/>
        <w:rPr>
          <w:sz w:val="20"/>
          <w:szCs w:val="20"/>
          <w:color w:val="auto"/>
        </w:rPr>
      </w:pPr>
    </w:p>
    <w:p>
      <w:pPr>
        <w:ind w:firstLine="656"/>
        <w:spacing w:after="0" w:line="263" w:lineRule="auto"/>
        <w:tabs>
          <w:tab w:leader="none" w:pos="1012" w:val="left"/>
        </w:tabs>
        <w:numPr>
          <w:ilvl w:val="0"/>
          <w:numId w:val="88"/>
        </w:numPr>
        <w:rPr>
          <w:rFonts w:ascii="Arial" w:cs="Arial" w:eastAsia="Arial" w:hAnsi="Arial"/>
          <w:sz w:val="22"/>
          <w:szCs w:val="22"/>
          <w:color w:val="auto"/>
        </w:rPr>
      </w:pPr>
      <w:r>
        <w:rPr>
          <w:rFonts w:ascii="Arial" w:cs="Arial" w:eastAsia="Arial" w:hAnsi="Arial"/>
          <w:sz w:val="22"/>
          <w:szCs w:val="22"/>
          <w:color w:val="auto"/>
        </w:rPr>
        <w:t>Except as permitted by subparagraph (B) below, each Global Note and each Definitive Note (and all Notes issued in exchange therefor or substitution thereof) shall bear the legend in substantially the following form:</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“THIS NOTE HAS NOT BEEN REGISTERED UNDER THE U.S. SECURITIES ACT OF 1933, AS AMENDED (THE “SECURITIES ACT”) AND, ACCORDINGLY, MAY NOT BE OFFERED, SOLD, PLEDGED OR OTHERWISE TRANSFERRED WITHIN THE UNITED STATES OR TO, OR FOR THE ACCOUNT OR BENEFIT OF, U.S. PERSONS, EXCEPT AS SET FORTH IN THE FOLLOWING SENTENCE. BY ITS ACQUISITION HEREOF OR OF A BENEFICIAL INTEREST HEREIN, THE HOLDER (1) REPRESENTS THAT (A) IT IS A</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440" w:right="339" w:bottom="1440" w:gutter="0" w:footer="0" w:header="0"/>
        </w:sectPr>
      </w:pPr>
    </w:p>
    <w:bookmarkStart w:id="89" w:name="page90"/>
    <w:bookmarkEnd w:id="89"/>
    <w:p>
      <w:pPr>
        <w:jc w:val="both"/>
        <w:spacing w:after="0" w:line="287" w:lineRule="auto"/>
        <w:rPr>
          <w:sz w:val="20"/>
          <w:szCs w:val="20"/>
          <w:color w:val="auto"/>
        </w:rPr>
      </w:pPr>
      <w:r>
        <w:rPr>
          <w:rFonts w:ascii="Arial" w:cs="Arial" w:eastAsia="Arial" w:hAnsi="Arial"/>
          <w:sz w:val="19"/>
          <w:szCs w:val="19"/>
          <w:color w:val="auto"/>
        </w:rPr>
        <w:t>“QUALIFIED INSTITUTIONAL BUYER” (AS DEFINED IN RULE 144A UNDER THE SECURITIES ACT) (A “QIB”), (B) IT IS NOT A U.S. PERSON, IS NOT ACQUIRING THIS NOTE FOR THE ACCOUNT OR BENEFIT OF A U.S. PERSON AND IS ACQUIRING THIS NOTE IN AN OFFSHORE TRANSACTION IN COMPLIANCE WITH REGULATION S UNDER THE SECURITIES ACT OR (C) IT IS AN INSTITUTIONAL “ACCREDITED INVESTOR” (AS DEFINED IN RULE 501(A)(1), (2), (3) OR (7) OF REGULATION D UNDER THE SECURITIES ACT) (AN “IAI”), (2) AGREES THAT IT WILL NOT, PRIOR TO THE DATE [IN THE CASE OF RULE 144A NOTES: ON WHICH WYNN RESORTS FINANCE INSTRUCTS THE TRUSTEE THAT THIS RESTRICTIVE LEGEND SHALL BE DEEMED REMOVED (WHICH INSTRUCTION IS EXPECTED TO BE GIVEN ON OR ABOUT THE ONE-YEAR ANNIVERSARY OF THE ISSUANCE OF THIS NOTE)] [IN THE CASE OF REGULATION S NOTES: 40 DAYS AFTER THE LATER OF THE ORIGINAL ISSUE DATE HEREOF AND THE LAST DATE ON WHICH WYNN RESORTS FINANCE OR ANY AFFILIATE OF WYNN RESORTS FINANCE WAS THE OWNER OF THIS NOTE (OR ANY PREDECESSOR OF SUCH NOTE)] RESELL OR OTHERWISE TRANSFER THIS NOTE EXCEPT (A) TO WYNN RESORTS FINANCE OR ANY SUBSIDIARY THEREOF,</w:t>
      </w:r>
    </w:p>
    <w:p>
      <w:pPr>
        <w:spacing w:after="0" w:line="222" w:lineRule="exact"/>
        <w:rPr>
          <w:sz w:val="20"/>
          <w:szCs w:val="20"/>
          <w:color w:val="auto"/>
        </w:rPr>
      </w:pPr>
    </w:p>
    <w:p>
      <w:pPr>
        <w:jc w:val="both"/>
        <w:ind w:firstLine="8"/>
        <w:spacing w:after="0" w:line="254" w:lineRule="auto"/>
        <w:tabs>
          <w:tab w:leader="none" w:pos="411" w:val="left"/>
        </w:tabs>
        <w:numPr>
          <w:ilvl w:val="0"/>
          <w:numId w:val="89"/>
        </w:numPr>
        <w:rPr>
          <w:rFonts w:ascii="Arial" w:cs="Arial" w:eastAsia="Arial" w:hAnsi="Arial"/>
          <w:sz w:val="21"/>
          <w:szCs w:val="21"/>
          <w:color w:val="auto"/>
        </w:rPr>
      </w:pPr>
      <w:r>
        <w:rPr>
          <w:rFonts w:ascii="Arial" w:cs="Arial" w:eastAsia="Arial" w:hAnsi="Arial"/>
          <w:sz w:val="21"/>
          <w:szCs w:val="21"/>
          <w:color w:val="auto"/>
        </w:rPr>
        <w:t>TO A PERSON WHOM THE HOLDER REASONABLY BELIEVES IS A QIB PURCHASING FOR ITS OWN ACCOUNT OR FOR THE ACCOUNT OF A QIB IN COMPLIANCE WITH RULE 144A UNDER THE SECURITIES ACT,</w:t>
      </w:r>
    </w:p>
    <w:p>
      <w:pPr>
        <w:spacing w:after="0" w:line="1" w:lineRule="exact"/>
        <w:rPr>
          <w:rFonts w:ascii="Arial" w:cs="Arial" w:eastAsia="Arial" w:hAnsi="Arial"/>
          <w:sz w:val="21"/>
          <w:szCs w:val="21"/>
          <w:color w:val="auto"/>
        </w:rPr>
      </w:pPr>
    </w:p>
    <w:p>
      <w:pPr>
        <w:jc w:val="both"/>
        <w:ind w:firstLine="8"/>
        <w:spacing w:after="0" w:line="255" w:lineRule="auto"/>
        <w:tabs>
          <w:tab w:leader="none" w:pos="362" w:val="left"/>
        </w:tabs>
        <w:numPr>
          <w:ilvl w:val="0"/>
          <w:numId w:val="89"/>
        </w:numPr>
        <w:rPr>
          <w:rFonts w:ascii="Arial" w:cs="Arial" w:eastAsia="Arial" w:hAnsi="Arial"/>
          <w:sz w:val="21"/>
          <w:szCs w:val="21"/>
          <w:color w:val="auto"/>
        </w:rPr>
      </w:pPr>
      <w:r>
        <w:rPr>
          <w:rFonts w:ascii="Arial" w:cs="Arial" w:eastAsia="Arial" w:hAnsi="Arial"/>
          <w:sz w:val="21"/>
          <w:szCs w:val="21"/>
          <w:color w:val="auto"/>
        </w:rPr>
        <w:t>OUTSIDE THE UNITED STATES IN AN OFFSHORE TRANSACTION IN COMPLIANCE WITH RULE 904 UNDER THE SECURITIES ACT, (D) PURSUANT TO THE EXEMPTION FROM REGISTRATION PROVIDED BY RULE 144 UNDER THE SECURITIES ACT (IF AVAILABLE), (E) TO AN IAI THAT, PRIOR TO SUCH TRANSFER, FURNISHES TO THE TRUSTEE A SIGNED LETTER CONTAINING CERTAIN REPRESENTATIONS AND AGREEMENTS RELATING TO THE REGISTRATION OF TRANSFER OF THIS NOTE (THE FORM OF WHICH LETTER CAN BE OBTAINED FROM THE TRUSTEE) AND AN OPINION OF COUNSEL ACCEPTABLE TO WYNN RESORTS FINANCE THAT SUCH TRANSFER IS IN COMPLIANCE WITH THE SECURITIES ACT OR (F) PURSUANT TO AN EFFECTIVE REGISTRATION STATEMENT UNDER THE SECURITIES ACT AND, IN EACH CASE, IN ACCORDANCE WITH APPLICABLE STATE SECURITIES LAWS, AND (3) AGREES THAT IT WILL DELIVER TO EACH PERSON TO WHOM THIS NOTE OR AN INTEREST HEREIN IS TRANSFERRED A NOTICE SUBSTANTIALLY TO THE EFFECT OF THIS LEGEND. IN CONNECTION WITH ANY TRANSFER OF THIS NOTE OR ANY INTEREST HEREIN WITHIN THE TIME PERIOD REFERRED TO ABOVE, THE HOLDER MUST CHECK THE APPROPRIATE BOX SET FORTH ON THE REVERSE HEREOF RELATING TO THE MANNER OF SUCH TRANSFER AND SUBMIT THIS CERTIFICATE TO THE TRUSTEE. AS USED HEREIN, THE TERMS “OFFSHORE TRANSACTION,” “UNITED STATES” AND “U.S. PERSON” HAVE THE MEANINGS GIVEN TO THEM BY RULE 902 OF REGULATION S UNDER THE SECURITIES ACT. THE INDENTURE CONTAINS A PROVISION REQUIRING THE TRUSTEE TO REFUSE TO REGISTER ANY TRANSFER OF THIS NOTE IN VIOLATION OF THE FOREGOING RESTRICTIONS.”</w:t>
      </w:r>
    </w:p>
    <w:p>
      <w:pPr>
        <w:spacing w:after="0" w:line="223" w:lineRule="exact"/>
        <w:rPr>
          <w:rFonts w:ascii="Arial" w:cs="Arial" w:eastAsia="Arial" w:hAnsi="Arial"/>
          <w:sz w:val="21"/>
          <w:szCs w:val="21"/>
          <w:color w:val="auto"/>
        </w:rPr>
      </w:pPr>
    </w:p>
    <w:p>
      <w:pPr>
        <w:ind w:firstLine="656"/>
        <w:spacing w:after="0" w:line="263" w:lineRule="auto"/>
        <w:tabs>
          <w:tab w:leader="none" w:pos="1009" w:val="left"/>
        </w:tabs>
        <w:numPr>
          <w:ilvl w:val="1"/>
          <w:numId w:val="89"/>
        </w:numPr>
        <w:rPr>
          <w:rFonts w:ascii="Arial" w:cs="Arial" w:eastAsia="Arial" w:hAnsi="Arial"/>
          <w:sz w:val="22"/>
          <w:szCs w:val="22"/>
          <w:color w:val="auto"/>
        </w:rPr>
      </w:pPr>
      <w:r>
        <w:rPr>
          <w:rFonts w:ascii="Arial" w:cs="Arial" w:eastAsia="Arial" w:hAnsi="Arial"/>
          <w:sz w:val="22"/>
          <w:szCs w:val="22"/>
          <w:color w:val="auto"/>
        </w:rPr>
        <w:t>Notwithstanding the foregoing, any Global Note or Definitive Note issued pursuant to subparagraphs (b)(4), (c)(3), (c)(4), (d)(2), (d)(3), (e)(2) or (e)(3) of this Section 2.06 (and all</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1428" w:right="339" w:bottom="1440" w:gutter="0" w:footer="0" w:header="0"/>
        </w:sectPr>
      </w:pPr>
    </w:p>
    <w:bookmarkStart w:id="90" w:name="page91"/>
    <w:bookmarkEnd w:id="90"/>
    <w:p>
      <w:pPr>
        <w:spacing w:after="0"/>
        <w:rPr>
          <w:sz w:val="20"/>
          <w:szCs w:val="20"/>
          <w:color w:val="auto"/>
        </w:rPr>
      </w:pPr>
      <w:r>
        <w:rPr>
          <w:rFonts w:ascii="Arial" w:cs="Arial" w:eastAsia="Arial" w:hAnsi="Arial"/>
          <w:sz w:val="22"/>
          <w:szCs w:val="22"/>
          <w:color w:val="auto"/>
        </w:rPr>
        <w:t>Notes issued in exchange therefor or substitution thereof) shall not bear the Private Placement Legend.</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 Global Note Legend. Each Global Note shall bear a legend in substantially the following form:</w:t>
      </w:r>
    </w:p>
    <w:p>
      <w:pPr>
        <w:spacing w:after="0" w:line="2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ISSUERS.</w:t>
      </w:r>
    </w:p>
    <w:p>
      <w:pPr>
        <w:spacing w:after="0" w:line="3"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ISSUERS OR THEIR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200" w:lineRule="exact"/>
        <w:rPr>
          <w:sz w:val="20"/>
          <w:szCs w:val="20"/>
          <w:color w:val="auto"/>
        </w:rPr>
      </w:pPr>
    </w:p>
    <w:p>
      <w:pPr>
        <w:spacing w:after="0" w:line="249" w:lineRule="exact"/>
        <w:rPr>
          <w:sz w:val="20"/>
          <w:szCs w:val="20"/>
          <w:color w:val="auto"/>
        </w:rPr>
      </w:pPr>
    </w:p>
    <w:p>
      <w:pPr>
        <w:ind w:right="20" w:firstLine="656"/>
        <w:spacing w:after="0" w:line="251" w:lineRule="auto"/>
        <w:tabs>
          <w:tab w:leader="none" w:pos="991" w:val="left"/>
        </w:tabs>
        <w:numPr>
          <w:ilvl w:val="0"/>
          <w:numId w:val="90"/>
        </w:numPr>
        <w:rPr>
          <w:rFonts w:ascii="Arial" w:cs="Arial" w:eastAsia="Arial" w:hAnsi="Arial"/>
          <w:sz w:val="22"/>
          <w:szCs w:val="22"/>
          <w:color w:val="auto"/>
        </w:rPr>
      </w:pPr>
      <w:r>
        <w:rPr>
          <w:rFonts w:ascii="Arial" w:cs="Arial" w:eastAsia="Arial" w:hAnsi="Arial"/>
          <w:sz w:val="22"/>
          <w:szCs w:val="22"/>
          <w:color w:val="auto"/>
        </w:rPr>
        <w:t>Regulation S Temporary Global Note Legend. The Regulation S Temporary Global Note shall bear a Legend in substantially the following form:</w:t>
      </w:r>
    </w:p>
    <w:p>
      <w:pPr>
        <w:spacing w:after="0" w:line="1" w:lineRule="exact"/>
        <w:rPr>
          <w:rFonts w:ascii="Arial" w:cs="Arial" w:eastAsia="Arial" w:hAnsi="Arial"/>
          <w:sz w:val="22"/>
          <w:szCs w:val="22"/>
          <w:color w:val="auto"/>
        </w:rPr>
      </w:pPr>
    </w:p>
    <w:p>
      <w:pPr>
        <w:jc w:val="both"/>
        <w:spacing w:after="0" w:line="295" w:lineRule="auto"/>
        <w:rPr>
          <w:rFonts w:ascii="Arial" w:cs="Arial" w:eastAsia="Arial" w:hAnsi="Arial"/>
          <w:sz w:val="22"/>
          <w:szCs w:val="22"/>
          <w:color w:val="auto"/>
        </w:rPr>
      </w:pPr>
      <w:r>
        <w:rPr>
          <w:rFonts w:ascii="Arial" w:cs="Arial" w:eastAsia="Arial" w:hAnsi="Arial"/>
          <w:sz w:val="19"/>
          <w:szCs w:val="19"/>
          <w:color w:val="auto"/>
        </w:rPr>
        <w:t>“THE RIGHTS ATTACHING TO THIS REGULATION S TEMPORARY GLOBAL NOTE, AND THE CONDITIONS AND PROCEDURES GOVERNING ITS EXCHANGE FOR CERTIFICATED NOTES, ARE AS SPECIFIED IN THE INDENTURE (AS DEFINED HEREIN). NEITHER THE HOLDER NOR THE BENEFICIAL OWNERS OF THIS REGULATION S TEMPORARY GLOBAL NOTE SHALL BE ENTITLED TO RECEIVE PAYMENT OF INTEREST HEREON.”</w:t>
      </w:r>
    </w:p>
    <w:p>
      <w:pPr>
        <w:spacing w:after="0" w:line="177" w:lineRule="exact"/>
        <w:rPr>
          <w:sz w:val="20"/>
          <w:szCs w:val="20"/>
          <w:color w:val="auto"/>
        </w:rPr>
      </w:pPr>
    </w:p>
    <w:p>
      <w:pPr>
        <w:jc w:val="both"/>
        <w:ind w:firstLine="656"/>
        <w:spacing w:after="0" w:line="253" w:lineRule="auto"/>
        <w:tabs>
          <w:tab w:leader="none" w:pos="971" w:val="left"/>
        </w:tabs>
        <w:numPr>
          <w:ilvl w:val="0"/>
          <w:numId w:val="91"/>
        </w:numPr>
        <w:rPr>
          <w:rFonts w:ascii="Arial" w:cs="Arial" w:eastAsia="Arial" w:hAnsi="Arial"/>
          <w:sz w:val="22"/>
          <w:szCs w:val="22"/>
          <w:color w:val="auto"/>
        </w:rPr>
      </w:pPr>
      <w:r>
        <w:rPr>
          <w:rFonts w:ascii="Arial" w:cs="Arial" w:eastAsia="Arial" w:hAnsi="Arial"/>
          <w:sz w:val="22"/>
          <w:szCs w:val="22"/>
          <w:color w:val="auto"/>
        </w:rPr>
        <w:t>Cancellation and/or Adjustment of Global Notes. At such time as all beneficial interests in a particular Global Note have been exchanged for Definitive Notes or a particular Global Note has been redeemed, repurchased or canceled in whole and not in part, each such</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428" w:right="339" w:bottom="1440" w:gutter="0" w:footer="0" w:header="0"/>
        </w:sectPr>
      </w:pPr>
    </w:p>
    <w:bookmarkStart w:id="91" w:name="page92"/>
    <w:bookmarkEnd w:id="91"/>
    <w:p>
      <w:pPr>
        <w:jc w:val="both"/>
        <w:spacing w:after="0" w:line="290" w:lineRule="auto"/>
        <w:rPr>
          <w:sz w:val="20"/>
          <w:szCs w:val="20"/>
          <w:color w:val="auto"/>
        </w:rPr>
      </w:pPr>
      <w:r>
        <w:rPr>
          <w:rFonts w:ascii="Arial" w:cs="Arial" w:eastAsia="Arial" w:hAnsi="Arial"/>
          <w:sz w:val="19"/>
          <w:szCs w:val="19"/>
          <w:color w:val="auto"/>
        </w:rPr>
        <w:t>Global Note shall be returned to or retained and canceled by the Trustee in accordance with Section 2.11 hereof. At any time prior to such cancellation, if any beneficial interest in a Global Note is exchanged for or transferred to a Person who shall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shall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 General Provisions Relating to Transfers and Exchanges.</w:t>
      </w:r>
    </w:p>
    <w:p>
      <w:pPr>
        <w:spacing w:after="0" w:line="247" w:lineRule="exact"/>
        <w:rPr>
          <w:sz w:val="20"/>
          <w:szCs w:val="20"/>
          <w:color w:val="auto"/>
        </w:rPr>
      </w:pPr>
    </w:p>
    <w:p>
      <w:pPr>
        <w:ind w:firstLine="656"/>
        <w:spacing w:after="0" w:line="251" w:lineRule="auto"/>
        <w:tabs>
          <w:tab w:leader="none" w:pos="964" w:val="left"/>
        </w:tabs>
        <w:numPr>
          <w:ilvl w:val="0"/>
          <w:numId w:val="92"/>
        </w:numPr>
        <w:rPr>
          <w:rFonts w:ascii="Arial" w:cs="Arial" w:eastAsia="Arial" w:hAnsi="Arial"/>
          <w:sz w:val="22"/>
          <w:szCs w:val="22"/>
          <w:color w:val="auto"/>
        </w:rPr>
      </w:pPr>
      <w:r>
        <w:rPr>
          <w:rFonts w:ascii="Arial" w:cs="Arial" w:eastAsia="Arial" w:hAnsi="Arial"/>
          <w:sz w:val="22"/>
          <w:szCs w:val="22"/>
          <w:color w:val="auto"/>
        </w:rPr>
        <w:t>To permit registrations of transfers and exchanges, the Issuers shall execute and the Trustee shall authenticate Global Notes and Definitive Notes upon receipt of an Authentication Order in</w:t>
      </w:r>
    </w:p>
    <w:p>
      <w:pPr>
        <w:spacing w:after="0" w:line="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accordance with Section 2.02 or at the Registrar’s request.</w:t>
      </w:r>
    </w:p>
    <w:p>
      <w:pPr>
        <w:spacing w:after="0" w:line="228" w:lineRule="exact"/>
        <w:rPr>
          <w:rFonts w:ascii="Arial" w:cs="Arial" w:eastAsia="Arial" w:hAnsi="Arial"/>
          <w:sz w:val="22"/>
          <w:szCs w:val="22"/>
          <w:color w:val="auto"/>
        </w:rPr>
      </w:pPr>
    </w:p>
    <w:p>
      <w:pPr>
        <w:jc w:val="both"/>
        <w:ind w:firstLine="656"/>
        <w:spacing w:after="0" w:line="250" w:lineRule="auto"/>
        <w:tabs>
          <w:tab w:leader="none" w:pos="962" w:val="left"/>
        </w:tabs>
        <w:numPr>
          <w:ilvl w:val="0"/>
          <w:numId w:val="92"/>
        </w:numPr>
        <w:rPr>
          <w:rFonts w:ascii="Arial" w:cs="Arial" w:eastAsia="Arial" w:hAnsi="Arial"/>
          <w:sz w:val="22"/>
          <w:szCs w:val="22"/>
          <w:color w:val="auto"/>
        </w:rPr>
      </w:pPr>
      <w:r>
        <w:rPr>
          <w:rFonts w:ascii="Arial" w:cs="Arial" w:eastAsia="Arial" w:hAnsi="Arial"/>
          <w:sz w:val="22"/>
          <w:szCs w:val="22"/>
          <w:color w:val="auto"/>
        </w:rPr>
        <w:t>No service charge shall be made to a Holder of a Global Note or to a Holder of a Definitive Note for any registration of transfer or exchange, but the Issuers may require payment of a sum sufficient to cover any transfer tax or similar governmental charge payable in connection therewith (other than any such transfer taxes or similar governmental charge payable upon exchange or transfer pursuant to Sections 2.10, 3.06, 4.11 and 9.04 hereof).</w:t>
      </w:r>
    </w:p>
    <w:p>
      <w:pPr>
        <w:spacing w:after="0" w:line="214" w:lineRule="exact"/>
        <w:rPr>
          <w:rFonts w:ascii="Arial" w:cs="Arial" w:eastAsia="Arial" w:hAnsi="Arial"/>
          <w:sz w:val="22"/>
          <w:szCs w:val="22"/>
          <w:color w:val="auto"/>
        </w:rPr>
      </w:pPr>
    </w:p>
    <w:p>
      <w:pPr>
        <w:ind w:firstLine="656"/>
        <w:spacing w:after="0" w:line="263" w:lineRule="auto"/>
        <w:tabs>
          <w:tab w:leader="none" w:pos="954"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Registrar shall not be required to register the transfer of or exchange any Note selected for redemption in whole or in part, except the unredeemed portion of any Note being redeemed in part.</w:t>
      </w:r>
    </w:p>
    <w:p>
      <w:pPr>
        <w:spacing w:after="0" w:line="201" w:lineRule="exact"/>
        <w:rPr>
          <w:rFonts w:ascii="Arial" w:cs="Arial" w:eastAsia="Arial" w:hAnsi="Arial"/>
          <w:sz w:val="22"/>
          <w:szCs w:val="22"/>
          <w:color w:val="auto"/>
        </w:rPr>
      </w:pPr>
    </w:p>
    <w:p>
      <w:pPr>
        <w:jc w:val="both"/>
        <w:ind w:firstLine="656"/>
        <w:spacing w:after="0" w:line="271" w:lineRule="auto"/>
        <w:tabs>
          <w:tab w:leader="none" w:pos="995" w:val="left"/>
        </w:tabs>
        <w:numPr>
          <w:ilvl w:val="0"/>
          <w:numId w:val="92"/>
        </w:numPr>
        <w:rPr>
          <w:rFonts w:ascii="Arial" w:cs="Arial" w:eastAsia="Arial" w:hAnsi="Arial"/>
          <w:sz w:val="21"/>
          <w:szCs w:val="21"/>
          <w:color w:val="auto"/>
        </w:rPr>
      </w:pPr>
      <w:r>
        <w:rPr>
          <w:rFonts w:ascii="Arial" w:cs="Arial" w:eastAsia="Arial" w:hAnsi="Arial"/>
          <w:sz w:val="21"/>
          <w:szCs w:val="21"/>
          <w:color w:val="auto"/>
        </w:rPr>
        <w:t>All Global Notes and Definitive Notes issued upon any registration of transfer or exchange of Global Notes or Definitive Notes shall be the valid obligations of the Issuers, evidencing the same debt, and entitled to the same benefits under this Indenture, as the Global Notes or Definitive Notes surrendered upon such registration of transfer or exchange.</w:t>
      </w:r>
    </w:p>
    <w:p>
      <w:pPr>
        <w:spacing w:after="0" w:line="194" w:lineRule="exact"/>
        <w:rPr>
          <w:rFonts w:ascii="Arial" w:cs="Arial" w:eastAsia="Arial" w:hAnsi="Arial"/>
          <w:sz w:val="21"/>
          <w:szCs w:val="21"/>
          <w:color w:val="auto"/>
        </w:rPr>
      </w:pPr>
    </w:p>
    <w:p>
      <w:pPr>
        <w:ind w:left="960" w:hanging="304"/>
        <w:spacing w:after="0"/>
        <w:tabs>
          <w:tab w:leader="none" w:pos="960" w:val="left"/>
        </w:tabs>
        <w:numPr>
          <w:ilvl w:val="0"/>
          <w:numId w:val="92"/>
        </w:numPr>
        <w:rPr>
          <w:rFonts w:ascii="Arial" w:cs="Arial" w:eastAsia="Arial" w:hAnsi="Arial"/>
          <w:sz w:val="22"/>
          <w:szCs w:val="22"/>
          <w:color w:val="auto"/>
        </w:rPr>
      </w:pPr>
      <w:r>
        <w:rPr>
          <w:rFonts w:ascii="Arial" w:cs="Arial" w:eastAsia="Arial" w:hAnsi="Arial"/>
          <w:sz w:val="22"/>
          <w:szCs w:val="22"/>
          <w:color w:val="auto"/>
        </w:rPr>
        <w:t>Neither the Registrar nor the Issuers shall be required:</w:t>
      </w:r>
    </w:p>
    <w:p>
      <w:pPr>
        <w:spacing w:after="0" w:line="247" w:lineRule="exact"/>
        <w:rPr>
          <w:sz w:val="20"/>
          <w:szCs w:val="20"/>
          <w:color w:val="auto"/>
        </w:rPr>
      </w:pPr>
    </w:p>
    <w:p>
      <w:pPr>
        <w:jc w:val="both"/>
        <w:ind w:firstLine="656"/>
        <w:spacing w:after="0" w:line="253" w:lineRule="auto"/>
        <w:tabs>
          <w:tab w:leader="none" w:pos="1012" w:val="left"/>
        </w:tabs>
        <w:numPr>
          <w:ilvl w:val="0"/>
          <w:numId w:val="93"/>
        </w:numPr>
        <w:rPr>
          <w:rFonts w:ascii="Arial" w:cs="Arial" w:eastAsia="Arial" w:hAnsi="Arial"/>
          <w:sz w:val="22"/>
          <w:szCs w:val="22"/>
          <w:color w:val="auto"/>
        </w:rPr>
      </w:pPr>
      <w:r>
        <w:rPr>
          <w:rFonts w:ascii="Arial" w:cs="Arial" w:eastAsia="Arial" w:hAnsi="Arial"/>
          <w:sz w:val="22"/>
          <w:szCs w:val="22"/>
          <w:color w:val="auto"/>
        </w:rPr>
        <w:t>to issue, to register the transfer of or to exchange any Notes during a period beginning at the opening of business 15 days before the day of any selection of Notes for redemption under Section 3.02 hereof and ending at the close of business on the day of selection;</w:t>
      </w:r>
    </w:p>
    <w:p>
      <w:pPr>
        <w:spacing w:after="0" w:line="212" w:lineRule="exact"/>
        <w:rPr>
          <w:rFonts w:ascii="Arial" w:cs="Arial" w:eastAsia="Arial" w:hAnsi="Arial"/>
          <w:sz w:val="22"/>
          <w:szCs w:val="22"/>
          <w:color w:val="auto"/>
        </w:rPr>
      </w:pPr>
    </w:p>
    <w:p>
      <w:pPr>
        <w:ind w:firstLine="656"/>
        <w:spacing w:after="0" w:line="263" w:lineRule="auto"/>
        <w:tabs>
          <w:tab w:leader="none" w:pos="994" w:val="left"/>
        </w:tabs>
        <w:numPr>
          <w:ilvl w:val="0"/>
          <w:numId w:val="93"/>
        </w:numPr>
        <w:rPr>
          <w:rFonts w:ascii="Arial" w:cs="Arial" w:eastAsia="Arial" w:hAnsi="Arial"/>
          <w:sz w:val="22"/>
          <w:szCs w:val="22"/>
          <w:color w:val="auto"/>
        </w:rPr>
      </w:pPr>
      <w:r>
        <w:rPr>
          <w:rFonts w:ascii="Arial" w:cs="Arial" w:eastAsia="Arial" w:hAnsi="Arial"/>
          <w:sz w:val="22"/>
          <w:szCs w:val="22"/>
          <w:color w:val="auto"/>
        </w:rPr>
        <w:t>to register the transfer of or to exchange any Note selected for redemption in whole or in part, except the unredeemed portion of any Note being redeemed in part; or</w:t>
      </w:r>
    </w:p>
    <w:p>
      <w:pPr>
        <w:spacing w:after="0" w:line="201" w:lineRule="exact"/>
        <w:rPr>
          <w:rFonts w:ascii="Arial" w:cs="Arial" w:eastAsia="Arial" w:hAnsi="Arial"/>
          <w:sz w:val="22"/>
          <w:szCs w:val="22"/>
          <w:color w:val="auto"/>
        </w:rPr>
      </w:pPr>
    </w:p>
    <w:p>
      <w:pPr>
        <w:ind w:left="1000" w:hanging="344"/>
        <w:spacing w:after="0"/>
        <w:tabs>
          <w:tab w:leader="none" w:pos="1000" w:val="left"/>
        </w:tabs>
        <w:numPr>
          <w:ilvl w:val="0"/>
          <w:numId w:val="93"/>
        </w:numPr>
        <w:rPr>
          <w:rFonts w:ascii="Arial" w:cs="Arial" w:eastAsia="Arial" w:hAnsi="Arial"/>
          <w:sz w:val="19"/>
          <w:szCs w:val="19"/>
          <w:color w:val="auto"/>
        </w:rPr>
      </w:pPr>
      <w:r>
        <w:rPr>
          <w:rFonts w:ascii="Arial" w:cs="Arial" w:eastAsia="Arial" w:hAnsi="Arial"/>
          <w:sz w:val="19"/>
          <w:szCs w:val="19"/>
          <w:color w:val="auto"/>
        </w:rPr>
        <w:t>to register the transfer of or to exchange a Note between a record date and the next succeeding interest payment date.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28" w:right="339" w:bottom="1440" w:gutter="0" w:footer="0" w:header="0"/>
        </w:sectPr>
      </w:pPr>
    </w:p>
    <w:bookmarkStart w:id="92" w:name="page93"/>
    <w:bookmarkEnd w:id="92"/>
    <w:p>
      <w:pPr>
        <w:spacing w:after="0" w:line="231" w:lineRule="exact"/>
        <w:rPr>
          <w:sz w:val="20"/>
          <w:szCs w:val="20"/>
          <w:color w:val="auto"/>
        </w:rPr>
      </w:pPr>
    </w:p>
    <w:p>
      <w:pPr>
        <w:jc w:val="both"/>
        <w:ind w:firstLine="656"/>
        <w:spacing w:after="0" w:line="250" w:lineRule="auto"/>
        <w:tabs>
          <w:tab w:leader="none" w:pos="976" w:val="left"/>
        </w:tabs>
        <w:numPr>
          <w:ilvl w:val="0"/>
          <w:numId w:val="94"/>
        </w:numPr>
        <w:rPr>
          <w:rFonts w:ascii="Arial" w:cs="Arial" w:eastAsia="Arial" w:hAnsi="Arial"/>
          <w:sz w:val="22"/>
          <w:szCs w:val="22"/>
          <w:color w:val="auto"/>
        </w:rPr>
      </w:pPr>
      <w:r>
        <w:rPr>
          <w:rFonts w:ascii="Arial" w:cs="Arial" w:eastAsia="Arial" w:hAnsi="Arial"/>
          <w:sz w:val="22"/>
          <w:szCs w:val="22"/>
          <w:color w:val="auto"/>
        </w:rPr>
        <w:t>Prior to due presentment for the registration of a transfer of any Note, the Trustee, any Agent and the Issuers may deem and treat the Person in whose name any Note is registered as the absolute owner of such Note for the purpose of receiving payment of principal of and interest on such Notes and for all other purposes, and none of the Trustee, any Agent or the Issuers shall be affected by notice to the contrary.</w:t>
      </w:r>
    </w:p>
    <w:p>
      <w:pPr>
        <w:spacing w:after="0" w:line="214" w:lineRule="exact"/>
        <w:rPr>
          <w:rFonts w:ascii="Arial" w:cs="Arial" w:eastAsia="Arial" w:hAnsi="Arial"/>
          <w:sz w:val="22"/>
          <w:szCs w:val="22"/>
          <w:color w:val="auto"/>
        </w:rPr>
      </w:pPr>
    </w:p>
    <w:p>
      <w:pPr>
        <w:ind w:left="980" w:hanging="324"/>
        <w:spacing w:after="0"/>
        <w:tabs>
          <w:tab w:leader="none" w:pos="980"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Trustee shall authenticate Global Notes and Definitive Notes in accordance with the provisions of Section 2.02</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228" w:lineRule="exact"/>
        <w:rPr>
          <w:rFonts w:ascii="Arial" w:cs="Arial" w:eastAsia="Arial" w:hAnsi="Arial"/>
          <w:sz w:val="19"/>
          <w:szCs w:val="19"/>
          <w:color w:val="auto"/>
        </w:rPr>
      </w:pPr>
    </w:p>
    <w:p>
      <w:pPr>
        <w:ind w:firstLine="656"/>
        <w:spacing w:after="0" w:line="263" w:lineRule="auto"/>
        <w:tabs>
          <w:tab w:leader="none" w:pos="979" w:val="left"/>
        </w:tabs>
        <w:numPr>
          <w:ilvl w:val="0"/>
          <w:numId w:val="94"/>
        </w:numPr>
        <w:rPr>
          <w:rFonts w:ascii="Arial" w:cs="Arial" w:eastAsia="Arial" w:hAnsi="Arial"/>
          <w:sz w:val="22"/>
          <w:szCs w:val="22"/>
          <w:color w:val="auto"/>
        </w:rPr>
      </w:pPr>
      <w:r>
        <w:rPr>
          <w:rFonts w:ascii="Arial" w:cs="Arial" w:eastAsia="Arial" w:hAnsi="Arial"/>
          <w:sz w:val="22"/>
          <w:szCs w:val="22"/>
          <w:color w:val="auto"/>
        </w:rPr>
        <w:t>All certifications and certificates required to be submitted to the Registrar pursuant to this Section 2.06 to effect a registration of transfer or exchange may be submitted by facsimile.</w:t>
      </w:r>
    </w:p>
    <w:p>
      <w:pPr>
        <w:spacing w:after="0" w:line="201" w:lineRule="exact"/>
        <w:rPr>
          <w:rFonts w:ascii="Arial" w:cs="Arial" w:eastAsia="Arial" w:hAnsi="Arial"/>
          <w:sz w:val="22"/>
          <w:szCs w:val="22"/>
          <w:color w:val="auto"/>
        </w:rPr>
      </w:pPr>
    </w:p>
    <w:p>
      <w:pPr>
        <w:jc w:val="both"/>
        <w:ind w:firstLine="656"/>
        <w:spacing w:after="0" w:line="248" w:lineRule="auto"/>
        <w:tabs>
          <w:tab w:leader="none" w:pos="955"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Trustee shall have no obligation or duty to monitor, determine or inquire as to compliance with any restrictions on transfer imposed under this Indenture or under applicable law with respect to any transfer of any interest in any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Section 2.07 Replacement Notes.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If any mutilated Note is surrendered to the Trustee or the Issuers and the Trustee receives evidence to its satisfaction of the destruction, loss or theft of any Note, the Issuers shall issue and the Trustee, upon receipt of an Authentication Order, shall authenticate a replacement Note if the Trustee’s requirements are met. If required by the Trustee or the Issuers, an indemnity bond must be supplied by the Holder that is sufficient in the judgment of the Trustee and the Issuers to protect the Issuers, the Trustee, any Agent and any authenticating agent from any loss that any of them may suffer if a Note is replaced. The Issuers may charge for their expenses in replacing a Note.</w:t>
      </w:r>
    </w:p>
    <w:p>
      <w:pPr>
        <w:spacing w:after="0" w:line="20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Every replacement Note is an additional obligation of the Issuers and shall be entitled to all of the benefits of this Indenture equally and proportionately with all other Notes duly issued hereunder.</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Section 2.08 Outstanding Notes.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w:t>
      </w:r>
    </w:p>
    <w:p>
      <w:pPr>
        <w:spacing w:after="0" w:line="21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Except as set forth in Section 2.09 hereof, a Note does not cease to be outstanding because the Issuers or an Affiliate of either Issuer holds the Note.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440" w:right="339" w:bottom="1440" w:gutter="0" w:footer="0" w:header="0"/>
        </w:sectPr>
      </w:pPr>
    </w:p>
    <w:bookmarkStart w:id="93" w:name="page94"/>
    <w:bookmarkEnd w:id="93"/>
    <w:p>
      <w:pPr>
        <w:jc w:val="both"/>
        <w:ind w:right="20" w:firstLine="648"/>
        <w:spacing w:after="0" w:line="263" w:lineRule="auto"/>
        <w:rPr>
          <w:sz w:val="20"/>
          <w:szCs w:val="20"/>
          <w:color w:val="auto"/>
        </w:rPr>
      </w:pPr>
      <w:r>
        <w:rPr>
          <w:rFonts w:ascii="Arial" w:cs="Arial" w:eastAsia="Arial" w:hAnsi="Arial"/>
          <w:sz w:val="22"/>
          <w:szCs w:val="22"/>
          <w:color w:val="auto"/>
        </w:rPr>
        <w:t>If a Note is replaced pursuant to Section 2.07 hereof, it ceases to be outstanding unless the Trustee receives proof satisfactory to it that the replaced Note is held by a protected purchaser.</w:t>
      </w:r>
    </w:p>
    <w:p>
      <w:pPr>
        <w:spacing w:after="0" w:line="2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If the principal amount of any Note is considered paid under Section 4.01 hereof, it ceases to be outstanding and interest on it ceases to accrue.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If the Paying Agent (other than an Issuer, a Subsidiary of an Issuer or an Affiliate of any thereof) holds, on a redemption date or maturity date, money sufficient to pay Notes payable on that date, then on and after that date such Notes shall be deemed to be no longer outstanding and shall cease to accrue interest.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Section 2.09 Treasury Notes.</w:t>
      </w:r>
    </w:p>
    <w:p>
      <w:pPr>
        <w:spacing w:after="0" w:line="2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determining whether the Holders of the required principal amount of Notes have concurred in any direction, waiver or consent, Notes owned by the Issuers, or any of their Affiliates, shall be considered as though not outstanding, except that for the purposes of determining whether the Trustee shall be protected in relying on any such direction, waiver or consent, only Notes that the Trustee knows are so owned shall be so disregarded.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Section 2.10 Temporary Notes.</w:t>
      </w:r>
    </w:p>
    <w:p>
      <w:pPr>
        <w:spacing w:after="0" w:line="24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Until certificates representing Notes are ready for delivery, the Issuers may prepare and the Trustee, upon receipt of an Authentication Order, shall authenticate temporary Notes. Temporary Notes shall be substantially in the form of certificated Notes but may have variations that the Issuers consider appropriate for temporary Notes and as may be reasonably acceptable to the Trustee. Without unreasonable delay, the Issuers shall prepare and the Trustee shall authenticate Definitive Notes in exchange for temporary Notes.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Holders of temporary Notes shall be entitled to all of the benefits of this Indenture.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Section 2.11 Cancellation.</w:t>
      </w:r>
    </w:p>
    <w:p>
      <w:pPr>
        <w:spacing w:after="0" w:line="24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Issuers at any time may deliver Notes to the Trustee for cancellation. The Registrar and Paying Agent shall forward to the Trustee any Notes surrendered to them for registration of transfer, exchange or payment. The Trustee and no one else shall cancel all Notes surrendered for registration of transfer, exchange, payment, replacement or cancellation and shall destroy canceled Notes in its customary manner. Certification of the destruction of all canceled Notes shall be delivered to the Issuers upon their request. The Issuers may not issue new Notes to replace Notes that they have paid or that have been delivered to the Trustee for cancellation.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Section 2.12 Defaulted Interest.</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the Issuers default in a payment of interest on the Notes, they shall pay the defaulted interest in any lawful manner plus, to the extent lawful, interest payable on the defaulted interest, to the Persons who are Holders on a subsequent special record date, in each case, at the rate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1428" w:right="339" w:bottom="1440" w:gutter="0" w:footer="0" w:header="0"/>
        </w:sectPr>
      </w:pPr>
    </w:p>
    <w:bookmarkStart w:id="94" w:name="page95"/>
    <w:bookmarkEnd w:id="94"/>
    <w:p>
      <w:pPr>
        <w:jc w:val="both"/>
        <w:spacing w:after="0" w:line="294" w:lineRule="auto"/>
        <w:rPr>
          <w:sz w:val="20"/>
          <w:szCs w:val="20"/>
          <w:color w:val="auto"/>
        </w:rPr>
      </w:pPr>
      <w:r>
        <w:rPr>
          <w:rFonts w:ascii="Arial" w:cs="Arial" w:eastAsia="Arial" w:hAnsi="Arial"/>
          <w:sz w:val="19"/>
          <w:szCs w:val="19"/>
          <w:color w:val="auto"/>
        </w:rPr>
        <w:t>provided in the Notes and in Section 4.01 hereof. The Issuers shall notify the Trustee in writing of the amount of defaulted interest proposed to be paid on each Note and the date of the proposed payment. The Issuers shall fix or cause to be fixed each such special record date and payment date, provided that no such special record date may be less than 10 days prior to the related payment date for such defaulted interest. At least 15 days before the special record date, the Issuers (or, upon the written request of the Issuers, the Trustee in the name and at the expense of the Issuers) shall deliver or cause to be delivered to Holders a notice that states the special record date, the related payment date and the amount of such interest to be paid.</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Section 2.13 Issuance of Additional Notes.</w:t>
      </w:r>
    </w:p>
    <w:p>
      <w:pPr>
        <w:spacing w:after="0" w:line="24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Issuers will be entitled, upon delivery of an Officers’ Certificate, Opinion of Counsel and Authentication Order, subject to compliance with Section 2.02 hereof, to issue Additional Notes under this Indenture, which shall have identical terms as the Initial Notes issued on the Issue Date, other than with respect to the date of issuance, the initial date from which interest shall accrue on such Additional Notes and issue price. Without the consent of any Holder of Notes, the Issuers will be entitled to make any amendments to this Indenture or the Note Guarantees as they reasonably determine appropriate in good faith to facilitate the issuance of such Additional Notes.</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With respect to any Additional Notes, the Issuers will set forth in a resolution of the Board of Directors of Wynn Resorts Capital and an Officers’ Certificate, a copy of each which shall be delivered to the Trustee, the following information:</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 the aggregate principal amount of such Additional Notes to be authenticated and delivered pursuant to this Indenture;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29" w:lineRule="exact"/>
        <w:rPr>
          <w:sz w:val="20"/>
          <w:szCs w:val="20"/>
          <w:color w:val="auto"/>
        </w:rPr>
      </w:pPr>
    </w:p>
    <w:p>
      <w:pPr>
        <w:jc w:val="both"/>
        <w:ind w:firstLine="656"/>
        <w:spacing w:after="0" w:line="249" w:lineRule="auto"/>
        <w:tabs>
          <w:tab w:leader="none" w:pos="977" w:val="left"/>
        </w:tabs>
        <w:numPr>
          <w:ilvl w:val="0"/>
          <w:numId w:val="95"/>
        </w:numPr>
        <w:rPr>
          <w:rFonts w:ascii="Arial" w:cs="Arial" w:eastAsia="Arial" w:hAnsi="Arial"/>
          <w:sz w:val="22"/>
          <w:szCs w:val="22"/>
          <w:color w:val="auto"/>
        </w:rPr>
      </w:pPr>
      <w:r>
        <w:rPr>
          <w:rFonts w:ascii="Arial" w:cs="Arial" w:eastAsia="Arial" w:hAnsi="Arial"/>
          <w:sz w:val="22"/>
          <w:szCs w:val="22"/>
          <w:color w:val="auto"/>
        </w:rPr>
        <w:t>which such Additional Notes shall be Notes issued in the form of Restricted Global Notes or Restricted Definitive Notes, as the case may be, or shall be Notes issued in the form of Unrestricted Global Notes or Unrestricted Definitive Notes, as the case may be.</w:t>
      </w:r>
    </w:p>
    <w:p>
      <w:pPr>
        <w:ind w:left="660"/>
        <w:spacing w:after="0"/>
        <w:rPr>
          <w:rFonts w:ascii="Arial" w:cs="Arial" w:eastAsia="Arial" w:hAnsi="Arial"/>
          <w:sz w:val="22"/>
          <w:szCs w:val="22"/>
          <w:color w:val="auto"/>
        </w:rPr>
      </w:pPr>
      <w:r>
        <w:rPr>
          <w:rFonts w:ascii="Arial" w:cs="Arial" w:eastAsia="Arial" w:hAnsi="Arial"/>
          <w:sz w:val="22"/>
          <w:szCs w:val="22"/>
          <w:color w:val="auto"/>
        </w:rPr>
        <w:t>With respect to any Additional Notes, the Opinion of Counsel delivered to the Trustee shall state:</w:t>
      </w:r>
    </w:p>
    <w:p>
      <w:pPr>
        <w:spacing w:after="0" w:line="228" w:lineRule="exact"/>
        <w:rPr>
          <w:rFonts w:ascii="Arial" w:cs="Arial" w:eastAsia="Arial" w:hAnsi="Arial"/>
          <w:sz w:val="22"/>
          <w:szCs w:val="22"/>
          <w:color w:val="auto"/>
        </w:rPr>
      </w:pPr>
    </w:p>
    <w:p>
      <w:pPr>
        <w:ind w:left="940" w:hanging="284"/>
        <w:spacing w:after="0"/>
        <w:tabs>
          <w:tab w:leader="none" w:pos="940" w:val="left"/>
        </w:tabs>
        <w:numPr>
          <w:ilvl w:val="0"/>
          <w:numId w:val="95"/>
        </w:numPr>
        <w:rPr>
          <w:rFonts w:ascii="Arial" w:cs="Arial" w:eastAsia="Arial" w:hAnsi="Arial"/>
          <w:sz w:val="21"/>
          <w:szCs w:val="21"/>
          <w:color w:val="auto"/>
        </w:rPr>
      </w:pPr>
      <w:r>
        <w:rPr>
          <w:rFonts w:ascii="Arial" w:cs="Arial" w:eastAsia="Arial" w:hAnsi="Arial"/>
          <w:sz w:val="21"/>
          <w:szCs w:val="21"/>
          <w:color w:val="auto"/>
        </w:rPr>
        <w:t>that the form and terms of such Additional Notes have been established conformity with this Indenture; and</w:t>
      </w:r>
    </w:p>
    <w:p>
      <w:pPr>
        <w:spacing w:after="0" w:line="258" w:lineRule="exact"/>
        <w:rPr>
          <w:rFonts w:ascii="Arial" w:cs="Arial" w:eastAsia="Arial" w:hAnsi="Arial"/>
          <w:sz w:val="21"/>
          <w:szCs w:val="21"/>
          <w:color w:val="auto"/>
        </w:rPr>
      </w:pPr>
    </w:p>
    <w:p>
      <w:pPr>
        <w:jc w:val="both"/>
        <w:ind w:firstLine="656"/>
        <w:spacing w:after="0" w:line="248" w:lineRule="auto"/>
        <w:tabs>
          <w:tab w:leader="none" w:pos="958"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that such Additional Notes, when authenticated and delivered by the Trustee and issued by Wynn Resorts Finance and Wynn Resorts Capital in the manner and subject to any conditions specified in such Opinion of Counsel, will constitute valid and binding obligations of the Issuers, enforceable in accordance with their terms, subject to bankruptcy, insolvency, reorganization and other laws of general applicability relating to or affecting the enforcement of creditors’ rights and to general equity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1428"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22"/>
          <w:szCs w:val="22"/>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REDEMPTION AND PREPAYMENT</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Section 3.01 Notices to Trustee.</w:t>
      </w:r>
    </w:p>
    <w:p>
      <w:pPr>
        <w:spacing w:after="0" w:line="247"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If the Issuers elect to redeem Notes pursuant to the optional redemption provisions of Section 3.07 hereof, they must furnish to the Trustee, at least 15 days but not more than 60 days before a redemption date, an Officers’ Certificate setting forth:</w:t>
      </w:r>
    </w:p>
    <w:p>
      <w:pPr>
        <w:spacing w:after="0" w:line="131" w:lineRule="exact"/>
        <w:rPr>
          <w:sz w:val="20"/>
          <w:szCs w:val="20"/>
          <w:color w:val="auto"/>
        </w:rPr>
      </w:pPr>
    </w:p>
    <w:p>
      <w:pPr>
        <w:ind w:left="940" w:hanging="284"/>
        <w:spacing w:after="0"/>
        <w:tabs>
          <w:tab w:leader="none" w:pos="94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clause of this Indenture pursuant to which the redemption shall occur;</w:t>
      </w:r>
    </w:p>
    <w:p>
      <w:pPr>
        <w:spacing w:after="0" w:line="246" w:lineRule="exact"/>
        <w:rPr>
          <w:rFonts w:ascii="Arial" w:cs="Arial" w:eastAsia="Arial" w:hAnsi="Arial"/>
          <w:sz w:val="22"/>
          <w:szCs w:val="22"/>
          <w:color w:val="auto"/>
        </w:rPr>
      </w:pPr>
    </w:p>
    <w:p>
      <w:pPr>
        <w:ind w:left="960" w:hanging="304"/>
        <w:spacing w:after="0"/>
        <w:tabs>
          <w:tab w:leader="none" w:pos="96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46" w:lineRule="exact"/>
        <w:rPr>
          <w:rFonts w:ascii="Arial" w:cs="Arial" w:eastAsia="Arial" w:hAnsi="Arial"/>
          <w:sz w:val="22"/>
          <w:szCs w:val="22"/>
          <w:color w:val="auto"/>
        </w:rPr>
      </w:pPr>
    </w:p>
    <w:p>
      <w:pPr>
        <w:ind w:left="940" w:hanging="284"/>
        <w:spacing w:after="0"/>
        <w:tabs>
          <w:tab w:leader="none" w:pos="94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principal amount of Notes to be redeemed; and</w:t>
      </w:r>
    </w:p>
    <w:p>
      <w:pPr>
        <w:spacing w:after="0" w:line="246" w:lineRule="exact"/>
        <w:rPr>
          <w:rFonts w:ascii="Arial" w:cs="Arial" w:eastAsia="Arial" w:hAnsi="Arial"/>
          <w:sz w:val="22"/>
          <w:szCs w:val="22"/>
          <w:color w:val="auto"/>
        </w:rPr>
      </w:pPr>
    </w:p>
    <w:p>
      <w:pPr>
        <w:ind w:left="960" w:hanging="304"/>
        <w:spacing w:after="0"/>
        <w:tabs>
          <w:tab w:leader="none" w:pos="96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Section 3.02 Selection of Notes to Be Redeemed or Purchased.</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less than all of the Notes are to be redeemed or purchased in an offer to purchase at any time, the Trustee shall select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Notes for redemption or purchase as follows:</w:t>
      </w:r>
    </w:p>
    <w:p>
      <w:pPr>
        <w:spacing w:after="0" w:line="229" w:lineRule="exact"/>
        <w:rPr>
          <w:sz w:val="20"/>
          <w:szCs w:val="20"/>
          <w:color w:val="auto"/>
        </w:rPr>
      </w:pPr>
    </w:p>
    <w:p>
      <w:pPr>
        <w:ind w:firstLine="656"/>
        <w:spacing w:after="0" w:line="263" w:lineRule="auto"/>
        <w:tabs>
          <w:tab w:leader="none" w:pos="979" w:val="left"/>
        </w:tabs>
        <w:numPr>
          <w:ilvl w:val="0"/>
          <w:numId w:val="97"/>
        </w:numPr>
        <w:rPr>
          <w:rFonts w:ascii="Arial" w:cs="Arial" w:eastAsia="Arial" w:hAnsi="Arial"/>
          <w:sz w:val="22"/>
          <w:szCs w:val="22"/>
          <w:color w:val="auto"/>
        </w:rPr>
      </w:pPr>
      <w:r>
        <w:rPr>
          <w:rFonts w:ascii="Arial" w:cs="Arial" w:eastAsia="Arial" w:hAnsi="Arial"/>
          <w:sz w:val="22"/>
          <w:szCs w:val="22"/>
          <w:color w:val="auto"/>
        </w:rPr>
        <w:t>if the Notes are listed on any national securities exchange, in compliance with the requirements of the principal national securities exchange on which the Notes are listed; or</w:t>
      </w:r>
    </w:p>
    <w:p>
      <w:pPr>
        <w:spacing w:after="0" w:line="201" w:lineRule="exact"/>
        <w:rPr>
          <w:rFonts w:ascii="Arial" w:cs="Arial" w:eastAsia="Arial" w:hAnsi="Arial"/>
          <w:sz w:val="22"/>
          <w:szCs w:val="22"/>
          <w:color w:val="auto"/>
        </w:rPr>
      </w:pPr>
    </w:p>
    <w:p>
      <w:pPr>
        <w:ind w:right="20" w:firstLine="656"/>
        <w:spacing w:after="0" w:line="263" w:lineRule="auto"/>
        <w:tabs>
          <w:tab w:leader="none" w:pos="974" w:val="left"/>
        </w:tabs>
        <w:numPr>
          <w:ilvl w:val="0"/>
          <w:numId w:val="97"/>
        </w:numPr>
        <w:rPr>
          <w:rFonts w:ascii="Arial" w:cs="Arial" w:eastAsia="Arial" w:hAnsi="Arial"/>
          <w:sz w:val="22"/>
          <w:szCs w:val="22"/>
          <w:color w:val="auto"/>
        </w:rPr>
      </w:pPr>
      <w:r>
        <w:rPr>
          <w:rFonts w:ascii="Arial" w:cs="Arial" w:eastAsia="Arial" w:hAnsi="Arial"/>
          <w:sz w:val="22"/>
          <w:szCs w:val="22"/>
          <w:color w:val="auto"/>
        </w:rPr>
        <w:t>if the Notes are not listed on any national securities exchange, on a pro rata basis, by lot or by such method as the Trustee shall deem fair and appropriate, and in compliance with the procedures of the Depositary.</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the event of partial redemption or purchase by lot, the particular Notes to be redeemed or purchased shall be selected, unless otherwise provided herein, not less than 15 nor more than 60 days prior to the redemption or purchase date by the Trustee from the outstanding Notes not previously called for redemption or purchase.</w:t>
      </w:r>
    </w:p>
    <w:p>
      <w:pPr>
        <w:spacing w:after="0" w:line="21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Trustee shall promptly notify the Issuers in writing of the Notes selected for redemption or purchase and, in the case of any Note selected for partial redemption or purchase, the principal amount thereof to be redeemed or purchased. Notes and portions of Notes selected shall be in amounts of $2,000 or integral multiples of $1,000 in excess of $2,000; provided, however, that if all of the Notes of a Holder are to be redeemed or purchased, the entire outstanding amount of Notes held by such Holder, even if not a multiple of $1,000, shall be redeemed or purchased. Except as provided in the preceding sentence, provisions of this Indenture that apply to Notes called for redemption or purchase also apply to portions of Notes called for redemption or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1422" w:right="339" w:bottom="1440" w:gutter="0" w:footer="0" w:header="0"/>
        </w:sectPr>
      </w:pPr>
    </w:p>
    <w:bookmarkStart w:id="96" w:name="page97"/>
    <w:bookmarkEnd w:id="96"/>
    <w:p>
      <w:pPr>
        <w:spacing w:after="0"/>
        <w:rPr>
          <w:sz w:val="20"/>
          <w:szCs w:val="20"/>
          <w:color w:val="auto"/>
        </w:rPr>
      </w:pPr>
      <w:r>
        <w:rPr>
          <w:rFonts w:ascii="Arial" w:cs="Arial" w:eastAsia="Arial" w:hAnsi="Arial"/>
          <w:sz w:val="22"/>
          <w:szCs w:val="22"/>
          <w:color w:val="auto"/>
        </w:rPr>
        <w:t>Section 3.03 Notice of Redemption.</w:t>
      </w:r>
    </w:p>
    <w:p>
      <w:pPr>
        <w:spacing w:after="0" w:line="2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At least 15 days but not more than 60 days before a redemption date, the Issuers shall deliver or cause to be delivered a notice of redemption to each Holder whose Notes are to be redeemed at its registered address, except that redemption notices may be delivered more than 60 days prior to a redemption date if the notice is issued in connection with a defeasance of the Notes or a satisfaction and discharge of this Indenture pursuant to Articles 8 or 12 of this Indenture.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notice shall identify the Notes to be redeemed and shall state:</w:t>
      </w:r>
    </w:p>
    <w:p>
      <w:pPr>
        <w:spacing w:after="0" w:line="247" w:lineRule="exact"/>
        <w:rPr>
          <w:sz w:val="20"/>
          <w:szCs w:val="20"/>
          <w:color w:val="auto"/>
        </w:rPr>
      </w:pPr>
    </w:p>
    <w:p>
      <w:pPr>
        <w:ind w:left="940" w:hanging="284"/>
        <w:spacing w:after="0"/>
        <w:tabs>
          <w:tab w:leader="none" w:pos="940"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46" w:lineRule="exact"/>
        <w:rPr>
          <w:rFonts w:ascii="Arial" w:cs="Arial" w:eastAsia="Arial" w:hAnsi="Arial"/>
          <w:sz w:val="22"/>
          <w:szCs w:val="22"/>
          <w:color w:val="auto"/>
        </w:rPr>
      </w:pPr>
    </w:p>
    <w:p>
      <w:pPr>
        <w:ind w:left="960" w:hanging="304"/>
        <w:spacing w:after="0"/>
        <w:tabs>
          <w:tab w:leader="none" w:pos="960"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246" w:lineRule="exact"/>
        <w:rPr>
          <w:rFonts w:ascii="Arial" w:cs="Arial" w:eastAsia="Arial" w:hAnsi="Arial"/>
          <w:sz w:val="22"/>
          <w:szCs w:val="22"/>
          <w:color w:val="auto"/>
        </w:rPr>
      </w:pPr>
    </w:p>
    <w:p>
      <w:pPr>
        <w:jc w:val="both"/>
        <w:ind w:firstLine="656"/>
        <w:spacing w:after="0" w:line="253" w:lineRule="auto"/>
        <w:tabs>
          <w:tab w:leader="none" w:pos="949" w:val="left"/>
        </w:tabs>
        <w:numPr>
          <w:ilvl w:val="0"/>
          <w:numId w:val="98"/>
        </w:numPr>
        <w:rPr>
          <w:rFonts w:ascii="Arial" w:cs="Arial" w:eastAsia="Arial" w:hAnsi="Arial"/>
          <w:sz w:val="22"/>
          <w:szCs w:val="22"/>
          <w:color w:val="auto"/>
        </w:rPr>
      </w:pPr>
      <w:r>
        <w:rPr>
          <w:rFonts w:ascii="Arial" w:cs="Arial" w:eastAsia="Arial" w:hAnsi="Arial"/>
          <w:sz w:val="22"/>
          <w:szCs w:val="22"/>
          <w:color w:val="auto"/>
        </w:rPr>
        <w:t>if any Note is being redeemed in part, the portion of the principal amount of such Note to be redeemed and that, after the redemption date upon surrender of such Note, a new Note or Notes in principal amount equal to the unredeemed portion shall be issued upon cancellation of the original Note;</w:t>
      </w:r>
    </w:p>
    <w:p>
      <w:pPr>
        <w:spacing w:after="0" w:line="212" w:lineRule="exact"/>
        <w:rPr>
          <w:rFonts w:ascii="Arial" w:cs="Arial" w:eastAsia="Arial" w:hAnsi="Arial"/>
          <w:sz w:val="22"/>
          <w:szCs w:val="22"/>
          <w:color w:val="auto"/>
        </w:rPr>
      </w:pPr>
    </w:p>
    <w:p>
      <w:pPr>
        <w:ind w:left="960" w:hanging="304"/>
        <w:spacing w:after="0"/>
        <w:tabs>
          <w:tab w:leader="none" w:pos="960"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name and address of the Paying Agent;</w:t>
      </w:r>
    </w:p>
    <w:p>
      <w:pPr>
        <w:spacing w:after="0" w:line="246" w:lineRule="exact"/>
        <w:rPr>
          <w:rFonts w:ascii="Arial" w:cs="Arial" w:eastAsia="Arial" w:hAnsi="Arial"/>
          <w:sz w:val="22"/>
          <w:szCs w:val="22"/>
          <w:color w:val="auto"/>
        </w:rPr>
      </w:pPr>
    </w:p>
    <w:p>
      <w:pPr>
        <w:ind w:left="940" w:hanging="284"/>
        <w:spacing w:after="0"/>
        <w:tabs>
          <w:tab w:leader="none" w:pos="940"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that Notes called for redemption must be surrendered to the Paying Agent to collect the redemption price;</w:t>
      </w:r>
    </w:p>
    <w:p>
      <w:pPr>
        <w:spacing w:after="0" w:line="246" w:lineRule="exact"/>
        <w:rPr>
          <w:rFonts w:ascii="Arial" w:cs="Arial" w:eastAsia="Arial" w:hAnsi="Arial"/>
          <w:sz w:val="22"/>
          <w:szCs w:val="22"/>
          <w:color w:val="auto"/>
        </w:rPr>
      </w:pPr>
    </w:p>
    <w:p>
      <w:pPr>
        <w:ind w:firstLine="656"/>
        <w:spacing w:after="0" w:line="263" w:lineRule="auto"/>
        <w:tabs>
          <w:tab w:leader="none" w:pos="928"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that, unless the Issuers default in making such redemption payment, interest on Notes called for redemption ceases to accrue on and after the redemption date;</w:t>
      </w:r>
    </w:p>
    <w:p>
      <w:pPr>
        <w:spacing w:after="0" w:line="201" w:lineRule="exact"/>
        <w:rPr>
          <w:rFonts w:ascii="Arial" w:cs="Arial" w:eastAsia="Arial" w:hAnsi="Arial"/>
          <w:sz w:val="22"/>
          <w:szCs w:val="22"/>
          <w:color w:val="auto"/>
        </w:rPr>
      </w:pPr>
    </w:p>
    <w:p>
      <w:pPr>
        <w:ind w:firstLine="656"/>
        <w:spacing w:after="0" w:line="263" w:lineRule="auto"/>
        <w:tabs>
          <w:tab w:leader="none" w:pos="979"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paragraph of the Notes and/or Section of this Indenture pursuant to which the Notes called for redemption are being redeemed; and</w:t>
      </w:r>
    </w:p>
    <w:p>
      <w:pPr>
        <w:spacing w:after="0" w:line="201" w:lineRule="exact"/>
        <w:rPr>
          <w:rFonts w:ascii="Arial" w:cs="Arial" w:eastAsia="Arial" w:hAnsi="Arial"/>
          <w:sz w:val="22"/>
          <w:szCs w:val="22"/>
          <w:color w:val="auto"/>
        </w:rPr>
      </w:pPr>
    </w:p>
    <w:p>
      <w:pPr>
        <w:ind w:right="20" w:firstLine="656"/>
        <w:spacing w:after="0" w:line="263" w:lineRule="auto"/>
        <w:tabs>
          <w:tab w:leader="none" w:pos="965"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that no representation is made as to the correctness or accuracy of the CUSIP number, if any, listed in such notice or printed on the Notes.</w:t>
      </w:r>
    </w:p>
    <w:p>
      <w:pPr>
        <w:spacing w:after="0" w:line="20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At the Issuers’ request, the Trustee shall give the notice of redemption in the Issuers’ name and at their expense; provided, however, that the Issuers have delivered to the Trustee, at least 20 days prior to the redemption date (or such shorter time period otherwise agreed to by the Trustee), an Officers’ Certificate requesting that the Trustee give such notice and setting forth the information to be stated in such notice as provided in the preceding paragraph.</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Section 3.04 Effect of Notice of Redemption.</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Any such redemption pursuant to this Article 3 may, at the discretion of the Issuers, be subject to one or more conditions precedent, including a Change of Control. In addition, if such redemption is subject to the satisfaction of one or more conditions precedent, the related notice</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40"/>
          </w:cols>
          <w:pgMar w:left="320" w:top="1428" w:right="339" w:bottom="1440" w:gutter="0" w:footer="0" w:header="0"/>
        </w:sectPr>
      </w:pPr>
    </w:p>
    <w:bookmarkStart w:id="97" w:name="page98"/>
    <w:bookmarkEnd w:id="97"/>
    <w:p>
      <w:pPr>
        <w:jc w:val="both"/>
        <w:spacing w:after="0" w:line="294" w:lineRule="auto"/>
        <w:rPr>
          <w:sz w:val="20"/>
          <w:szCs w:val="20"/>
          <w:color w:val="auto"/>
        </w:rPr>
      </w:pPr>
      <w:r>
        <w:rPr>
          <w:rFonts w:ascii="Arial" w:cs="Arial" w:eastAsia="Arial" w:hAnsi="Arial"/>
          <w:sz w:val="19"/>
          <w:szCs w:val="19"/>
          <w:color w:val="auto"/>
        </w:rPr>
        <w:t>shall describe each such condition, and if applicable, shall state that, in the discretion of the Issuers, the date of redemption may be delayed until such time as any or all such conditions shall be satisfied or waived (provided that in no event shall such date of redemption be delayed to a date later than 60 days after the date on which such notice was delivered), or such redemption may not occur and such notice may be rescinded in the event that any or all such conditions shall not have been satisfied or waived by the date of redemption, or by the date of redemption as so delayed. If delivered in the manner provided in Section 3.03 hereof, the notice of redemption shall be conclusively presumed to have been given whether or not the Holder receives such notice.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Section 3.05 Deposit of Redemption or Purchase Price.</w:t>
      </w:r>
    </w:p>
    <w:p>
      <w:pPr>
        <w:spacing w:after="0" w:line="2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One Business Day prior to the redemption or purchase price date, the Issuers shall deposit with the Trustee or with the Paying Agent money sufficient to pay the redemption or purchase price of and accrued interest and premium, if any, on all Notes to be redeemed or purchased on that date. The Trustee or the Paying Agent shall promptly return to the Issuers any money deposited with the Trustee or the Paying Agent by the Issuers in excess of the amounts necessary to pay the redemption or purchase price of, and accrued interest and premium, if any, on, all Notes to be redeemed or purchased.</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If the Issuers comply with the provisions of the preceding paragraph, on and after the redemption or purchase date, interest shall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Issuers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auto"/>
        </w:rPr>
        <w:t>Section 3.06 Notes Redeemed or Purchased in Part.</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Upon surrender of a Note that is redeemed or purchased in part, the Issuers shall issue and, upon receipt of an Authentication Order, the Trustee shall authenticate for the Holder at the expense of the Issuers a new Note equal in principal amount to the unredeemed or unpurchased portion of the Note surrendered.</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Section 3.07 Optional Redemption.</w:t>
      </w:r>
    </w:p>
    <w:p>
      <w:pPr>
        <w:spacing w:after="0" w:line="247" w:lineRule="exact"/>
        <w:rPr>
          <w:sz w:val="20"/>
          <w:szCs w:val="20"/>
          <w:color w:val="auto"/>
        </w:rPr>
      </w:pPr>
    </w:p>
    <w:p>
      <w:pPr>
        <w:jc w:val="both"/>
        <w:ind w:firstLine="656"/>
        <w:spacing w:after="0" w:line="312" w:lineRule="auto"/>
        <w:tabs>
          <w:tab w:leader="none" w:pos="957"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Notes are redeemable at the Issuers’ election, in whole or in part at any time prior to their Stated Maturity. The redemption price for the Notes that are redeemed before April 15, 2022 will be equal to 100% of the aggregate principal amount of the Notes plus the Applicable Premium, plus accrued and unpaid interest to, but not including, the redemption date (subject to</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1428" w:right="339" w:bottom="1440" w:gutter="0" w:footer="0" w:header="0"/>
        </w:sectPr>
      </w:pPr>
    </w:p>
    <w:bookmarkStart w:id="98" w:name="page99"/>
    <w:bookmarkEnd w:id="98"/>
    <w:p>
      <w:pPr>
        <w:spacing w:after="0" w:line="263" w:lineRule="auto"/>
        <w:rPr>
          <w:sz w:val="20"/>
          <w:szCs w:val="20"/>
          <w:color w:val="auto"/>
        </w:rPr>
      </w:pPr>
      <w:r>
        <w:rPr>
          <w:rFonts w:ascii="Arial" w:cs="Arial" w:eastAsia="Arial" w:hAnsi="Arial"/>
          <w:sz w:val="22"/>
          <w:szCs w:val="22"/>
          <w:color w:val="auto"/>
        </w:rPr>
        <w:t>the right of Holders of record on the relevant record date to receive interest due on an interest payment date falling on or prior to such redemption date).</w:t>
      </w:r>
    </w:p>
    <w:p>
      <w:pPr>
        <w:spacing w:after="0" w:line="202" w:lineRule="exact"/>
        <w:rPr>
          <w:sz w:val="20"/>
          <w:szCs w:val="20"/>
          <w:color w:val="auto"/>
        </w:rPr>
      </w:pPr>
    </w:p>
    <w:p>
      <w:pPr>
        <w:jc w:val="both"/>
        <w:ind w:firstLine="656"/>
        <w:spacing w:after="0" w:line="263" w:lineRule="auto"/>
        <w:tabs>
          <w:tab w:leader="none" w:pos="961" w:val="left"/>
        </w:tabs>
        <w:numPr>
          <w:ilvl w:val="0"/>
          <w:numId w:val="100"/>
        </w:numPr>
        <w:rPr>
          <w:rFonts w:ascii="Arial" w:cs="Arial" w:eastAsia="Arial" w:hAnsi="Arial"/>
          <w:sz w:val="21"/>
          <w:szCs w:val="21"/>
          <w:color w:val="auto"/>
        </w:rPr>
      </w:pPr>
      <w:r>
        <w:rPr>
          <w:rFonts w:ascii="Arial" w:cs="Arial" w:eastAsia="Arial" w:hAnsi="Arial"/>
          <w:sz w:val="21"/>
          <w:szCs w:val="21"/>
          <w:color w:val="auto"/>
        </w:rPr>
        <w:t>The redemption price for Notes that are redeemed on or after April 15, 2022 will be the redemption prices (expressed as a percentage of principal amount of the Notes to be redeemed) set forth below, plus accrued and unpaid interest on the Notes, if any, to, but not including, the applicable date of redemption (subject to the right of Holders of record on the relevant record date to receive interest due on an interest payment date falling on or prior to such redemption date), if redeemed during the 12-month period beginning on April 15 of each of the years indicated below:</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1300" w:type="dxa"/>
        <w:tblCellMar>
          <w:top w:w="0" w:type="dxa"/>
          <w:left w:w="0" w:type="dxa"/>
          <w:bottom w:w="0" w:type="dxa"/>
          <w:right w:w="0" w:type="dxa"/>
        </w:tblCellMar>
      </w:tblPr>
      <w:tr>
        <w:trPr>
          <w:trHeight w:val="253"/>
        </w:trPr>
        <w:tc>
          <w:tcPr>
            <w:tcW w:w="2700" w:type="dxa"/>
            <w:vAlign w:val="bottom"/>
            <w:gridSpan w:val="4"/>
          </w:tcPr>
          <w:p>
            <w:pPr>
              <w:spacing w:after="0"/>
              <w:rPr>
                <w:sz w:val="20"/>
                <w:szCs w:val="20"/>
                <w:color w:val="auto"/>
              </w:rPr>
            </w:pPr>
            <w:r>
              <w:rPr>
                <w:rFonts w:ascii="Arial" w:cs="Arial" w:eastAsia="Arial" w:hAnsi="Arial"/>
                <w:sz w:val="22"/>
                <w:szCs w:val="22"/>
                <w:b w:val="1"/>
                <w:bCs w:val="1"/>
                <w:color w:val="auto"/>
              </w:rPr>
              <w:t>Year   Percentage</w:t>
            </w:r>
          </w:p>
        </w:tc>
        <w:tc>
          <w:tcPr>
            <w:tcW w:w="1800" w:type="dxa"/>
            <w:vAlign w:val="bottom"/>
          </w:tcPr>
          <w:p>
            <w:pPr>
              <w:spacing w:after="0"/>
              <w:rPr>
                <w:sz w:val="21"/>
                <w:szCs w:val="2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69"/>
        </w:trPr>
        <w:tc>
          <w:tcPr>
            <w:tcW w:w="1780" w:type="dxa"/>
            <w:vAlign w:val="bottom"/>
            <w:gridSpan w:val="3"/>
          </w:tcPr>
          <w:p>
            <w:pPr>
              <w:spacing w:after="0"/>
              <w:rPr>
                <w:sz w:val="20"/>
                <w:szCs w:val="20"/>
                <w:color w:val="auto"/>
              </w:rPr>
            </w:pPr>
            <w:r>
              <w:rPr>
                <w:rFonts w:ascii="Arial" w:cs="Arial" w:eastAsia="Arial" w:hAnsi="Arial"/>
                <w:sz w:val="13"/>
                <w:szCs w:val="13"/>
                <w:color w:val="auto"/>
                <w:w w:val="73"/>
              </w:rPr>
              <w:t>2022..........................................................</w:t>
            </w:r>
          </w:p>
        </w:tc>
        <w:tc>
          <w:tcPr>
            <w:tcW w:w="92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103.875%</w:t>
            </w:r>
          </w:p>
        </w:tc>
      </w:tr>
      <w:tr>
        <w:trPr>
          <w:trHeight w:val="256"/>
        </w:trPr>
        <w:tc>
          <w:tcPr>
            <w:tcW w:w="1780" w:type="dxa"/>
            <w:vAlign w:val="bottom"/>
            <w:gridSpan w:val="3"/>
          </w:tcPr>
          <w:p>
            <w:pPr>
              <w:spacing w:after="0"/>
              <w:rPr>
                <w:sz w:val="20"/>
                <w:szCs w:val="20"/>
                <w:color w:val="auto"/>
              </w:rPr>
            </w:pPr>
            <w:r>
              <w:rPr>
                <w:rFonts w:ascii="Arial" w:cs="Arial" w:eastAsia="Arial" w:hAnsi="Arial"/>
                <w:sz w:val="13"/>
                <w:szCs w:val="13"/>
                <w:color w:val="auto"/>
                <w:w w:val="73"/>
              </w:rPr>
              <w:t>2023..........................................................</w:t>
            </w:r>
          </w:p>
        </w:tc>
        <w:tc>
          <w:tcPr>
            <w:tcW w:w="9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101.938%</w:t>
            </w:r>
          </w:p>
        </w:tc>
      </w:tr>
      <w:tr>
        <w:trPr>
          <w:trHeight w:val="274"/>
        </w:trPr>
        <w:tc>
          <w:tcPr>
            <w:tcW w:w="2700" w:type="dxa"/>
            <w:vAlign w:val="bottom"/>
            <w:gridSpan w:val="4"/>
          </w:tcPr>
          <w:p>
            <w:pPr>
              <w:spacing w:after="0"/>
              <w:rPr>
                <w:sz w:val="20"/>
                <w:szCs w:val="20"/>
                <w:color w:val="auto"/>
              </w:rPr>
            </w:pPr>
            <w:r>
              <w:rPr>
                <w:rFonts w:ascii="Arial" w:cs="Arial" w:eastAsia="Arial" w:hAnsi="Arial"/>
                <w:sz w:val="19"/>
                <w:szCs w:val="19"/>
                <w:color w:val="auto"/>
                <w:w w:val="76"/>
              </w:rPr>
              <w:t>2024 and thereafter ..................................</w:t>
            </w:r>
          </w:p>
        </w:tc>
        <w:tc>
          <w:tcPr>
            <w:tcW w:w="1800" w:type="dxa"/>
            <w:vAlign w:val="bottom"/>
          </w:tcPr>
          <w:p>
            <w:pPr>
              <w:jc w:val="right"/>
              <w:spacing w:after="0"/>
              <w:rPr>
                <w:sz w:val="20"/>
                <w:szCs w:val="20"/>
                <w:color w:val="auto"/>
              </w:rPr>
            </w:pPr>
            <w:r>
              <w:rPr>
                <w:rFonts w:ascii="Arial" w:cs="Arial" w:eastAsia="Arial" w:hAnsi="Arial"/>
                <w:sz w:val="22"/>
                <w:szCs w:val="22"/>
                <w:color w:val="auto"/>
              </w:rPr>
              <w:t>100.000%</w:t>
            </w:r>
          </w:p>
        </w:tc>
      </w:tr>
    </w:tbl>
    <w:p>
      <w:pPr>
        <w:spacing w:after="0" w:line="225" w:lineRule="exact"/>
        <w:rPr>
          <w:sz w:val="20"/>
          <w:szCs w:val="20"/>
          <w:color w:val="auto"/>
        </w:rPr>
      </w:pPr>
    </w:p>
    <w:p>
      <w:pPr>
        <w:jc w:val="both"/>
        <w:ind w:firstLine="656"/>
        <w:spacing w:after="0" w:line="247" w:lineRule="auto"/>
        <w:tabs>
          <w:tab w:leader="none" w:pos="979" w:val="left"/>
        </w:tabs>
        <w:numPr>
          <w:ilvl w:val="0"/>
          <w:numId w:val="101"/>
        </w:numPr>
        <w:rPr>
          <w:rFonts w:ascii="Arial" w:cs="Arial" w:eastAsia="Arial" w:hAnsi="Arial"/>
          <w:sz w:val="22"/>
          <w:szCs w:val="22"/>
          <w:color w:val="auto"/>
        </w:rPr>
      </w:pPr>
      <w:r>
        <w:rPr>
          <w:rFonts w:ascii="Arial" w:cs="Arial" w:eastAsia="Arial" w:hAnsi="Arial"/>
          <w:sz w:val="22"/>
          <w:szCs w:val="22"/>
          <w:color w:val="auto"/>
        </w:rPr>
        <w:t>Prior to April 15, 2022, the Issuers may also, on any one or more occasions, redeem up to 35% of the original aggregate principal amount of the Notes (calculated after giving effect to any issuance of Additional Notes issued under this Indenture) with the proceeds of one or more Equity Offerings at a redemption price equal to 107.750% of the aggregate principal amount thereof, plus accrued and unpaid interest, if any, to, but not including, the applicable redemption date (subject to the right of Holders of record on the relevant record date to receive interest due on an interest payment date falling on or prior to such redemption date); provided that</w:t>
      </w:r>
    </w:p>
    <w:p>
      <w:pPr>
        <w:spacing w:after="0" w:line="220" w:lineRule="exact"/>
        <w:rPr>
          <w:sz w:val="20"/>
          <w:szCs w:val="20"/>
          <w:color w:val="auto"/>
        </w:rPr>
      </w:pPr>
    </w:p>
    <w:p>
      <w:pPr>
        <w:jc w:val="both"/>
        <w:ind w:firstLine="656"/>
        <w:spacing w:after="0" w:line="271" w:lineRule="auto"/>
        <w:tabs>
          <w:tab w:leader="none" w:pos="964" w:val="left"/>
        </w:tabs>
        <w:numPr>
          <w:ilvl w:val="0"/>
          <w:numId w:val="102"/>
        </w:numPr>
        <w:rPr>
          <w:rFonts w:ascii="Arial" w:cs="Arial" w:eastAsia="Arial" w:hAnsi="Arial"/>
          <w:sz w:val="21"/>
          <w:szCs w:val="21"/>
          <w:color w:val="auto"/>
        </w:rPr>
      </w:pPr>
      <w:r>
        <w:rPr>
          <w:rFonts w:ascii="Arial" w:cs="Arial" w:eastAsia="Arial" w:hAnsi="Arial"/>
          <w:sz w:val="21"/>
          <w:szCs w:val="21"/>
          <w:color w:val="auto"/>
        </w:rPr>
        <w:t>at least 65% of the original aggregate principal amount of the Notes (calculated after giving effect to any issuance of Additional Notes issued under this Indenture) remains outstanding after each such redemption (unless all Notes are otherwise repurchased or redeemed substantially concurrently with the corresponding redemption); and</w:t>
      </w:r>
    </w:p>
    <w:p>
      <w:pPr>
        <w:spacing w:after="0" w:line="194" w:lineRule="exact"/>
        <w:rPr>
          <w:rFonts w:ascii="Arial" w:cs="Arial" w:eastAsia="Arial" w:hAnsi="Arial"/>
          <w:sz w:val="21"/>
          <w:szCs w:val="21"/>
          <w:color w:val="auto"/>
        </w:rPr>
      </w:pPr>
    </w:p>
    <w:p>
      <w:pPr>
        <w:ind w:left="960" w:hanging="304"/>
        <w:spacing w:after="0"/>
        <w:tabs>
          <w:tab w:leader="none" w:pos="96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such redemption occurs within 120 days after the closing of such Equity Offering.</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Section 3.08 Mandatory Redemption.</w:t>
      </w:r>
    </w:p>
    <w:p>
      <w:pPr>
        <w:spacing w:after="0" w:line="24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Other than as set forth in Section 3.09 below, the Issuers are not required to make mandatory redemption or sinking fund payments with respect to the Notes.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Section 3.09 Mandatory Disposition or Redemption Pursuant to Gaming Laws.</w:t>
      </w:r>
    </w:p>
    <w:p>
      <w:pPr>
        <w:spacing w:after="0" w:line="24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Notwithstanding any other provision hereof, each holder, by accepting a Note, shall be deemed to have agreed that, if any Gaming Authority requires a Holder or Beneficial Owner of Notes to be registered, licensed, qualified or found suitable under any applicable Gaming Law, such Holder or Beneficial Owner, as the case may be, shall apply for a license, qualification or a</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240"/>
          </w:cols>
          <w:pgMar w:left="320" w:top="1428" w:right="339" w:bottom="1440" w:gutter="0" w:footer="0" w:header="0"/>
        </w:sectPr>
      </w:pPr>
    </w:p>
    <w:bookmarkStart w:id="99" w:name="page100"/>
    <w:bookmarkEnd w:id="99"/>
    <w:p>
      <w:pPr>
        <w:jc w:val="both"/>
        <w:spacing w:after="0" w:line="288" w:lineRule="auto"/>
        <w:rPr>
          <w:sz w:val="20"/>
          <w:szCs w:val="20"/>
          <w:color w:val="auto"/>
        </w:rPr>
      </w:pPr>
      <w:r>
        <w:rPr>
          <w:rFonts w:ascii="Arial" w:cs="Arial" w:eastAsia="Arial" w:hAnsi="Arial"/>
          <w:sz w:val="19"/>
          <w:szCs w:val="19"/>
          <w:color w:val="auto"/>
        </w:rPr>
        <w:t>finding of suitability in accordance with such Gaming Law and shall cooperate with the requests of any Gaming Authority for information, documentation, and/or testimony. If such Holder or Beneficial Owner (1) fails to apply for a license, qualification or finding of suitability within 30 days after being requested to do so (or such lesser period as required by the Gaming Authority), or</w:t>
      </w:r>
    </w:p>
    <w:p>
      <w:pPr>
        <w:spacing w:after="0" w:line="1" w:lineRule="exact"/>
        <w:rPr>
          <w:sz w:val="20"/>
          <w:szCs w:val="20"/>
          <w:color w:val="auto"/>
        </w:rPr>
      </w:pPr>
    </w:p>
    <w:p>
      <w:pPr>
        <w:ind w:right="20" w:firstLine="8"/>
        <w:spacing w:after="0" w:line="246" w:lineRule="auto"/>
        <w:tabs>
          <w:tab w:leader="none" w:pos="306"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is notified by a Gaming Authority that it shall not be licensed, qualified or found suitable, then the Issuers shall have the right, at their option, to:</w:t>
      </w:r>
    </w:p>
    <w:p>
      <w:pPr>
        <w:spacing w:after="0" w:line="219" w:lineRule="exact"/>
        <w:rPr>
          <w:rFonts w:ascii="Arial" w:cs="Arial" w:eastAsia="Arial" w:hAnsi="Arial"/>
          <w:sz w:val="22"/>
          <w:szCs w:val="22"/>
          <w:color w:val="auto"/>
        </w:rPr>
      </w:pPr>
    </w:p>
    <w:p>
      <w:pPr>
        <w:ind w:firstLine="656"/>
        <w:spacing w:after="0" w:line="263" w:lineRule="auto"/>
        <w:tabs>
          <w:tab w:leader="none" w:pos="945" w:val="left"/>
        </w:tabs>
        <w:numPr>
          <w:ilvl w:val="1"/>
          <w:numId w:val="103"/>
        </w:numPr>
        <w:rPr>
          <w:rFonts w:ascii="Arial" w:cs="Arial" w:eastAsia="Arial" w:hAnsi="Arial"/>
          <w:sz w:val="22"/>
          <w:szCs w:val="22"/>
          <w:color w:val="auto"/>
        </w:rPr>
      </w:pPr>
      <w:r>
        <w:rPr>
          <w:rFonts w:ascii="Arial" w:cs="Arial" w:eastAsia="Arial" w:hAnsi="Arial"/>
          <w:sz w:val="22"/>
          <w:szCs w:val="22"/>
          <w:color w:val="auto"/>
        </w:rPr>
        <w:t>require the Holder or Beneficial Owner to dispose of its Notes within 30 days (or such lesser period as required by the Gaming Authority) following the earlier of:</w:t>
      </w:r>
    </w:p>
    <w:p>
      <w:pPr>
        <w:spacing w:after="0" w:line="202" w:lineRule="exact"/>
        <w:rPr>
          <w:sz w:val="20"/>
          <w:szCs w:val="20"/>
          <w:color w:val="auto"/>
        </w:rPr>
      </w:pPr>
    </w:p>
    <w:p>
      <w:pPr>
        <w:ind w:firstLine="656"/>
        <w:spacing w:after="0" w:line="343" w:lineRule="auto"/>
        <w:tabs>
          <w:tab w:leader="none" w:pos="964"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the termination of the period described above for the Holder or Beneficial Owner to apply for a license, qualification or finding of suitability if the Holder fails to apply for a license, qualification or finding of suitability during such period; or</w:t>
      </w:r>
    </w:p>
    <w:p>
      <w:pPr>
        <w:spacing w:after="0" w:line="131" w:lineRule="exact"/>
        <w:rPr>
          <w:rFonts w:ascii="Arial" w:cs="Arial" w:eastAsia="Arial" w:hAnsi="Arial"/>
          <w:sz w:val="19"/>
          <w:szCs w:val="19"/>
          <w:color w:val="auto"/>
        </w:rPr>
      </w:pPr>
    </w:p>
    <w:p>
      <w:pPr>
        <w:ind w:firstLine="656"/>
        <w:spacing w:after="0" w:line="263" w:lineRule="auto"/>
        <w:tabs>
          <w:tab w:leader="none" w:pos="994"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receipt of the notice from the Gaming Authority that the Holder or Beneficial Owner shall not be licensed, qualified or found suitable by the Gaming Authority; or</w:t>
      </w:r>
    </w:p>
    <w:p>
      <w:pPr>
        <w:spacing w:after="0" w:line="202" w:lineRule="exact"/>
        <w:rPr>
          <w:sz w:val="20"/>
          <w:szCs w:val="20"/>
          <w:color w:val="auto"/>
        </w:rPr>
      </w:pPr>
    </w:p>
    <w:p>
      <w:pPr>
        <w:ind w:left="960" w:hanging="304"/>
        <w:spacing w:after="0"/>
        <w:tabs>
          <w:tab w:leader="none" w:pos="96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redeem the Notes of the Holder or Beneficial Owner at a redemption price equal to:</w:t>
      </w:r>
    </w:p>
    <w:p>
      <w:pPr>
        <w:spacing w:after="0" w:line="246"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(1) the price required by applicable law or by order of any Gaming Authority; or</w:t>
      </w:r>
    </w:p>
    <w:p>
      <w:pPr>
        <w:spacing w:after="0" w:line="246"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(2) the lesser of:</w:t>
      </w:r>
    </w:p>
    <w:p>
      <w:pPr>
        <w:spacing w:after="0" w:line="246"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(A) the principal amount of the Notes; and</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 the price that the Holder or Beneficial Owner paid for the Notes,</w:t>
      </w:r>
    </w:p>
    <w:p>
      <w:pPr>
        <w:spacing w:after="0" w:line="21"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in each case, together with accrued and unpaid interest, if any, on the Notes to, but not including, the earlier of (1) the date of redemption or such earlier date as is required by the Gaming Authority or (2) the date of the finding of unsuitability by the Gaming Authority, which may be less than 30 days following the notice of redemption. The Issuers shall notify the Trustee in writing of any redemption pursuant to this Section 3.09 as soon as reasonably practicable.</w:t>
      </w:r>
    </w:p>
    <w:p>
      <w:pPr>
        <w:spacing w:after="0" w:line="4" w:lineRule="exact"/>
        <w:rPr>
          <w:sz w:val="20"/>
          <w:szCs w:val="20"/>
          <w:color w:val="auto"/>
        </w:rPr>
      </w:pPr>
    </w:p>
    <w:p>
      <w:pPr>
        <w:jc w:val="both"/>
        <w:spacing w:after="0" w:line="323" w:lineRule="auto"/>
        <w:rPr>
          <w:sz w:val="20"/>
          <w:szCs w:val="20"/>
          <w:color w:val="auto"/>
        </w:rPr>
      </w:pPr>
      <w:r>
        <w:rPr>
          <w:rFonts w:ascii="Arial" w:cs="Arial" w:eastAsia="Arial" w:hAnsi="Arial"/>
          <w:sz w:val="19"/>
          <w:szCs w:val="19"/>
          <w:color w:val="auto"/>
        </w:rPr>
        <w:t>Immediately upon a determination by a Gaming Authority that a Holder or Beneficial Owner of Notes shall not be licensed, qualified or found suitable, the Holder or Beneficial Owner shall not have any further rights with respect to the Notes to:</w:t>
      </w:r>
    </w:p>
    <w:p>
      <w:pPr>
        <w:spacing w:after="0" w:line="150" w:lineRule="exact"/>
        <w:rPr>
          <w:sz w:val="20"/>
          <w:szCs w:val="20"/>
          <w:color w:val="auto"/>
        </w:rPr>
      </w:pPr>
    </w:p>
    <w:p>
      <w:pPr>
        <w:ind w:left="940" w:hanging="284"/>
        <w:spacing w:after="0"/>
        <w:tabs>
          <w:tab w:leader="none" w:pos="94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exercise, directly or indirectly, through any Person, any right conferred by the Notes; or</w:t>
      </w:r>
    </w:p>
    <w:p>
      <w:pPr>
        <w:spacing w:after="0" w:line="246" w:lineRule="exact"/>
        <w:rPr>
          <w:rFonts w:ascii="Arial" w:cs="Arial" w:eastAsia="Arial" w:hAnsi="Arial"/>
          <w:sz w:val="22"/>
          <w:szCs w:val="22"/>
          <w:color w:val="auto"/>
        </w:rPr>
      </w:pPr>
    </w:p>
    <w:p>
      <w:pPr>
        <w:ind w:firstLine="656"/>
        <w:spacing w:after="0" w:line="263" w:lineRule="auto"/>
        <w:tabs>
          <w:tab w:leader="none" w:pos="969" w:val="left"/>
        </w:tabs>
        <w:numPr>
          <w:ilvl w:val="0"/>
          <w:numId w:val="106"/>
        </w:numPr>
        <w:rPr>
          <w:rFonts w:ascii="Arial" w:cs="Arial" w:eastAsia="Arial" w:hAnsi="Arial"/>
          <w:sz w:val="22"/>
          <w:szCs w:val="22"/>
          <w:color w:val="auto"/>
        </w:rPr>
      </w:pPr>
      <w:r>
        <w:rPr>
          <w:rFonts w:ascii="Arial" w:cs="Arial" w:eastAsia="Arial" w:hAnsi="Arial"/>
          <w:sz w:val="22"/>
          <w:szCs w:val="22"/>
          <w:color w:val="auto"/>
        </w:rPr>
        <w:t>receive any interest or any other distribution or payment with respect to the Notes, or any remuneration in any form from the Issuers for services rendered or otherwise, except the redemption price of the Notes.</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Neither the Issuers nor the Trustee shall be responsible for any costs or expenses any Holder or Beneficial Owner may incur in connection with its registration, application for a license, qualification or a finding of suitability, or any renewal or continuation of the foregoing</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240"/>
          </w:cols>
          <w:pgMar w:left="320" w:top="1428" w:right="339" w:bottom="1440" w:gutter="0" w:footer="0" w:header="0"/>
        </w:sectPr>
      </w:pPr>
    </w:p>
    <w:bookmarkStart w:id="100" w:name="page101"/>
    <w:bookmarkEnd w:id="100"/>
    <w:p>
      <w:pPr>
        <w:jc w:val="both"/>
        <w:spacing w:after="0" w:line="265" w:lineRule="auto"/>
        <w:rPr>
          <w:sz w:val="20"/>
          <w:szCs w:val="20"/>
          <w:color w:val="auto"/>
        </w:rPr>
      </w:pPr>
      <w:r>
        <w:rPr>
          <w:rFonts w:ascii="Arial" w:cs="Arial" w:eastAsia="Arial" w:hAnsi="Arial"/>
          <w:sz w:val="21"/>
          <w:szCs w:val="21"/>
          <w:color w:val="auto"/>
        </w:rPr>
        <w:t>or compliance with any other requirement of a Gaming Authority. Those costs and expenses will be the obligations of the Holder or Beneficial Owner, as applicable. In addition, any Holder or Beneficial Owner, as applicable, required to be licensed, qualified or found suitable under applicable Gaming Laws must pay all investigative fees and costs of any Gaming Authority in connection with such license, qualification, finding of suitability or application therefor.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COVENANTS</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Section 4.01 Payment of Notes.</w:t>
      </w:r>
    </w:p>
    <w:p>
      <w:pPr>
        <w:spacing w:after="0" w:line="24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Issuers shall pay or cause to be paid the principal of, premium, if any, and interest on the Notes on the dates and in the manner provided in the Notes. Principal, premium, if any, and interest shall be considered paid on the date due if the Paying Agent, if other than the Issuers or a Subsidiary thereof, holds as of 10:00 a.m. Eastern Time on the due date money deposited by the Issuers in immediately available funds and designated for and sufficient to pay all principal, premium, if any, and interest then due.</w:t>
      </w:r>
    </w:p>
    <w:p>
      <w:pPr>
        <w:spacing w:after="0" w:line="21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The Issuers shall pay interest (including post-petition interest in any proceeding under any Bankruptcy Law) on overdue principal at the rate equal to 1% per annum in excess of the then applicable interest rate on the Notes to the extent lawful; they shall pay interest (including post-petition interest in any proceeding under any Bankruptcy Law) on overdue installments of interest (without regard to any applicable grace period) at the same rate to the extent lawful.</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Section 4.02 Maintenance of Office or Agency.</w:t>
      </w:r>
    </w:p>
    <w:p>
      <w:pPr>
        <w:spacing w:after="0" w:line="24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The Issuers shall maintain in the Borough of Manhattan, the City of New York, an office or agency (which may be an office of the Trustee or an affiliate of the Trustee, Registrar or co-registrar) where Notes may be surrendered for registration of transfer or for exchange and where notices and demands to or upon the Issuers in respect of the Notes and this Indenture may be served. The Issuers shall give prompt written notice to the Trustee of the location, and any change in the location, of such office or agency. If at any time the Issuers fail to maintain any such required office or agency or fail to furnish the Trustee with the address thereof, such presentations, surrenders, notices and demands may be made or served at the Corporate Trust Office of the Trustee.</w:t>
      </w:r>
    </w:p>
    <w:p>
      <w:pPr>
        <w:spacing w:after="0" w:line="22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Issuers may also from time to time designate one or more other offices or agencies where the Notes may be presented or surrendered for any or all such purposes and may from time to time rescind such designations; provided, however, that no such designation or rescission shall in any manner relieve the Issuers of their obligation to maintain an office or agency in the Borough of Manhattan, the City of New York for such purposes. The Issuers shall give prompt written notice to the Trustee of any such designation or rescission and of any change in the location of any such other office or agency.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40"/>
          </w:cols>
          <w:pgMar w:left="320" w:top="1428" w:right="339" w:bottom="1440" w:gutter="0" w:footer="0" w:header="0"/>
        </w:sectPr>
      </w:pPr>
    </w:p>
    <w:bookmarkStart w:id="101" w:name="page102"/>
    <w:bookmarkEnd w:id="101"/>
    <w:p>
      <w:pPr>
        <w:ind w:right="20" w:firstLine="648"/>
        <w:spacing w:after="0" w:line="263" w:lineRule="auto"/>
        <w:rPr>
          <w:sz w:val="20"/>
          <w:szCs w:val="20"/>
          <w:color w:val="auto"/>
        </w:rPr>
      </w:pPr>
      <w:r>
        <w:rPr>
          <w:rFonts w:ascii="Arial" w:cs="Arial" w:eastAsia="Arial" w:hAnsi="Arial"/>
          <w:sz w:val="22"/>
          <w:szCs w:val="22"/>
          <w:color w:val="auto"/>
        </w:rPr>
        <w:t>The Issuers hereby designate the Corporate Trust Office of the Trustee as one such office or agency of the Issuers in accordance with Section 2.03 hereof.</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Section 4.03 Reports.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 So long as any notes are outstanding, Wynn Resorts Finance shall furnish to the Trustee:</w:t>
      </w:r>
    </w:p>
    <w:p>
      <w:pPr>
        <w:spacing w:after="0" w:line="247" w:lineRule="exact"/>
        <w:rPr>
          <w:sz w:val="20"/>
          <w:szCs w:val="20"/>
          <w:color w:val="auto"/>
        </w:rPr>
      </w:pPr>
    </w:p>
    <w:p>
      <w:pPr>
        <w:jc w:val="both"/>
        <w:ind w:firstLine="656"/>
        <w:spacing w:after="0" w:line="260" w:lineRule="auto"/>
        <w:tabs>
          <w:tab w:leader="none" w:pos="973" w:val="left"/>
        </w:tabs>
        <w:numPr>
          <w:ilvl w:val="0"/>
          <w:numId w:val="107"/>
        </w:numPr>
        <w:rPr>
          <w:rFonts w:ascii="Arial" w:cs="Arial" w:eastAsia="Arial" w:hAnsi="Arial"/>
          <w:sz w:val="21"/>
          <w:szCs w:val="21"/>
          <w:color w:val="auto"/>
        </w:rPr>
      </w:pPr>
      <w:r>
        <w:rPr>
          <w:rFonts w:ascii="Arial" w:cs="Arial" w:eastAsia="Arial" w:hAnsi="Arial"/>
          <w:sz w:val="21"/>
          <w:szCs w:val="21"/>
          <w:color w:val="auto"/>
        </w:rPr>
        <w:t>within 90 days after the end of each fiscal year beginning with the fiscal year ended December 31, 2020, annual reports of Wynn Resorts Finance containing substantially all of the information that would have been required to be contained in an Annual Report on Form 10-K under the Exchange Act if Wynn Resorts Finance had been a reporting company under the Exchange Act (but only to the extent similar information is included in the Issuers’ Offering Memorandum, dated as of April 7, 2020, relating to the offering of the Initial Notes), including (i) “Management’s Discussion and Analysis of Financial Condition and Results of Operations”, (ii) audited financial statements prepared in accordance with US GAAP and (iii) a calculation of Consolidated EBITDA for the end of such fiscal year;</w:t>
      </w:r>
    </w:p>
    <w:p>
      <w:pPr>
        <w:spacing w:after="0" w:line="207" w:lineRule="exact"/>
        <w:rPr>
          <w:rFonts w:ascii="Arial" w:cs="Arial" w:eastAsia="Arial" w:hAnsi="Arial"/>
          <w:sz w:val="21"/>
          <w:szCs w:val="21"/>
          <w:color w:val="auto"/>
        </w:rPr>
      </w:pPr>
    </w:p>
    <w:p>
      <w:pPr>
        <w:jc w:val="both"/>
        <w:ind w:firstLine="656"/>
        <w:spacing w:after="0" w:line="290" w:lineRule="auto"/>
        <w:tabs>
          <w:tab w:leader="none" w:pos="983" w:val="left"/>
        </w:tabs>
        <w:numPr>
          <w:ilvl w:val="0"/>
          <w:numId w:val="107"/>
        </w:numPr>
        <w:rPr>
          <w:rFonts w:ascii="Arial" w:cs="Arial" w:eastAsia="Arial" w:hAnsi="Arial"/>
          <w:sz w:val="19"/>
          <w:szCs w:val="19"/>
          <w:color w:val="auto"/>
        </w:rPr>
      </w:pPr>
      <w:r>
        <w:rPr>
          <w:rFonts w:ascii="Arial" w:cs="Arial" w:eastAsia="Arial" w:hAnsi="Arial"/>
          <w:sz w:val="19"/>
          <w:szCs w:val="19"/>
          <w:color w:val="auto"/>
        </w:rPr>
        <w:t>within 45 days after the end of each of the first three fiscal quarters of each fiscal year beginning with the fiscal quarter ended March 31, 2020, quarterly reports of Wynn Resorts Finance containing substantially all of the information that would have been required to be contained in a Quarterly Report on Form 10-Q under the Exchange Act if Wynn Resorts Finance had been a reporting company under the Exchange Act (but only to the extent similar information is provided in the Issuers’ Offering Memorandum, dated as of April 7, 2020, relating to the offering of the Initial Notes), including (i) “Management’ Discussion and Analysis of Financial Condition and Results of Operations”, (ii) unaudited quarterly financial statements prepared in accordance with US GAAP and reviewed pursuant to Statement on Auditing Standards No. 100 (or any successor provision) and (iii) a calculation of Consolidated EBITDA for the relevant period; and</w:t>
      </w:r>
    </w:p>
    <w:p>
      <w:pPr>
        <w:spacing w:after="0" w:line="182" w:lineRule="exact"/>
        <w:rPr>
          <w:rFonts w:ascii="Arial" w:cs="Arial" w:eastAsia="Arial" w:hAnsi="Arial"/>
          <w:sz w:val="19"/>
          <w:szCs w:val="19"/>
          <w:color w:val="auto"/>
        </w:rPr>
      </w:pPr>
    </w:p>
    <w:p>
      <w:pPr>
        <w:jc w:val="both"/>
        <w:ind w:firstLine="656"/>
        <w:spacing w:after="0" w:line="257" w:lineRule="auto"/>
        <w:tabs>
          <w:tab w:leader="none" w:pos="953" w:val="left"/>
        </w:tabs>
        <w:numPr>
          <w:ilvl w:val="0"/>
          <w:numId w:val="107"/>
        </w:numPr>
        <w:rPr>
          <w:rFonts w:ascii="Arial" w:cs="Arial" w:eastAsia="Arial" w:hAnsi="Arial"/>
          <w:sz w:val="21"/>
          <w:szCs w:val="21"/>
          <w:color w:val="auto"/>
        </w:rPr>
      </w:pPr>
      <w:r>
        <w:rPr>
          <w:rFonts w:ascii="Arial" w:cs="Arial" w:eastAsia="Arial" w:hAnsi="Arial"/>
          <w:sz w:val="21"/>
          <w:szCs w:val="21"/>
          <w:color w:val="auto"/>
        </w:rPr>
        <w:t>within 10 business days after the occurrence of each event that would have been required to be reported in a Current Report on Form 8-K under the Exchange Act if Wynn Resorts Finance had been a reporting company under the Exchange Act, current reports containing substantially all of the information that would have been required to be contained in a Current Report on Form 8-K under the Exchange Act if Wynn Resorts Finance had been a reporting company under the Exchange Act; provided, however, that no such current report will be required to be furnished if Wynn Resorts Finance determines in its good faith judgment that such event is not material to noteholders or the business, assets, operations, financial positions or prospects of Wynn Resorts Finance and the Guarantors, taken as a whole; provided, further, however, that such reports (i) will not be required to comply with Section 302 or Section 404 of the Sarbanes-Oxley Act of 2002, or related Items 307 and 308 of Regulation S-K promulgated by the SEC, or Item 10(e) of Regulation S-K (with respect to any non-US GAAP financial measures contained therein), (ii) will not be required to contain the separate financial information for Guarantors contemplated by Rule 3-10 or Rule 3-16 of Regulation S-X promulgated by the SEC, (iii) will only be required to include limited executive compensation disclosure consisting of a</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240"/>
          </w:cols>
          <w:pgMar w:left="320" w:top="1428" w:right="339" w:bottom="1440" w:gutter="0" w:footer="0" w:header="0"/>
        </w:sectPr>
      </w:pPr>
    </w:p>
    <w:bookmarkStart w:id="102" w:name="page103"/>
    <w:bookmarkEnd w:id="102"/>
    <w:p>
      <w:pPr>
        <w:jc w:val="both"/>
        <w:spacing w:after="0" w:line="253" w:lineRule="auto"/>
        <w:rPr>
          <w:sz w:val="20"/>
          <w:szCs w:val="20"/>
          <w:color w:val="auto"/>
        </w:rPr>
      </w:pPr>
      <w:r>
        <w:rPr>
          <w:rFonts w:ascii="Arial" w:cs="Arial" w:eastAsia="Arial" w:hAnsi="Arial"/>
          <w:sz w:val="22"/>
          <w:szCs w:val="22"/>
          <w:color w:val="auto"/>
        </w:rPr>
        <w:t>summary compensation table (including any equity awards), a description of employment agreements with officers and a description of any incentive plans and (iv) will not be required to include exhibits that would otherwise be required to be filed pursuant to Item 601 of Regulation S-K.</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 So long as any notes are outstanding, Wynn Resorts Finance shall also:</w:t>
      </w:r>
    </w:p>
    <w:p>
      <w:pPr>
        <w:spacing w:after="0" w:line="247" w:lineRule="exact"/>
        <w:rPr>
          <w:sz w:val="20"/>
          <w:szCs w:val="20"/>
          <w:color w:val="auto"/>
        </w:rPr>
      </w:pPr>
    </w:p>
    <w:p>
      <w:pPr>
        <w:jc w:val="both"/>
        <w:ind w:firstLine="656"/>
        <w:spacing w:after="0" w:line="302" w:lineRule="auto"/>
        <w:tabs>
          <w:tab w:leader="none" w:pos="955" w:val="left"/>
        </w:tabs>
        <w:numPr>
          <w:ilvl w:val="1"/>
          <w:numId w:val="108"/>
        </w:numPr>
        <w:rPr>
          <w:rFonts w:ascii="Arial" w:cs="Arial" w:eastAsia="Arial" w:hAnsi="Arial"/>
          <w:sz w:val="19"/>
          <w:szCs w:val="19"/>
          <w:color w:val="auto"/>
        </w:rPr>
      </w:pPr>
      <w:r>
        <w:rPr>
          <w:rFonts w:ascii="Arial" w:cs="Arial" w:eastAsia="Arial" w:hAnsi="Arial"/>
          <w:sz w:val="19"/>
          <w:szCs w:val="19"/>
          <w:color w:val="auto"/>
        </w:rPr>
        <w:t>issue a press release to an internationally recognized wire service no fewer than three business days prior to the first public disclosure of the annual and quarterly reports required by clauses (a) and (b) of this Section 4.03 announcing the date on which such reports will become publicly available and directing noteholders, prospective investors, broker-dealers and securities analysts to contact the investor relations office of Wynn Resorts Finance to obtain copies of such reports;</w:t>
      </w:r>
    </w:p>
    <w:p>
      <w:pPr>
        <w:spacing w:after="0" w:line="169" w:lineRule="exact"/>
        <w:rPr>
          <w:rFonts w:ascii="Arial" w:cs="Arial" w:eastAsia="Arial" w:hAnsi="Arial"/>
          <w:sz w:val="19"/>
          <w:szCs w:val="19"/>
          <w:color w:val="auto"/>
        </w:rPr>
      </w:pPr>
    </w:p>
    <w:p>
      <w:pPr>
        <w:ind w:firstLine="656"/>
        <w:spacing w:after="0" w:line="343" w:lineRule="auto"/>
        <w:tabs>
          <w:tab w:leader="none" w:pos="962" w:val="left"/>
        </w:tabs>
        <w:numPr>
          <w:ilvl w:val="1"/>
          <w:numId w:val="108"/>
        </w:numPr>
        <w:rPr>
          <w:rFonts w:ascii="Arial" w:cs="Arial" w:eastAsia="Arial" w:hAnsi="Arial"/>
          <w:sz w:val="19"/>
          <w:szCs w:val="19"/>
          <w:color w:val="auto"/>
        </w:rPr>
      </w:pPr>
      <w:r>
        <w:rPr>
          <w:rFonts w:ascii="Arial" w:cs="Arial" w:eastAsia="Arial" w:hAnsi="Arial"/>
          <w:sz w:val="19"/>
          <w:szCs w:val="19"/>
          <w:color w:val="auto"/>
        </w:rPr>
        <w:t>within 10 business days after furnishing to the trustee the annual and quarterly reports required by clauses (a) and (b) of this Section 4.03, hold a conference call to discuss such reports and the results of operations for the relevant reporting period;</w:t>
      </w:r>
    </w:p>
    <w:p>
      <w:pPr>
        <w:spacing w:after="0" w:line="131" w:lineRule="exact"/>
        <w:rPr>
          <w:rFonts w:ascii="Arial" w:cs="Arial" w:eastAsia="Arial" w:hAnsi="Arial"/>
          <w:sz w:val="19"/>
          <w:szCs w:val="19"/>
          <w:color w:val="auto"/>
        </w:rPr>
      </w:pPr>
    </w:p>
    <w:p>
      <w:pPr>
        <w:jc w:val="both"/>
        <w:ind w:firstLine="656"/>
        <w:spacing w:after="0" w:line="302" w:lineRule="auto"/>
        <w:tabs>
          <w:tab w:leader="none" w:pos="943" w:val="left"/>
        </w:tabs>
        <w:numPr>
          <w:ilvl w:val="1"/>
          <w:numId w:val="108"/>
        </w:numPr>
        <w:rPr>
          <w:rFonts w:ascii="Arial" w:cs="Arial" w:eastAsia="Arial" w:hAnsi="Arial"/>
          <w:sz w:val="19"/>
          <w:szCs w:val="19"/>
          <w:color w:val="auto"/>
        </w:rPr>
      </w:pPr>
      <w:r>
        <w:rPr>
          <w:rFonts w:ascii="Arial" w:cs="Arial" w:eastAsia="Arial" w:hAnsi="Arial"/>
          <w:sz w:val="19"/>
          <w:szCs w:val="19"/>
          <w:color w:val="auto"/>
        </w:rPr>
        <w:t>issue a press release to an internationally recognized wire service no fewer than three business days prior to the date of the conference call required to be held in accordance with this paragraph, announcing the time and date of such conference call and either including all information necessary to access the call or directing noteholders, prospective investors, broker-dealers and securities analysts to contact the appropriate person at Wynn Resorts Finance to obtain such information; and</w:t>
      </w:r>
    </w:p>
    <w:p>
      <w:pPr>
        <w:spacing w:after="0" w:line="169" w:lineRule="exact"/>
        <w:rPr>
          <w:rFonts w:ascii="Arial" w:cs="Arial" w:eastAsia="Arial" w:hAnsi="Arial"/>
          <w:sz w:val="19"/>
          <w:szCs w:val="19"/>
          <w:color w:val="auto"/>
        </w:rPr>
      </w:pPr>
    </w:p>
    <w:p>
      <w:pPr>
        <w:jc w:val="both"/>
        <w:ind w:firstLine="656"/>
        <w:spacing w:after="0" w:line="249" w:lineRule="auto"/>
        <w:tabs>
          <w:tab w:leader="none" w:pos="957" w:val="left"/>
        </w:tabs>
        <w:numPr>
          <w:ilvl w:val="1"/>
          <w:numId w:val="108"/>
        </w:numPr>
        <w:rPr>
          <w:rFonts w:ascii="Arial" w:cs="Arial" w:eastAsia="Arial" w:hAnsi="Arial"/>
          <w:sz w:val="22"/>
          <w:szCs w:val="22"/>
          <w:color w:val="auto"/>
        </w:rPr>
      </w:pPr>
      <w:r>
        <w:rPr>
          <w:rFonts w:ascii="Arial" w:cs="Arial" w:eastAsia="Arial" w:hAnsi="Arial"/>
          <w:sz w:val="22"/>
          <w:szCs w:val="22"/>
          <w:color w:val="auto"/>
        </w:rPr>
        <w:t>maintain a website to which noteholders, prospective investors, broker-dealers and securities analysts are given access and to which all of the reports and press releases required by this Section 4.03 are posted within the time periods required by this Section 4.03.</w:t>
      </w:r>
    </w:p>
    <w:p>
      <w:pPr>
        <w:jc w:val="both"/>
        <w:ind w:firstLine="8"/>
        <w:spacing w:after="0" w:line="245" w:lineRule="auto"/>
        <w:tabs>
          <w:tab w:leader="none" w:pos="329" w:val="left"/>
        </w:tabs>
        <w:numPr>
          <w:ilvl w:val="0"/>
          <w:numId w:val="109"/>
        </w:numPr>
        <w:rPr>
          <w:rFonts w:ascii="Arial" w:cs="Arial" w:eastAsia="Arial" w:hAnsi="Arial"/>
          <w:sz w:val="22"/>
          <w:szCs w:val="22"/>
          <w:color w:val="auto"/>
        </w:rPr>
      </w:pPr>
      <w:r>
        <w:rPr>
          <w:rFonts w:ascii="Arial" w:cs="Arial" w:eastAsia="Arial" w:hAnsi="Arial"/>
          <w:sz w:val="22"/>
          <w:szCs w:val="22"/>
          <w:color w:val="auto"/>
        </w:rPr>
        <w:t>Wynn Resorts Finance shall furnish to noteholders, prospective investors, brokerdealers and securities analysts, upon their request, any information required to be delivered pursuant to Rule 144A(d)(4) under the Securities Act so long as the notes are not freely transferable under the Securities Act.</w:t>
      </w:r>
    </w:p>
    <w:p>
      <w:pPr>
        <w:spacing w:after="0" w:line="220" w:lineRule="exact"/>
        <w:rPr>
          <w:sz w:val="20"/>
          <w:szCs w:val="20"/>
          <w:color w:val="auto"/>
        </w:rPr>
      </w:pPr>
    </w:p>
    <w:p>
      <w:pPr>
        <w:jc w:val="both"/>
        <w:ind w:firstLine="656"/>
        <w:spacing w:after="0" w:line="312" w:lineRule="auto"/>
        <w:tabs>
          <w:tab w:leader="none" w:pos="972" w:val="left"/>
        </w:tabs>
        <w:numPr>
          <w:ilvl w:val="0"/>
          <w:numId w:val="110"/>
        </w:numPr>
        <w:rPr>
          <w:rFonts w:ascii="Arial" w:cs="Arial" w:eastAsia="Arial" w:hAnsi="Arial"/>
          <w:sz w:val="19"/>
          <w:szCs w:val="19"/>
          <w:color w:val="auto"/>
        </w:rPr>
      </w:pPr>
      <w:r>
        <w:rPr>
          <w:rFonts w:ascii="Arial" w:cs="Arial" w:eastAsia="Arial" w:hAnsi="Arial"/>
          <w:sz w:val="19"/>
          <w:szCs w:val="19"/>
          <w:color w:val="auto"/>
        </w:rPr>
        <w:t>Notwithstanding anything to the contrary in this Section 4.03, Wynn Resorts Finance may fulfill the requirement to furnish any such information described in Section 4.03(1)(a), (b) and (c) by filing the information with the SEC within the time periods specified in the SEC’s rules and regulations that are then applicable to Wynn Resorts Finance.</w:t>
      </w:r>
    </w:p>
    <w:p>
      <w:pPr>
        <w:spacing w:after="0" w:line="160" w:lineRule="exact"/>
        <w:rPr>
          <w:rFonts w:ascii="Arial" w:cs="Arial" w:eastAsia="Arial" w:hAnsi="Arial"/>
          <w:sz w:val="19"/>
          <w:szCs w:val="19"/>
          <w:color w:val="auto"/>
        </w:rPr>
      </w:pPr>
    </w:p>
    <w:p>
      <w:pPr>
        <w:jc w:val="both"/>
        <w:ind w:firstLine="656"/>
        <w:spacing w:after="0" w:line="250" w:lineRule="auto"/>
        <w:tabs>
          <w:tab w:leader="none" w:pos="100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Issuers’ compliance with any of their covenants hereunder (as to which the Trustee is entitled to rely exclusively on Officers’ Certificates).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40"/>
          </w:cols>
          <w:pgMar w:left="320" w:top="1428" w:right="339" w:bottom="1440" w:gutter="0" w:footer="0" w:header="0"/>
        </w:sectPr>
      </w:pPr>
    </w:p>
    <w:bookmarkStart w:id="103" w:name="page104"/>
    <w:bookmarkEnd w:id="103"/>
    <w:p>
      <w:pPr>
        <w:jc w:val="both"/>
        <w:ind w:firstLine="648"/>
        <w:spacing w:after="0" w:line="297" w:lineRule="auto"/>
        <w:rPr>
          <w:sz w:val="20"/>
          <w:szCs w:val="20"/>
          <w:color w:val="auto"/>
        </w:rPr>
      </w:pPr>
      <w:r>
        <w:rPr>
          <w:rFonts w:ascii="Arial" w:cs="Arial" w:eastAsia="Arial" w:hAnsi="Arial"/>
          <w:sz w:val="19"/>
          <w:szCs w:val="19"/>
          <w:color w:val="auto"/>
        </w:rPr>
        <w:t>Any Parent Entity may satisfy the obligations of Wynn Resorts Finance set forth in this Section 4.03 by providing the requisite financial and other information of such Parent Entity instead of Wynn Resorts Finance; provided that to the extent such information related to such Parent Entity, such information is accompanied by consolidating information, which may be unaudited, that explains in reasonable detail the differences between the information of such Parent Entity, on the one hand, and the information relating to Wynn Resorts Finance and its Subsidiaries on a stand-alone basis, on the other hand.</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Section 4.04 Compliance Certificate.</w:t>
      </w:r>
    </w:p>
    <w:p>
      <w:pPr>
        <w:spacing w:after="0" w:line="247" w:lineRule="exact"/>
        <w:rPr>
          <w:sz w:val="20"/>
          <w:szCs w:val="20"/>
          <w:color w:val="auto"/>
        </w:rPr>
      </w:pPr>
    </w:p>
    <w:p>
      <w:pPr>
        <w:jc w:val="both"/>
        <w:ind w:firstLine="656"/>
        <w:spacing w:after="0" w:line="258" w:lineRule="auto"/>
        <w:tabs>
          <w:tab w:leader="none" w:pos="945" w:val="left"/>
        </w:tabs>
        <w:numPr>
          <w:ilvl w:val="0"/>
          <w:numId w:val="111"/>
        </w:numPr>
        <w:rPr>
          <w:rFonts w:ascii="Arial" w:cs="Arial" w:eastAsia="Arial" w:hAnsi="Arial"/>
          <w:sz w:val="21"/>
          <w:szCs w:val="21"/>
          <w:color w:val="auto"/>
        </w:rPr>
      </w:pPr>
      <w:r>
        <w:rPr>
          <w:rFonts w:ascii="Arial" w:cs="Arial" w:eastAsia="Arial" w:hAnsi="Arial"/>
          <w:sz w:val="21"/>
          <w:szCs w:val="21"/>
          <w:color w:val="auto"/>
        </w:rPr>
        <w:t>The Issuers shall deliver to the Trustee, within 90 days after the end of each fiscal year, an Officers’ Certificate stating that a review of the activities of the Issuers and their respective Subsidiaries during the preceding fiscal year has been made under the supervision of the signing Officers with a view to determining whether the Issuers have kept, observed, performed and fulfilled its obligations under this Indenture, and further stating, as to each such Officer signing such certificate, that to the best of his or her knowledge the Issuers have kept, observed, performed and fulfilled each and every covenant contained in this Indenture and are not in default in the performance or observance of any of the terms, provisions and conditions of this Indenture (or, if a Default or Event of Default has occurred, describing all such Defaults or Events of Default of which he or she may have knowledge and what action the Issuers are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Issuers are taking or propose to take with respect thereto.</w:t>
      </w:r>
    </w:p>
    <w:p>
      <w:pPr>
        <w:spacing w:after="0" w:line="208" w:lineRule="exact"/>
        <w:rPr>
          <w:rFonts w:ascii="Arial" w:cs="Arial" w:eastAsia="Arial" w:hAnsi="Arial"/>
          <w:sz w:val="21"/>
          <w:szCs w:val="21"/>
          <w:color w:val="auto"/>
        </w:rPr>
      </w:pPr>
    </w:p>
    <w:p>
      <w:pPr>
        <w:jc w:val="both"/>
        <w:ind w:firstLine="656"/>
        <w:spacing w:after="0" w:line="292" w:lineRule="auto"/>
        <w:tabs>
          <w:tab w:leader="none" w:pos="1022" w:val="left"/>
        </w:tabs>
        <w:numPr>
          <w:ilvl w:val="0"/>
          <w:numId w:val="111"/>
        </w:numPr>
        <w:rPr>
          <w:rFonts w:ascii="Arial" w:cs="Arial" w:eastAsia="Arial" w:hAnsi="Arial"/>
          <w:sz w:val="19"/>
          <w:szCs w:val="19"/>
          <w:color w:val="auto"/>
        </w:rPr>
      </w:pPr>
      <w:r>
        <w:rPr>
          <w:rFonts w:ascii="Arial" w:cs="Arial" w:eastAsia="Arial" w:hAnsi="Arial"/>
          <w:sz w:val="19"/>
          <w:szCs w:val="19"/>
          <w:color w:val="auto"/>
        </w:rPr>
        <w:t>So long as not contrary to the then current recommendations of the American Institute of Certified Public Accountants, the year-end financial statements delivered pursuant to Section 4.03(1)(a) above shall be accompanied by a written statement of the Issuers’ independent public accountants (who shall be a firm of established national reputation) that in making the examination necessary for certification of such financial statements, nothing has come to their attention that would lead them to believe that the Issuers have violated any provisions of Article 4 or Article 5 hereof or, if any such violation has occurred, specifying the nature and period of existence thereof, it being understood that such accountants shall not be liable directly or indirectly to any Person for any failure to obtain knowledge of any such violation.</w:t>
      </w:r>
    </w:p>
    <w:p>
      <w:pPr>
        <w:spacing w:after="0" w:line="177" w:lineRule="exact"/>
        <w:rPr>
          <w:rFonts w:ascii="Arial" w:cs="Arial" w:eastAsia="Arial" w:hAnsi="Arial"/>
          <w:sz w:val="19"/>
          <w:szCs w:val="19"/>
          <w:color w:val="auto"/>
        </w:rPr>
      </w:pPr>
    </w:p>
    <w:p>
      <w:pPr>
        <w:jc w:val="both"/>
        <w:ind w:firstLine="656"/>
        <w:spacing w:after="0" w:line="253" w:lineRule="auto"/>
        <w:tabs>
          <w:tab w:leader="none" w:pos="978" w:val="left"/>
        </w:tabs>
        <w:numPr>
          <w:ilvl w:val="0"/>
          <w:numId w:val="111"/>
        </w:numPr>
        <w:rPr>
          <w:rFonts w:ascii="Arial" w:cs="Arial" w:eastAsia="Arial" w:hAnsi="Arial"/>
          <w:sz w:val="22"/>
          <w:szCs w:val="22"/>
          <w:color w:val="auto"/>
        </w:rPr>
      </w:pPr>
      <w:r>
        <w:rPr>
          <w:rFonts w:ascii="Arial" w:cs="Arial" w:eastAsia="Arial" w:hAnsi="Arial"/>
          <w:sz w:val="22"/>
          <w:szCs w:val="22"/>
          <w:color w:val="auto"/>
        </w:rPr>
        <w:t>So long as any of the Notes are outstanding, the Issuers shall deliver to the Trustee, forthwith upon any Officer becoming aware of any Default or Event of Default, an Officers’ Certificate specifying such Default or Event of Default and what action the Issuers are taking or proposes to take with respect thereto.</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Section 4.05 Taxes.</w:t>
      </w:r>
    </w:p>
    <w:p>
      <w:pPr>
        <w:spacing w:after="0" w:line="247"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Issuers shall pay, and shall cause each of their respective Subsidiaries to pay, prior to delinquency, all material taxes, assessments, and governmental levies except such as are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240"/>
          </w:cols>
          <w:pgMar w:left="320" w:top="1428" w:right="339" w:bottom="1440" w:gutter="0" w:footer="0" w:header="0"/>
        </w:sectPr>
      </w:pPr>
    </w:p>
    <w:bookmarkStart w:id="104" w:name="page105"/>
    <w:bookmarkEnd w:id="104"/>
    <w:p>
      <w:pPr>
        <w:jc w:val="both"/>
        <w:ind w:right="20"/>
        <w:spacing w:after="0" w:line="263" w:lineRule="auto"/>
        <w:rPr>
          <w:sz w:val="20"/>
          <w:szCs w:val="20"/>
          <w:color w:val="auto"/>
        </w:rPr>
      </w:pPr>
      <w:r>
        <w:rPr>
          <w:rFonts w:ascii="Arial" w:cs="Arial" w:eastAsia="Arial" w:hAnsi="Arial"/>
          <w:sz w:val="22"/>
          <w:szCs w:val="22"/>
          <w:color w:val="auto"/>
        </w:rPr>
        <w:t>contested in good faith and by appropriate proceedings or where the failure to effect such payment is not adverse in any material respect to the Holders of the Notes.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Section 4.06 Stay, Extension and Usury Laws.</w:t>
      </w:r>
    </w:p>
    <w:p>
      <w:pPr>
        <w:spacing w:after="0" w:line="24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The Issuers and each of the Guarantors covenant (to the extent that they may lawfully do so) that they shall not at any time insist upon, plead, or in any manner whatsoever claim or take the benefit or advantage of, any stay, extension or usury law wherever enacted, now or at any time hereafter in force, that may affect the covenants or the performance of this Indenture; and each Issuer and each of the Guarantors (to the extent that it may lawfully do so) hereby expressly 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Section 4.07 Limitation on Liens Securing Indebtedness</w:t>
      </w:r>
    </w:p>
    <w:p>
      <w:pPr>
        <w:spacing w:after="0" w:line="24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Other than as provided below under Section 4.09, neither Issuer nor any Guarantor may issue, assume or guarantee any Indebtedness secured by a Lien upon any Principal Property or on any evidences of Indebtedness or shares of Capital Stock of, or other ownership interests in, any Subsidiaries (regardless of whether the Principal Property, Indebtedness, Capital Stock or ownership interests were acquired before or after the Issue Date) without effectively providing that the Notes shall be secured equally and ratably with (or prior to) such Indebtedness so long as such Indebtedness shall be so secured, except that this restriction will not apply to:</w:t>
      </w:r>
    </w:p>
    <w:p>
      <w:pPr>
        <w:spacing w:after="0" w:line="220" w:lineRule="exact"/>
        <w:rPr>
          <w:sz w:val="20"/>
          <w:szCs w:val="20"/>
          <w:color w:val="auto"/>
        </w:rPr>
      </w:pPr>
    </w:p>
    <w:p>
      <w:pPr>
        <w:ind w:left="940" w:hanging="284"/>
        <w:spacing w:after="0"/>
        <w:tabs>
          <w:tab w:leader="none" w:pos="94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Liens existing on the Issue Date (excluding Liens securing the Senior Credit Facilities);</w:t>
      </w:r>
    </w:p>
    <w:p>
      <w:pPr>
        <w:spacing w:after="0" w:line="246" w:lineRule="exact"/>
        <w:rPr>
          <w:rFonts w:ascii="Arial" w:cs="Arial" w:eastAsia="Arial" w:hAnsi="Arial"/>
          <w:sz w:val="22"/>
          <w:szCs w:val="22"/>
          <w:color w:val="auto"/>
        </w:rPr>
      </w:pPr>
    </w:p>
    <w:p>
      <w:pPr>
        <w:jc w:val="both"/>
        <w:ind w:right="20" w:firstLine="656"/>
        <w:spacing w:after="0" w:line="302" w:lineRule="auto"/>
        <w:tabs>
          <w:tab w:leader="none" w:pos="96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Liens affecting property of a corporation or other entity existing at the time it becomes a Guarantor or at the time it is merged into or consolidated with an Issuer or a Guarantor (provided that such Liens are not incurred in connection with, or in contemplation of, such entity becoming a Guarantor or such merger or consolidation and do not extend to or cover property of an Issuer or any Guarantor other than property of the entity so acquired or which becomes a Guarantor);</w:t>
      </w:r>
    </w:p>
    <w:p>
      <w:pPr>
        <w:spacing w:after="0" w:line="169" w:lineRule="exact"/>
        <w:rPr>
          <w:rFonts w:ascii="Arial" w:cs="Arial" w:eastAsia="Arial" w:hAnsi="Arial"/>
          <w:sz w:val="19"/>
          <w:szCs w:val="19"/>
          <w:color w:val="auto"/>
        </w:rPr>
      </w:pPr>
    </w:p>
    <w:p>
      <w:pPr>
        <w:jc w:val="both"/>
        <w:ind w:firstLine="656"/>
        <w:spacing w:after="0" w:line="265" w:lineRule="auto"/>
        <w:tabs>
          <w:tab w:leader="none" w:pos="945" w:val="left"/>
        </w:tabs>
        <w:numPr>
          <w:ilvl w:val="0"/>
          <w:numId w:val="112"/>
        </w:numPr>
        <w:rPr>
          <w:rFonts w:ascii="Arial" w:cs="Arial" w:eastAsia="Arial" w:hAnsi="Arial"/>
          <w:sz w:val="21"/>
          <w:szCs w:val="21"/>
          <w:color w:val="auto"/>
        </w:rPr>
      </w:pPr>
      <w:r>
        <w:rPr>
          <w:rFonts w:ascii="Arial" w:cs="Arial" w:eastAsia="Arial" w:hAnsi="Arial"/>
          <w:sz w:val="21"/>
          <w:szCs w:val="21"/>
          <w:color w:val="auto"/>
        </w:rPr>
        <w:t>Liens (including purchase money Liens) existing at the time of acquisition thereof on property acquired after the Issue Date or to secure Indebtedness incurred prior to, at the time of, or within 24 months after the acquisition for the purpose of financing all or part of the purchase price of property acquired after the Issue Date (provided that such Liens do not extend to or cover any property of an Issuer or any Guarantor other than the property so acquired);</w:t>
      </w:r>
    </w:p>
    <w:p>
      <w:pPr>
        <w:spacing w:after="0" w:line="202" w:lineRule="exact"/>
        <w:rPr>
          <w:rFonts w:ascii="Arial" w:cs="Arial" w:eastAsia="Arial" w:hAnsi="Arial"/>
          <w:sz w:val="21"/>
          <w:szCs w:val="21"/>
          <w:color w:val="auto"/>
        </w:rPr>
      </w:pPr>
    </w:p>
    <w:p>
      <w:pPr>
        <w:jc w:val="both"/>
        <w:ind w:firstLine="656"/>
        <w:spacing w:after="0" w:line="312" w:lineRule="auto"/>
        <w:tabs>
          <w:tab w:leader="none" w:pos="99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Liens on any property acquired, developed, constructed or otherwise improved by Wynn Resorts Finance or any Subsidiary (including liens on the Equity Interests of any Subsidiary of Wynn Resorts Finance and substantially all assets of such Subsidiary, in each case to the extent such property constitutes substantially all of the business of such Subsidiary) to</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240"/>
          </w:cols>
          <w:pgMar w:left="320" w:top="1428" w:right="339" w:bottom="1440" w:gutter="0" w:footer="0" w:header="0"/>
        </w:sectPr>
      </w:pPr>
    </w:p>
    <w:bookmarkStart w:id="105" w:name="page106"/>
    <w:bookmarkEnd w:id="105"/>
    <w:p>
      <w:pPr>
        <w:jc w:val="both"/>
        <w:ind w:right="20"/>
        <w:spacing w:after="0" w:line="250" w:lineRule="auto"/>
        <w:rPr>
          <w:sz w:val="20"/>
          <w:szCs w:val="20"/>
          <w:color w:val="auto"/>
        </w:rPr>
      </w:pPr>
      <w:r>
        <w:rPr>
          <w:rFonts w:ascii="Arial" w:cs="Arial" w:eastAsia="Arial" w:hAnsi="Arial"/>
          <w:sz w:val="22"/>
          <w:szCs w:val="22"/>
          <w:color w:val="auto"/>
        </w:rPr>
        <w:t>secure or provide for the payment of any part of the purchase price of the property or the cost of the development, construction or improvement thereof (including architectural, engineering, financing, consultant, advisor and legal fees, preopening costs and gaming licensing fees), or any Indebtedness incurred to provide funds for such purposes, or any Lien on any such property existing at the time of acquisition thereof;</w:t>
      </w:r>
    </w:p>
    <w:p>
      <w:pPr>
        <w:spacing w:after="0" w:line="215" w:lineRule="exact"/>
        <w:rPr>
          <w:sz w:val="20"/>
          <w:szCs w:val="20"/>
          <w:color w:val="auto"/>
        </w:rPr>
      </w:pPr>
    </w:p>
    <w:p>
      <w:pPr>
        <w:ind w:left="940" w:hanging="284"/>
        <w:spacing w:after="0"/>
        <w:tabs>
          <w:tab w:leader="none" w:pos="94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Liens in favor of the Issuers or the Guarantors;</w:t>
      </w:r>
    </w:p>
    <w:p>
      <w:pPr>
        <w:spacing w:after="0" w:line="246" w:lineRule="exact"/>
        <w:rPr>
          <w:rFonts w:ascii="Arial" w:cs="Arial" w:eastAsia="Arial" w:hAnsi="Arial"/>
          <w:sz w:val="22"/>
          <w:szCs w:val="22"/>
          <w:color w:val="auto"/>
        </w:rPr>
      </w:pPr>
    </w:p>
    <w:p>
      <w:pPr>
        <w:jc w:val="both"/>
        <w:ind w:firstLine="656"/>
        <w:spacing w:after="0" w:line="253" w:lineRule="auto"/>
        <w:tabs>
          <w:tab w:leader="none" w:pos="922" w:val="left"/>
        </w:tabs>
        <w:numPr>
          <w:ilvl w:val="0"/>
          <w:numId w:val="113"/>
        </w:numPr>
        <w:rPr>
          <w:rFonts w:ascii="Arial" w:cs="Arial" w:eastAsia="Arial" w:hAnsi="Arial"/>
          <w:sz w:val="22"/>
          <w:szCs w:val="22"/>
          <w:color w:val="auto"/>
        </w:rPr>
      </w:pPr>
      <w:r>
        <w:rPr>
          <w:rFonts w:ascii="Arial" w:cs="Arial" w:eastAsia="Arial" w:hAnsi="Arial"/>
          <w:sz w:val="22"/>
          <w:szCs w:val="22"/>
          <w:color w:val="auto"/>
        </w:rPr>
        <w:t>Liens on the stock, partnership or other equity interest of Wynn Resorts Finance or any Guarantor in any Joint Venture or any Subsidiary that owns an equity interest in such Joint Venture to secure Indebtedness, provided the amount of such Indebtedness is contributed and/or advanced solely to such Joint Venture;</w:t>
      </w:r>
    </w:p>
    <w:p>
      <w:pPr>
        <w:spacing w:after="0" w:line="212" w:lineRule="exact"/>
        <w:rPr>
          <w:rFonts w:ascii="Arial" w:cs="Arial" w:eastAsia="Arial" w:hAnsi="Arial"/>
          <w:sz w:val="22"/>
          <w:szCs w:val="22"/>
          <w:color w:val="auto"/>
        </w:rPr>
      </w:pPr>
    </w:p>
    <w:p>
      <w:pPr>
        <w:ind w:left="960" w:hanging="304"/>
        <w:spacing w:after="0"/>
        <w:tabs>
          <w:tab w:leader="none" w:pos="96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Liens to government entities, including pollution control or industrial revenue bond financing;</w:t>
      </w:r>
    </w:p>
    <w:p>
      <w:pPr>
        <w:spacing w:after="0" w:line="246" w:lineRule="exact"/>
        <w:rPr>
          <w:rFonts w:ascii="Arial" w:cs="Arial" w:eastAsia="Arial" w:hAnsi="Arial"/>
          <w:sz w:val="22"/>
          <w:szCs w:val="22"/>
          <w:color w:val="auto"/>
        </w:rPr>
      </w:pPr>
    </w:p>
    <w:p>
      <w:pPr>
        <w:ind w:firstLine="656"/>
        <w:spacing w:after="0" w:line="287" w:lineRule="auto"/>
        <w:tabs>
          <w:tab w:leader="none" w:pos="971" w:val="left"/>
        </w:tabs>
        <w:numPr>
          <w:ilvl w:val="0"/>
          <w:numId w:val="113"/>
        </w:numPr>
        <w:rPr>
          <w:rFonts w:ascii="Arial" w:cs="Arial" w:eastAsia="Arial" w:hAnsi="Arial"/>
          <w:sz w:val="21"/>
          <w:szCs w:val="21"/>
          <w:color w:val="auto"/>
        </w:rPr>
      </w:pPr>
      <w:r>
        <w:rPr>
          <w:rFonts w:ascii="Arial" w:cs="Arial" w:eastAsia="Arial" w:hAnsi="Arial"/>
          <w:sz w:val="21"/>
          <w:szCs w:val="21"/>
          <w:color w:val="auto"/>
        </w:rPr>
        <w:t>Liens required by any contract or statute in order to permit Wynn Resorts Finance or a Subsidiary of Wynn Resorts Finance to perform any contract or subcontract made by it with or at the request of a governmental entity;</w:t>
      </w:r>
    </w:p>
    <w:p>
      <w:pPr>
        <w:spacing w:after="0" w:line="178" w:lineRule="exact"/>
        <w:rPr>
          <w:rFonts w:ascii="Arial" w:cs="Arial" w:eastAsia="Arial" w:hAnsi="Arial"/>
          <w:sz w:val="21"/>
          <w:szCs w:val="21"/>
          <w:color w:val="auto"/>
        </w:rPr>
      </w:pPr>
    </w:p>
    <w:p>
      <w:pPr>
        <w:jc w:val="both"/>
        <w:ind w:firstLine="656"/>
        <w:spacing w:after="0" w:line="250" w:lineRule="auto"/>
        <w:tabs>
          <w:tab w:leader="none" w:pos="946" w:val="left"/>
        </w:tabs>
        <w:numPr>
          <w:ilvl w:val="0"/>
          <w:numId w:val="113"/>
        </w:numPr>
        <w:rPr>
          <w:rFonts w:ascii="Arial" w:cs="Arial" w:eastAsia="Arial" w:hAnsi="Arial"/>
          <w:sz w:val="22"/>
          <w:szCs w:val="22"/>
          <w:color w:val="auto"/>
        </w:rPr>
      </w:pPr>
      <w:r>
        <w:rPr>
          <w:rFonts w:ascii="Arial" w:cs="Arial" w:eastAsia="Arial" w:hAnsi="Arial"/>
          <w:sz w:val="22"/>
          <w:szCs w:val="22"/>
          <w:color w:val="auto"/>
        </w:rPr>
        <w:t>Liens imposed by Gaming Laws or Gaming Authorities, and Liens on deposits made to secure Gaming License applications or to secure the performance of surety or other bonds issued in connection therewith; provided, however, that to the extent such Liens are not imposed by law, such Liens shall in no event encumber any property other than cash and cash equivalents;</w:t>
      </w:r>
    </w:p>
    <w:p>
      <w:pPr>
        <w:spacing w:after="0" w:line="214" w:lineRule="exact"/>
        <w:rPr>
          <w:rFonts w:ascii="Arial" w:cs="Arial" w:eastAsia="Arial" w:hAnsi="Arial"/>
          <w:sz w:val="22"/>
          <w:szCs w:val="22"/>
          <w:color w:val="auto"/>
        </w:rPr>
      </w:pPr>
    </w:p>
    <w:p>
      <w:pPr>
        <w:ind w:left="920" w:hanging="264"/>
        <w:spacing w:after="0"/>
        <w:tabs>
          <w:tab w:leader="none" w:pos="92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mechanic’s, materialman’s, carrier’s or other like Liens, arising in the ordinary course of business;</w:t>
      </w:r>
    </w:p>
    <w:p>
      <w:pPr>
        <w:spacing w:after="0" w:line="246" w:lineRule="exact"/>
        <w:rPr>
          <w:rFonts w:ascii="Arial" w:cs="Arial" w:eastAsia="Arial" w:hAnsi="Arial"/>
          <w:sz w:val="22"/>
          <w:szCs w:val="22"/>
          <w:color w:val="auto"/>
        </w:rPr>
      </w:pPr>
    </w:p>
    <w:p>
      <w:pPr>
        <w:ind w:left="960" w:hanging="304"/>
        <w:spacing w:after="0"/>
        <w:tabs>
          <w:tab w:leader="none" w:pos="96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licenses and sublicenses of software and other technology licenses entered into in the ordinary course of business;</w:t>
      </w:r>
    </w:p>
    <w:p>
      <w:pPr>
        <w:spacing w:after="0" w:line="281" w:lineRule="exact"/>
        <w:rPr>
          <w:rFonts w:ascii="Arial" w:cs="Arial" w:eastAsia="Arial" w:hAnsi="Arial"/>
          <w:sz w:val="19"/>
          <w:szCs w:val="19"/>
          <w:color w:val="auto"/>
        </w:rPr>
      </w:pPr>
    </w:p>
    <w:p>
      <w:pPr>
        <w:ind w:firstLine="656"/>
        <w:spacing w:after="0" w:line="263" w:lineRule="auto"/>
        <w:tabs>
          <w:tab w:leader="none" w:pos="906" w:val="left"/>
        </w:tabs>
        <w:numPr>
          <w:ilvl w:val="0"/>
          <w:numId w:val="113"/>
        </w:numPr>
        <w:rPr>
          <w:rFonts w:ascii="Arial" w:cs="Arial" w:eastAsia="Arial" w:hAnsi="Arial"/>
          <w:sz w:val="22"/>
          <w:szCs w:val="22"/>
          <w:color w:val="auto"/>
        </w:rPr>
      </w:pPr>
      <w:r>
        <w:rPr>
          <w:rFonts w:ascii="Arial" w:cs="Arial" w:eastAsia="Arial" w:hAnsi="Arial"/>
          <w:sz w:val="22"/>
          <w:szCs w:val="22"/>
          <w:color w:val="auto"/>
        </w:rPr>
        <w:t>Liens for taxes, assessments or governmental charges, levies or claims that are not yet due and payable or delinquent or that are being contested in good faith by appropriate proceedings;</w:t>
      </w:r>
    </w:p>
    <w:p>
      <w:pPr>
        <w:spacing w:after="0" w:line="201" w:lineRule="exact"/>
        <w:rPr>
          <w:rFonts w:ascii="Arial" w:cs="Arial" w:eastAsia="Arial" w:hAnsi="Arial"/>
          <w:sz w:val="22"/>
          <w:szCs w:val="22"/>
          <w:color w:val="auto"/>
        </w:rPr>
      </w:pPr>
    </w:p>
    <w:p>
      <w:pPr>
        <w:ind w:right="20" w:firstLine="656"/>
        <w:spacing w:after="0" w:line="263" w:lineRule="auto"/>
        <w:tabs>
          <w:tab w:leader="none" w:pos="1035" w:val="left"/>
        </w:tabs>
        <w:numPr>
          <w:ilvl w:val="0"/>
          <w:numId w:val="113"/>
        </w:numPr>
        <w:rPr>
          <w:rFonts w:ascii="Arial" w:cs="Arial" w:eastAsia="Arial" w:hAnsi="Arial"/>
          <w:sz w:val="22"/>
          <w:szCs w:val="22"/>
          <w:color w:val="auto"/>
        </w:rPr>
      </w:pPr>
      <w:r>
        <w:rPr>
          <w:rFonts w:ascii="Arial" w:cs="Arial" w:eastAsia="Arial" w:hAnsi="Arial"/>
          <w:sz w:val="22"/>
          <w:szCs w:val="22"/>
          <w:color w:val="auto"/>
        </w:rPr>
        <w:t>filing of Uniform Commercial Code financing statements as a precautionary measure in connection with operating leases entered into in the ordinary course of business;</w:t>
      </w:r>
    </w:p>
    <w:p>
      <w:pPr>
        <w:spacing w:after="0" w:line="201" w:lineRule="exact"/>
        <w:rPr>
          <w:rFonts w:ascii="Arial" w:cs="Arial" w:eastAsia="Arial" w:hAnsi="Arial"/>
          <w:sz w:val="22"/>
          <w:szCs w:val="22"/>
          <w:color w:val="auto"/>
        </w:rPr>
      </w:pPr>
    </w:p>
    <w:p>
      <w:pPr>
        <w:jc w:val="both"/>
        <w:ind w:firstLine="656"/>
        <w:spacing w:after="0" w:line="248" w:lineRule="auto"/>
        <w:tabs>
          <w:tab w:leader="none" w:pos="964" w:val="left"/>
        </w:tabs>
        <w:numPr>
          <w:ilvl w:val="0"/>
          <w:numId w:val="113"/>
        </w:numPr>
        <w:rPr>
          <w:rFonts w:ascii="Arial" w:cs="Arial" w:eastAsia="Arial" w:hAnsi="Arial"/>
          <w:sz w:val="22"/>
          <w:szCs w:val="22"/>
          <w:color w:val="auto"/>
        </w:rPr>
      </w:pPr>
      <w:r>
        <w:rPr>
          <w:rFonts w:ascii="Arial" w:cs="Arial" w:eastAsia="Arial" w:hAnsi="Arial"/>
          <w:sz w:val="22"/>
          <w:szCs w:val="22"/>
          <w:color w:val="auto"/>
        </w:rPr>
        <w:t>survey exceptions, easements, encroachments, subdivisions or reservations of, or rights of others for, licenses, rights-of-way, sewers, electric lines, telegraph and telephone lines and other similar purposes, or zoning or other restrictions as to the use of real property that were not incurred in connection with Indebtedness and that do not individually or in the aggregate materially adversely affect the value of said properties or materially impair their use in the operation of the business of such Person; and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240"/>
          </w:cols>
          <w:pgMar w:left="320" w:top="1428" w:right="339" w:bottom="1440" w:gutter="0" w:footer="0" w:header="0"/>
        </w:sectPr>
      </w:pPr>
    </w:p>
    <w:bookmarkStart w:id="106" w:name="page107"/>
    <w:bookmarkEnd w:id="106"/>
    <w:p>
      <w:pPr>
        <w:ind w:firstLine="656"/>
        <w:spacing w:after="0" w:line="263" w:lineRule="auto"/>
        <w:tabs>
          <w:tab w:leader="none" w:pos="977" w:val="left"/>
        </w:tabs>
        <w:numPr>
          <w:ilvl w:val="0"/>
          <w:numId w:val="114"/>
        </w:numPr>
        <w:rPr>
          <w:rFonts w:ascii="Arial" w:cs="Arial" w:eastAsia="Arial" w:hAnsi="Arial"/>
          <w:sz w:val="22"/>
          <w:szCs w:val="22"/>
          <w:color w:val="auto"/>
        </w:rPr>
      </w:pPr>
      <w:r>
        <w:rPr>
          <w:rFonts w:ascii="Arial" w:cs="Arial" w:eastAsia="Arial" w:hAnsi="Arial"/>
          <w:sz w:val="22"/>
          <w:szCs w:val="22"/>
          <w:color w:val="auto"/>
        </w:rPr>
        <w:t>any extension, renewal, replacement or refinancing of any Indebtedness secured by a Lien permitted by any of the foregoing clauses (a) through (f) and (n).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Section 4.08 Limitation on Sale and Leaseback Transactions.</w:t>
      </w:r>
    </w:p>
    <w:p>
      <w:pPr>
        <w:spacing w:after="0" w:line="247"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Other than as provided below under Section 4.09, neither Issuer nor any Guarantor will enter into any Sale and Leaseback Transaction unless either:</w:t>
      </w:r>
    </w:p>
    <w:p>
      <w:pPr>
        <w:spacing w:after="0" w:line="202" w:lineRule="exact"/>
        <w:rPr>
          <w:sz w:val="20"/>
          <w:szCs w:val="20"/>
          <w:color w:val="auto"/>
        </w:rPr>
      </w:pPr>
    </w:p>
    <w:p>
      <w:pPr>
        <w:jc w:val="both"/>
        <w:ind w:firstLine="656"/>
        <w:spacing w:after="0" w:line="253" w:lineRule="auto"/>
        <w:tabs>
          <w:tab w:leader="none" w:pos="95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such Issuer or such Guarantor would be entitled, pursuant to the provisions described in clauses (a) through (o) under Section 4.07 to create, assume or suffer to exist a Lien on the property to be leased without equally and ratably securing the Notes; or</w:t>
      </w:r>
    </w:p>
    <w:p>
      <w:pPr>
        <w:spacing w:after="0" w:line="212" w:lineRule="exact"/>
        <w:rPr>
          <w:rFonts w:ascii="Arial" w:cs="Arial" w:eastAsia="Arial" w:hAnsi="Arial"/>
          <w:sz w:val="22"/>
          <w:szCs w:val="22"/>
          <w:color w:val="auto"/>
        </w:rPr>
      </w:pPr>
    </w:p>
    <w:p>
      <w:pPr>
        <w:jc w:val="both"/>
        <w:ind w:firstLine="656"/>
        <w:spacing w:after="0" w:line="253" w:lineRule="auto"/>
        <w:tabs>
          <w:tab w:leader="none" w:pos="962" w:val="left"/>
        </w:tabs>
        <w:numPr>
          <w:ilvl w:val="0"/>
          <w:numId w:val="115"/>
        </w:numPr>
        <w:rPr>
          <w:rFonts w:ascii="Arial" w:cs="Arial" w:eastAsia="Arial" w:hAnsi="Arial"/>
          <w:sz w:val="22"/>
          <w:szCs w:val="22"/>
          <w:color w:val="auto"/>
        </w:rPr>
      </w:pPr>
      <w:r>
        <w:rPr>
          <w:rFonts w:ascii="Arial" w:cs="Arial" w:eastAsia="Arial" w:hAnsi="Arial"/>
          <w:sz w:val="22"/>
          <w:szCs w:val="22"/>
          <w:color w:val="auto"/>
        </w:rPr>
        <w:t>an amount equal to the greater of the net cash proceeds of such sale or the Fair Market Value of such property (in the good faith opinion of the Board of Directors of Wynn Resorts Capital) is applied within 120 days to the retirement or other discharge of its Funded Debt.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Section 4.09 Exempted Liens and Sale and Leaseback Transactions.</w:t>
      </w:r>
    </w:p>
    <w:p>
      <w:pPr>
        <w:spacing w:after="0" w:line="247"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Notwithstanding the restrictions set forth in Section 4.07 and Section 4.08, an Issuer or any Guarantor may create, assume or suffer to exist Liens or enter into Sale and Leaseback Transactions not otherwise permitted in Section 4.07 or Section 4.08, respectively, provided that at the time of such event, and after giving effect thereto, the sum of outstanding Indebtedness secured by such Liens (not including Liens permitted under Section 4.07) plus all Attributable Debt in respect of such Sale and Leaseback Transactions entered into (not including Sale and Leaseback Transactions permitted under Section 4.08), measured, in each case, at the time any such Lien is incurred or any such Sale and Leaseback Transaction is entered into, by the Issuers and the Guarantors does not exceed the greater of (x) $1,850.0 million and (y) an amount that would cause the Consolidated Senior Secured Net Leverage Ratio to be greater than 3.00 to 1.00 on a pro forma basis and Liens securing Indebtedness in excess of such amount to the extent such Lien is incurred in connection with an extension, renewal, replacement or refinancing of Indebtedness (not to exceed the principal amount of such extended, renewed, replaced or refinanced Indebtedness plus fees, expenses and premium payable thereon) secured by a Lien incurred pursuant to the provisions of this Section 4.09 or any previous extension, renewal, replacement or refinancing of any such Indebtedness (which extended, renewed, replaced or refinanced Indebtedness shall, for the avoidance of doubt, thereafter be included in the calculation of such amount); provided that the foregoing shall not apply to any Liens that secure any of the Existing LV Notes so long as such Liens are limited solely to the pledge of the stock of the issuer of such Existing LV Notes.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Section 4.10 Corporate and Organizational Existence.</w:t>
      </w:r>
    </w:p>
    <w:p>
      <w:pPr>
        <w:spacing w:after="0" w:line="247"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Subject to Article 5 hereof, except in the case of a Permitted C-Corp. Conversion, each of the Issuers shall, and shall cause the Guarantors to, do or cause to be done all things necessary to preserve and keep in full force and effect: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240"/>
          </w:cols>
          <w:pgMar w:left="320" w:top="1428" w:right="339" w:bottom="1440" w:gutter="0" w:footer="0" w:header="0"/>
        </w:sectPr>
      </w:pPr>
    </w:p>
    <w:bookmarkStart w:id="107" w:name="page108"/>
    <w:bookmarkEnd w:id="107"/>
    <w:p>
      <w:pPr>
        <w:jc w:val="both"/>
        <w:ind w:firstLine="656"/>
        <w:spacing w:after="0" w:line="343" w:lineRule="auto"/>
        <w:tabs>
          <w:tab w:leader="none" w:pos="966" w:val="left"/>
        </w:tabs>
        <w:numPr>
          <w:ilvl w:val="0"/>
          <w:numId w:val="116"/>
        </w:numPr>
        <w:rPr>
          <w:rFonts w:ascii="Arial" w:cs="Arial" w:eastAsia="Arial" w:hAnsi="Arial"/>
          <w:sz w:val="19"/>
          <w:szCs w:val="19"/>
          <w:color w:val="auto"/>
        </w:rPr>
      </w:pPr>
      <w:r>
        <w:rPr>
          <w:rFonts w:ascii="Arial" w:cs="Arial" w:eastAsia="Arial" w:hAnsi="Arial"/>
          <w:sz w:val="19"/>
          <w:szCs w:val="19"/>
          <w:color w:val="auto"/>
        </w:rPr>
        <w:t>its corporate or limited liability company existence, and the corporate, partnership or other existence of each of its Subsidiaries, in accordance with their respective organizational documents (as the same may be amended from time to time); and</w:t>
      </w:r>
    </w:p>
    <w:p>
      <w:pPr>
        <w:spacing w:after="0" w:line="131" w:lineRule="exact"/>
        <w:rPr>
          <w:rFonts w:ascii="Arial" w:cs="Arial" w:eastAsia="Arial" w:hAnsi="Arial"/>
          <w:sz w:val="19"/>
          <w:szCs w:val="19"/>
          <w:color w:val="auto"/>
        </w:rPr>
      </w:pPr>
    </w:p>
    <w:p>
      <w:pPr>
        <w:jc w:val="both"/>
        <w:ind w:firstLine="656"/>
        <w:spacing w:after="0" w:line="261" w:lineRule="auto"/>
        <w:tabs>
          <w:tab w:leader="none" w:pos="979" w:val="left"/>
        </w:tabs>
        <w:numPr>
          <w:ilvl w:val="0"/>
          <w:numId w:val="116"/>
        </w:numPr>
        <w:rPr>
          <w:rFonts w:ascii="Arial" w:cs="Arial" w:eastAsia="Arial" w:hAnsi="Arial"/>
          <w:sz w:val="21"/>
          <w:szCs w:val="21"/>
          <w:color w:val="auto"/>
        </w:rPr>
      </w:pPr>
      <w:r>
        <w:rPr>
          <w:rFonts w:ascii="Arial" w:cs="Arial" w:eastAsia="Arial" w:hAnsi="Arial"/>
          <w:sz w:val="21"/>
          <w:szCs w:val="21"/>
          <w:color w:val="auto"/>
        </w:rPr>
        <w:t>the rights (charter and statutory), licenses and franchises of the Issuers and their respective Subsidiaries; provided, however, that the Issuers and the Guarantors shall not be required to preserve any such right, license or franchise, or the corporate, partnership or other existence of any of their respective Subsidiaries (other than the Issuers), if the Board of Directors of Wynn Resorts Capital or the applicable Guarantor shall determine that the preservation thereof is no longer desirable in the conduct of the business of Wynn Resorts Finance and the Guarantors, taken as a whole, and that the loss thereof is not adverse in any material respect to the Holders of the Notes.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Section 4.11 Offer to Purchase Upon Change of Control.</w:t>
      </w:r>
    </w:p>
    <w:p>
      <w:pPr>
        <w:spacing w:after="0" w:line="247" w:lineRule="exact"/>
        <w:rPr>
          <w:sz w:val="20"/>
          <w:szCs w:val="20"/>
          <w:color w:val="auto"/>
        </w:rPr>
      </w:pPr>
    </w:p>
    <w:p>
      <w:pPr>
        <w:jc w:val="both"/>
        <w:ind w:firstLine="656"/>
        <w:spacing w:after="0" w:line="294" w:lineRule="auto"/>
        <w:tabs>
          <w:tab w:leader="none" w:pos="951" w:val="left"/>
        </w:tabs>
        <w:numPr>
          <w:ilvl w:val="0"/>
          <w:numId w:val="117"/>
        </w:numPr>
        <w:rPr>
          <w:rFonts w:ascii="Arial" w:cs="Arial" w:eastAsia="Arial" w:hAnsi="Arial"/>
          <w:sz w:val="19"/>
          <w:szCs w:val="19"/>
          <w:color w:val="auto"/>
        </w:rPr>
      </w:pPr>
      <w:r>
        <w:rPr>
          <w:rFonts w:ascii="Arial" w:cs="Arial" w:eastAsia="Arial" w:hAnsi="Arial"/>
          <w:sz w:val="19"/>
          <w:szCs w:val="19"/>
          <w:color w:val="auto"/>
        </w:rPr>
        <w:t>Upon the occurrence of a Change of Control Triggering Event, the Issuers shall make an offer (a “Change of Control Offer”) to each Holder to repurchase all or any part (equal to $2,000 or an integral multiple of $1,000 in excess of $2,000) of each Holder’s Notes at a purchase price equal to 101 % of the aggregate principal amount thereof plus accrued and unpaid interest on the Notes purchased, if any, to, but not including, the date of purchase (the “Change of Control Payment”). Within ten days following any Change of Control Triggering Event, the Issuers shall deliver a notice to each Holder describing the transaction or transactions that constitute the Change of Control Triggering Event and stating:</w:t>
      </w:r>
    </w:p>
    <w:p>
      <w:pPr>
        <w:spacing w:after="0" w:line="176" w:lineRule="exact"/>
        <w:rPr>
          <w:sz w:val="20"/>
          <w:szCs w:val="20"/>
          <w:color w:val="auto"/>
        </w:rPr>
      </w:pPr>
    </w:p>
    <w:p>
      <w:pPr>
        <w:ind w:firstLine="656"/>
        <w:spacing w:after="0" w:line="263" w:lineRule="auto"/>
        <w:tabs>
          <w:tab w:leader="none" w:pos="982"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that the Change of Control Offer is being made pursuant to this Section 4.11 and that all Notes tendered shall be accepted for payment;</w:t>
      </w:r>
    </w:p>
    <w:p>
      <w:pPr>
        <w:spacing w:after="0" w:line="201" w:lineRule="exact"/>
        <w:rPr>
          <w:rFonts w:ascii="Arial" w:cs="Arial" w:eastAsia="Arial" w:hAnsi="Arial"/>
          <w:sz w:val="22"/>
          <w:szCs w:val="22"/>
          <w:color w:val="auto"/>
        </w:rPr>
      </w:pPr>
    </w:p>
    <w:p>
      <w:pPr>
        <w:ind w:firstLine="656"/>
        <w:spacing w:after="0" w:line="263" w:lineRule="auto"/>
        <w:tabs>
          <w:tab w:leader="none" w:pos="971"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purchase price and the purchase date, which shall be no earlier than 15 days and no later than 60 days from the date such notice is delivered (the “Change of Control Payment Date”);</w:t>
      </w:r>
    </w:p>
    <w:p>
      <w:pPr>
        <w:spacing w:after="0" w:line="201" w:lineRule="exact"/>
        <w:rPr>
          <w:rFonts w:ascii="Arial" w:cs="Arial" w:eastAsia="Arial" w:hAnsi="Arial"/>
          <w:sz w:val="22"/>
          <w:szCs w:val="22"/>
          <w:color w:val="auto"/>
        </w:rPr>
      </w:pPr>
    </w:p>
    <w:p>
      <w:pPr>
        <w:ind w:left="960" w:hanging="304"/>
        <w:spacing w:after="0"/>
        <w:tabs>
          <w:tab w:leader="none" w:pos="96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that any Note not tendered shall continue to accrue interest;</w:t>
      </w:r>
    </w:p>
    <w:p>
      <w:pPr>
        <w:spacing w:after="0" w:line="246" w:lineRule="exact"/>
        <w:rPr>
          <w:rFonts w:ascii="Arial" w:cs="Arial" w:eastAsia="Arial" w:hAnsi="Arial"/>
          <w:sz w:val="22"/>
          <w:szCs w:val="22"/>
          <w:color w:val="auto"/>
        </w:rPr>
      </w:pPr>
    </w:p>
    <w:p>
      <w:pPr>
        <w:ind w:right="20" w:firstLine="656"/>
        <w:spacing w:after="0" w:line="343" w:lineRule="auto"/>
        <w:tabs>
          <w:tab w:leader="none" w:pos="981"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that, unless the Issuers default in the payment of the Change of Control Payment, all Notes accepted for payment pursuant to the Change of Control Offer shall cease to accrue interest after the Change of Control Payment Date;</w:t>
      </w:r>
    </w:p>
    <w:p>
      <w:pPr>
        <w:spacing w:after="0" w:line="131" w:lineRule="exact"/>
        <w:rPr>
          <w:rFonts w:ascii="Arial" w:cs="Arial" w:eastAsia="Arial" w:hAnsi="Arial"/>
          <w:sz w:val="19"/>
          <w:szCs w:val="19"/>
          <w:color w:val="auto"/>
        </w:rPr>
      </w:pPr>
    </w:p>
    <w:p>
      <w:pPr>
        <w:jc w:val="both"/>
        <w:ind w:firstLine="656"/>
        <w:spacing w:after="0" w:line="250" w:lineRule="auto"/>
        <w:tabs>
          <w:tab w:leader="none" w:pos="954"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that Holders electing to have any Notes purchased pursuant to a Change of Control Offer shall be required to surrender the Notes, with the form entitled “Option of Holder to Elect Purchase” attached to the Notes completed, or transfer by book-entry transfer, to the Paying Agent at the address specified in the notice prior to the close of business on the third Business Day preceding the Change of Control Payment Date;</w:t>
      </w:r>
    </w:p>
    <w:p>
      <w:pPr>
        <w:spacing w:after="0" w:line="214" w:lineRule="exact"/>
        <w:rPr>
          <w:rFonts w:ascii="Arial" w:cs="Arial" w:eastAsia="Arial" w:hAnsi="Arial"/>
          <w:sz w:val="22"/>
          <w:szCs w:val="22"/>
          <w:color w:val="auto"/>
        </w:rPr>
      </w:pPr>
    </w:p>
    <w:p>
      <w:pPr>
        <w:ind w:firstLine="656"/>
        <w:spacing w:after="0" w:line="263" w:lineRule="auto"/>
        <w:tabs>
          <w:tab w:leader="none" w:pos="99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that Holders shall be entitled to withdraw their election if the Paying Agent receives, not later than the close of business on the second Business Day preceding the Change of Control</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240"/>
          </w:cols>
          <w:pgMar w:left="320" w:top="1428" w:right="339" w:bottom="1440" w:gutter="0" w:footer="0" w:header="0"/>
        </w:sectPr>
      </w:pPr>
    </w:p>
    <w:bookmarkStart w:id="108" w:name="page109"/>
    <w:bookmarkEnd w:id="108"/>
    <w:p>
      <w:pPr>
        <w:spacing w:after="0" w:line="343" w:lineRule="auto"/>
        <w:rPr>
          <w:sz w:val="20"/>
          <w:szCs w:val="20"/>
          <w:color w:val="auto"/>
        </w:rPr>
      </w:pPr>
      <w:r>
        <w:rPr>
          <w:rFonts w:ascii="Arial" w:cs="Arial" w:eastAsia="Arial" w:hAnsi="Arial"/>
          <w:sz w:val="19"/>
          <w:szCs w:val="19"/>
          <w:color w:val="auto"/>
        </w:rPr>
        <w:t>Payment Date, a telegram, telex, facsimile transmission or letter setting forth the name of the Holder, the principal amount of Notes delivered for purchase, and a statement that such Holder is withdrawing his election to have the Notes purchased; and</w:t>
      </w:r>
    </w:p>
    <w:p>
      <w:pPr>
        <w:spacing w:after="0" w:line="131" w:lineRule="exact"/>
        <w:rPr>
          <w:sz w:val="20"/>
          <w:szCs w:val="20"/>
          <w:color w:val="auto"/>
        </w:rPr>
      </w:pPr>
    </w:p>
    <w:p>
      <w:pPr>
        <w:jc w:val="both"/>
        <w:ind w:firstLine="656"/>
        <w:spacing w:after="0" w:line="253" w:lineRule="auto"/>
        <w:tabs>
          <w:tab w:leader="none" w:pos="96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that Holders whose Notes are being purchased only in part shall be issued new Notes equal in principal amount to the unpurchased portion of the Notes surrendered, which unpurchased portion must be equal to $2,000 or in integral multiples of $1,000 in excess of $2,000.</w:t>
      </w:r>
    </w:p>
    <w:p>
      <w:pPr>
        <w:spacing w:after="0" w:line="21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Issuers shall comply with the requirements of Rule 14e-1 under the Exchange Act and any other securities laws and regulations thereunder to the extent those laws and regulations are applicable in connection with the purchase of the Notes as a result of a Change of Control. To the extent that the provisions of any securities laws or regulations conflict with the provisions of Section 4.11 of this Indenture, the Issuers shall comply with the applicable securities laws and regulations and shall not be deemed to have breached their obligations under this Section 4.11 by virtue of such compliance.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 On the Change of Control Payment Date, the Issuers shall, to the extent lawful:</w:t>
      </w:r>
    </w:p>
    <w:p>
      <w:pPr>
        <w:spacing w:after="0" w:line="247" w:lineRule="exact"/>
        <w:rPr>
          <w:sz w:val="20"/>
          <w:szCs w:val="20"/>
          <w:color w:val="auto"/>
        </w:rPr>
      </w:pPr>
    </w:p>
    <w:p>
      <w:pPr>
        <w:ind w:left="960" w:hanging="304"/>
        <w:spacing w:after="0"/>
        <w:tabs>
          <w:tab w:leader="none" w:pos="960" w:val="left"/>
        </w:tabs>
        <w:numPr>
          <w:ilvl w:val="0"/>
          <w:numId w:val="120"/>
        </w:numPr>
        <w:rPr>
          <w:rFonts w:ascii="Arial" w:cs="Arial" w:eastAsia="Arial" w:hAnsi="Arial"/>
          <w:sz w:val="21"/>
          <w:szCs w:val="21"/>
          <w:color w:val="auto"/>
        </w:rPr>
      </w:pPr>
      <w:r>
        <w:rPr>
          <w:rFonts w:ascii="Arial" w:cs="Arial" w:eastAsia="Arial" w:hAnsi="Arial"/>
          <w:sz w:val="21"/>
          <w:szCs w:val="21"/>
          <w:color w:val="auto"/>
        </w:rPr>
        <w:t>accept for payment all Notes or portions thereof properly tendered pursuant to the Change of Control Offer;</w:t>
      </w:r>
    </w:p>
    <w:p>
      <w:pPr>
        <w:spacing w:after="0" w:line="258" w:lineRule="exact"/>
        <w:rPr>
          <w:rFonts w:ascii="Arial" w:cs="Arial" w:eastAsia="Arial" w:hAnsi="Arial"/>
          <w:sz w:val="21"/>
          <w:szCs w:val="21"/>
          <w:color w:val="auto"/>
        </w:rPr>
      </w:pPr>
    </w:p>
    <w:p>
      <w:pPr>
        <w:ind w:firstLine="656"/>
        <w:spacing w:after="0" w:line="263" w:lineRule="auto"/>
        <w:tabs>
          <w:tab w:leader="none" w:pos="964" w:val="left"/>
        </w:tabs>
        <w:numPr>
          <w:ilvl w:val="0"/>
          <w:numId w:val="120"/>
        </w:numPr>
        <w:rPr>
          <w:rFonts w:ascii="Arial" w:cs="Arial" w:eastAsia="Arial" w:hAnsi="Arial"/>
          <w:sz w:val="22"/>
          <w:szCs w:val="22"/>
          <w:color w:val="auto"/>
        </w:rPr>
      </w:pPr>
      <w:r>
        <w:rPr>
          <w:rFonts w:ascii="Arial" w:cs="Arial" w:eastAsia="Arial" w:hAnsi="Arial"/>
          <w:sz w:val="22"/>
          <w:szCs w:val="22"/>
          <w:color w:val="auto"/>
        </w:rPr>
        <w:t>deposit with the Paying Agent an amount equal to the Change of Control Payment in respect of all Notes or portions of Notes properly tendered; and</w:t>
      </w:r>
    </w:p>
    <w:p>
      <w:pPr>
        <w:spacing w:after="0" w:line="201" w:lineRule="exact"/>
        <w:rPr>
          <w:rFonts w:ascii="Arial" w:cs="Arial" w:eastAsia="Arial" w:hAnsi="Arial"/>
          <w:sz w:val="22"/>
          <w:szCs w:val="22"/>
          <w:color w:val="auto"/>
        </w:rPr>
      </w:pPr>
    </w:p>
    <w:p>
      <w:pPr>
        <w:ind w:firstLine="656"/>
        <w:spacing w:after="0" w:line="263" w:lineRule="auto"/>
        <w:tabs>
          <w:tab w:leader="none" w:pos="988" w:val="left"/>
        </w:tabs>
        <w:numPr>
          <w:ilvl w:val="0"/>
          <w:numId w:val="120"/>
        </w:numPr>
        <w:rPr>
          <w:rFonts w:ascii="Arial" w:cs="Arial" w:eastAsia="Arial" w:hAnsi="Arial"/>
          <w:sz w:val="22"/>
          <w:szCs w:val="22"/>
          <w:color w:val="auto"/>
        </w:rPr>
      </w:pPr>
      <w:r>
        <w:rPr>
          <w:rFonts w:ascii="Arial" w:cs="Arial" w:eastAsia="Arial" w:hAnsi="Arial"/>
          <w:sz w:val="22"/>
          <w:szCs w:val="22"/>
          <w:color w:val="auto"/>
        </w:rPr>
        <w:t>deliver or cause to be delivered to the Trustee the Notes properly accepted together with an Officers’ Certificate stating the aggregate principal amount of Notes or portions of Notes being purchased by the Issuers.</w:t>
      </w:r>
    </w:p>
    <w:p>
      <w:pPr>
        <w:spacing w:after="0" w:line="20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Paying Agent shall promptly deliver to each Holder of Notes properly tendered the Change of Control Payment for such Notes, and the Trustee shall promptly authenticate and deliver (or cause to be transferred by book entry) to each Holder a new Note equal in principal amount to any unpurchased portion of the Notes surrendered, if any; provided that each new Note shall be in a principal amount of $2,000 or in integral multiples of $1,000 in excess of $2,000. The Issuers shall publicly announce the results of the Change of Control Offer on or as soon as practicable after the Change of Control Payment Date.</w:t>
      </w:r>
    </w:p>
    <w:p>
      <w:pPr>
        <w:spacing w:after="0" w:line="174" w:lineRule="exact"/>
        <w:rPr>
          <w:sz w:val="20"/>
          <w:szCs w:val="20"/>
          <w:color w:val="auto"/>
        </w:rPr>
      </w:pPr>
    </w:p>
    <w:p>
      <w:pPr>
        <w:jc w:val="both"/>
        <w:ind w:firstLine="656"/>
        <w:spacing w:after="0" w:line="246" w:lineRule="auto"/>
        <w:tabs>
          <w:tab w:leader="none" w:pos="957" w:val="left"/>
        </w:tabs>
        <w:numPr>
          <w:ilvl w:val="0"/>
          <w:numId w:val="121"/>
        </w:numPr>
        <w:rPr>
          <w:rFonts w:ascii="Arial" w:cs="Arial" w:eastAsia="Arial" w:hAnsi="Arial"/>
          <w:sz w:val="22"/>
          <w:szCs w:val="22"/>
          <w:color w:val="auto"/>
        </w:rPr>
      </w:pPr>
      <w:r>
        <w:rPr>
          <w:rFonts w:ascii="Arial" w:cs="Arial" w:eastAsia="Arial" w:hAnsi="Arial"/>
          <w:sz w:val="22"/>
          <w:szCs w:val="22"/>
          <w:color w:val="auto"/>
        </w:rPr>
        <w:t>Notwithstanding anything to the contrary in this Section 4.11, the Issuers shall not be required to make a Change of Control Offer upon a Change of Control Triggering Event if (1) a third party makes the Change of Control Offer in the manner, at the times and otherwise in compliance with the requirements set forth in this Section 4.11 and purchases all Notes properly tendered and not withdrawn under the Change of Control Offer, or (2) a notice of redemption has been given pursuant to this Indenture as described above under Section 3.03 hereof, unless and until there is a default in payment of the applicable redemption price. Notwithstanding anything to the contrary contained herein, a Change of Control Offer may be made in advance of a Change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240"/>
          </w:cols>
          <w:pgMar w:left="320" w:top="1428" w:right="339" w:bottom="1440" w:gutter="0" w:footer="0" w:header="0"/>
        </w:sectPr>
      </w:pPr>
    </w:p>
    <w:bookmarkStart w:id="109" w:name="page110"/>
    <w:bookmarkEnd w:id="109"/>
    <w:p>
      <w:pPr>
        <w:ind w:right="20"/>
        <w:spacing w:after="0" w:line="263" w:lineRule="auto"/>
        <w:rPr>
          <w:sz w:val="20"/>
          <w:szCs w:val="20"/>
          <w:color w:val="auto"/>
        </w:rPr>
      </w:pPr>
      <w:r>
        <w:rPr>
          <w:rFonts w:ascii="Arial" w:cs="Arial" w:eastAsia="Arial" w:hAnsi="Arial"/>
          <w:sz w:val="22"/>
          <w:szCs w:val="22"/>
          <w:color w:val="auto"/>
        </w:rPr>
        <w:t>of Control Triggering Event, conditioned upon the consummation of such Change of Control, if a definitive agreement is in place for the Change of Control at the time the Change of Control Offer is made.</w:t>
      </w:r>
    </w:p>
    <w:p>
      <w:pPr>
        <w:spacing w:after="0" w:line="202" w:lineRule="exact"/>
        <w:rPr>
          <w:sz w:val="20"/>
          <w:szCs w:val="20"/>
          <w:color w:val="auto"/>
        </w:rPr>
      </w:pPr>
    </w:p>
    <w:p>
      <w:pPr>
        <w:jc w:val="both"/>
        <w:ind w:firstLine="656"/>
        <w:spacing w:after="0" w:line="259" w:lineRule="auto"/>
        <w:tabs>
          <w:tab w:leader="none" w:pos="975" w:val="left"/>
        </w:tabs>
        <w:numPr>
          <w:ilvl w:val="0"/>
          <w:numId w:val="122"/>
        </w:numPr>
        <w:rPr>
          <w:rFonts w:ascii="Arial" w:cs="Arial" w:eastAsia="Arial" w:hAnsi="Arial"/>
          <w:sz w:val="21"/>
          <w:szCs w:val="21"/>
          <w:color w:val="auto"/>
        </w:rPr>
      </w:pPr>
      <w:r>
        <w:rPr>
          <w:rFonts w:ascii="Arial" w:cs="Arial" w:eastAsia="Arial" w:hAnsi="Arial"/>
          <w:sz w:val="21"/>
          <w:szCs w:val="21"/>
          <w:color w:val="auto"/>
        </w:rPr>
        <w:t>If Holders of not less than 90% in aggregate principal amount of the outstanding Notes properly tender and do not withdraw such Notes in a Change of Control Offer and the Issuers, or any third party making a Change of Control Offer in lieu of the Issuers as described in Section 4.11(c), purchase all of the Notes validly tendered and not withdrawn by such Holders, the Issuers or such third party will have the right, upon not less than 30 nor more than 60 days’ prior notice, given not more than 30 days following such purchase pursuant to the Change of Control Offer described above, to redeem all Notes that remain outstanding following such purchase at a price in cash equal to 101% of the principal amount thereof plus accrued and unpaid interest to, but not including, the date of redemption (subject to the right of Holders of record of Notes on the relevant record date to receive interest due on the relevant interest payment date).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SUCCESSORS</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Section 5.01 Merger, Consolidation, or Sale of Assets.</w:t>
      </w:r>
    </w:p>
    <w:p>
      <w:pPr>
        <w:spacing w:after="0" w:line="247"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Neither Issuer may, directly or indirectly, (1) consolidate or merge with or into another Person (whether or not such Issuer is the surviving entity) or (2) sell, assign, transfer, convey or otherwise dispose of all or substantially all of its properties or assets in one or more related transactions, to another Person, unless:</w:t>
      </w:r>
    </w:p>
    <w:p>
      <w:pPr>
        <w:spacing w:after="0" w:line="212" w:lineRule="exact"/>
        <w:rPr>
          <w:sz w:val="20"/>
          <w:szCs w:val="20"/>
          <w:color w:val="auto"/>
        </w:rPr>
      </w:pPr>
    </w:p>
    <w:p>
      <w:pPr>
        <w:jc w:val="both"/>
        <w:ind w:firstLine="656"/>
        <w:spacing w:after="0" w:line="312" w:lineRule="auto"/>
        <w:tabs>
          <w:tab w:leader="none" w:pos="944" w:val="left"/>
        </w:tabs>
        <w:numPr>
          <w:ilvl w:val="0"/>
          <w:numId w:val="123"/>
        </w:numPr>
        <w:rPr>
          <w:rFonts w:ascii="Arial" w:cs="Arial" w:eastAsia="Arial" w:hAnsi="Arial"/>
          <w:sz w:val="19"/>
          <w:szCs w:val="19"/>
          <w:color w:val="auto"/>
        </w:rPr>
      </w:pPr>
      <w:r>
        <w:rPr>
          <w:rFonts w:ascii="Arial" w:cs="Arial" w:eastAsia="Arial" w:hAnsi="Arial"/>
          <w:sz w:val="19"/>
          <w:szCs w:val="19"/>
          <w:color w:val="auto"/>
        </w:rPr>
        <w:t>either (1) such Issuer is the surviving entity or (2) the Person formed by or surviving any such consolidation or merger (if other than such Issuer) or to which such sale, assignment, transfer, conveyance or other disposition shall have been made is a corporation organized or existing under the laws of the United States, any state of the United States or the District of Columbia;</w:t>
      </w:r>
    </w:p>
    <w:p>
      <w:pPr>
        <w:spacing w:after="0" w:line="160" w:lineRule="exact"/>
        <w:rPr>
          <w:rFonts w:ascii="Arial" w:cs="Arial" w:eastAsia="Arial" w:hAnsi="Arial"/>
          <w:sz w:val="19"/>
          <w:szCs w:val="19"/>
          <w:color w:val="auto"/>
        </w:rPr>
      </w:pPr>
    </w:p>
    <w:p>
      <w:pPr>
        <w:jc w:val="both"/>
        <w:ind w:firstLine="656"/>
        <w:spacing w:after="0" w:line="312" w:lineRule="auto"/>
        <w:tabs>
          <w:tab w:leader="none" w:pos="959"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the Person formed by or surviving any such consolidation or merger (if other than such Issuer) or the Person to which such sale, assignment, transfer, conveyance or other disposition shall have been made assumes all the obligations of such Issuer under the Notes and this Indenture pursuant to agreements reasonably satisfactory to the Trustee; and</w:t>
      </w:r>
    </w:p>
    <w:p>
      <w:pPr>
        <w:spacing w:after="0" w:line="160" w:lineRule="exact"/>
        <w:rPr>
          <w:rFonts w:ascii="Arial" w:cs="Arial" w:eastAsia="Arial" w:hAnsi="Arial"/>
          <w:sz w:val="19"/>
          <w:szCs w:val="19"/>
          <w:color w:val="auto"/>
        </w:rPr>
      </w:pPr>
    </w:p>
    <w:p>
      <w:pPr>
        <w:ind w:left="940" w:hanging="284"/>
        <w:spacing w:after="0"/>
        <w:tabs>
          <w:tab w:leader="none" w:pos="94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immediately after such transaction, no Default or Event of Default exists.</w:t>
      </w:r>
    </w:p>
    <w:p>
      <w:pPr>
        <w:spacing w:after="0" w:line="21"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In addition, no Issuer may, directly or indirectly, lease all or substantially all of its properties or assets, taken as a whole, in one or more related transactions, to any other Person.</w:t>
      </w:r>
    </w:p>
    <w:p>
      <w:pPr>
        <w:spacing w:after="0" w:line="219"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Notwithstanding the provisions of this Section 5.01, Wynn Resorts Finance or any of the Guarantors that is not a subchapter “C” corporation is permitted to convert into a corporation pursuant to a Permitted C-Corp. Conversion.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240"/>
          </w:cols>
          <w:pgMar w:left="320" w:top="1428" w:right="339" w:bottom="1440" w:gutter="0" w:footer="0" w:header="0"/>
        </w:sectPr>
      </w:pPr>
    </w:p>
    <w:bookmarkStart w:id="110" w:name="page111"/>
    <w:bookmarkEnd w:id="110"/>
    <w:p>
      <w:pPr>
        <w:spacing w:after="0"/>
        <w:rPr>
          <w:sz w:val="20"/>
          <w:szCs w:val="20"/>
          <w:color w:val="auto"/>
        </w:rPr>
      </w:pPr>
      <w:r>
        <w:rPr>
          <w:rFonts w:ascii="Arial" w:cs="Arial" w:eastAsia="Arial" w:hAnsi="Arial"/>
          <w:sz w:val="22"/>
          <w:szCs w:val="22"/>
          <w:color w:val="auto"/>
        </w:rPr>
        <w:t>Section 5.02 Successor Corporation Substituted.</w:t>
      </w:r>
    </w:p>
    <w:p>
      <w:pPr>
        <w:spacing w:after="0" w:line="24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Upon any consolidation or merger, or any sale, assignment, transfer, lease, conveyance or other disposition of all or substantially all of the assets of either Issuer in a transaction that is subject to, and that complies with the provisions of, Section 5.01 hereof, the successor Person formed by such consolidation or into or with which such Issuer is merged or to which such sale, assignment, transfer, lease, conveyance or other disposition is made shall succeed to, and be substituted for (so that from and after the date of such consolidation, merger, sale, lease, conveyance or other disposition, the provisions of this Indenture referring to such “Issuer” shall refer instead to the successor Person and not to such Issuer), and may exercise every right and power of such Issuer under this Indenture with the same effect as if such successor Person had been named as such Issuer herein; provided, however, that the predecessor Issuer shall not be relieved from the obligation to pay the principal of and interest and premium, if any, on the Notes, except in the case of a sale of all of such Issuer’s assets in a transaction that is subject to, and that complies with the provisions of Section 5.01 hereof.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DEFAULTS AND REMEDIES</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Section 6.01 Events of Default.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of the following is an “Event of Default”:</w:t>
      </w:r>
    </w:p>
    <w:p>
      <w:pPr>
        <w:spacing w:after="0" w:line="247" w:lineRule="exact"/>
        <w:rPr>
          <w:sz w:val="20"/>
          <w:szCs w:val="20"/>
          <w:color w:val="auto"/>
        </w:rPr>
      </w:pPr>
    </w:p>
    <w:p>
      <w:pPr>
        <w:ind w:left="940" w:hanging="284"/>
        <w:spacing w:after="0"/>
        <w:tabs>
          <w:tab w:leader="none" w:pos="94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default for 30 days in the payment when due of interest on the Notes;</w:t>
      </w:r>
    </w:p>
    <w:p>
      <w:pPr>
        <w:spacing w:after="0" w:line="246" w:lineRule="exact"/>
        <w:rPr>
          <w:rFonts w:ascii="Arial" w:cs="Arial" w:eastAsia="Arial" w:hAnsi="Arial"/>
          <w:sz w:val="22"/>
          <w:szCs w:val="22"/>
          <w:color w:val="auto"/>
        </w:rPr>
      </w:pPr>
    </w:p>
    <w:p>
      <w:pPr>
        <w:ind w:firstLine="656"/>
        <w:spacing w:after="0" w:line="263" w:lineRule="auto"/>
        <w:tabs>
          <w:tab w:leader="none" w:pos="991" w:val="left"/>
        </w:tabs>
        <w:numPr>
          <w:ilvl w:val="0"/>
          <w:numId w:val="124"/>
        </w:numPr>
        <w:rPr>
          <w:rFonts w:ascii="Arial" w:cs="Arial" w:eastAsia="Arial" w:hAnsi="Arial"/>
          <w:sz w:val="22"/>
          <w:szCs w:val="22"/>
          <w:color w:val="auto"/>
        </w:rPr>
      </w:pPr>
      <w:r>
        <w:rPr>
          <w:rFonts w:ascii="Arial" w:cs="Arial" w:eastAsia="Arial" w:hAnsi="Arial"/>
          <w:sz w:val="22"/>
          <w:szCs w:val="22"/>
          <w:color w:val="auto"/>
        </w:rPr>
        <w:t>default in the payment when due (at maturity, upon redemption, repurchase or otherwise) of the principal of, or premium, if any, on, the Notes;</w:t>
      </w:r>
    </w:p>
    <w:p>
      <w:pPr>
        <w:spacing w:after="0" w:line="201" w:lineRule="exact"/>
        <w:rPr>
          <w:rFonts w:ascii="Arial" w:cs="Arial" w:eastAsia="Arial" w:hAnsi="Arial"/>
          <w:sz w:val="22"/>
          <w:szCs w:val="22"/>
          <w:color w:val="auto"/>
        </w:rPr>
      </w:pPr>
    </w:p>
    <w:p>
      <w:pPr>
        <w:ind w:left="940" w:hanging="284"/>
        <w:spacing w:after="0"/>
        <w:tabs>
          <w:tab w:leader="none" w:pos="94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failure by Wynn Resorts Capital, Wynn Resorts Finance or any Guarantor:</w:t>
      </w:r>
    </w:p>
    <w:p>
      <w:pPr>
        <w:spacing w:after="0" w:line="247" w:lineRule="exact"/>
        <w:rPr>
          <w:sz w:val="20"/>
          <w:szCs w:val="20"/>
          <w:color w:val="auto"/>
        </w:rPr>
      </w:pPr>
    </w:p>
    <w:p>
      <w:pPr>
        <w:ind w:firstLine="656"/>
        <w:spacing w:after="0" w:line="263" w:lineRule="auto"/>
        <w:tabs>
          <w:tab w:leader="none" w:pos="96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to comply with any payment obligations (including, without limitation, obligations as to the timing or amount of such payments) described under Section 4.11 hereof;</w:t>
      </w:r>
    </w:p>
    <w:p>
      <w:pPr>
        <w:spacing w:after="0" w:line="201" w:lineRule="exact"/>
        <w:rPr>
          <w:rFonts w:ascii="Arial" w:cs="Arial" w:eastAsia="Arial" w:hAnsi="Arial"/>
          <w:sz w:val="22"/>
          <w:szCs w:val="22"/>
          <w:color w:val="auto"/>
        </w:rPr>
      </w:pPr>
    </w:p>
    <w:p>
      <w:pPr>
        <w:ind w:left="960" w:hanging="304"/>
        <w:spacing w:after="0"/>
        <w:tabs>
          <w:tab w:leader="none" w:pos="96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to comply with Section 5.01 hereof;</w:t>
      </w:r>
    </w:p>
    <w:p>
      <w:pPr>
        <w:spacing w:after="0" w:line="247" w:lineRule="exact"/>
        <w:rPr>
          <w:sz w:val="20"/>
          <w:szCs w:val="20"/>
          <w:color w:val="auto"/>
        </w:rPr>
      </w:pPr>
    </w:p>
    <w:p>
      <w:pPr>
        <w:jc w:val="both"/>
        <w:ind w:firstLine="656"/>
        <w:spacing w:after="0" w:line="271" w:lineRule="auto"/>
        <w:tabs>
          <w:tab w:leader="none" w:pos="969" w:val="left"/>
        </w:tabs>
        <w:numPr>
          <w:ilvl w:val="0"/>
          <w:numId w:val="126"/>
        </w:numPr>
        <w:rPr>
          <w:rFonts w:ascii="Arial" w:cs="Arial" w:eastAsia="Arial" w:hAnsi="Arial"/>
          <w:sz w:val="21"/>
          <w:szCs w:val="21"/>
          <w:color w:val="auto"/>
        </w:rPr>
      </w:pPr>
      <w:r>
        <w:rPr>
          <w:rFonts w:ascii="Arial" w:cs="Arial" w:eastAsia="Arial" w:hAnsi="Arial"/>
          <w:sz w:val="21"/>
          <w:szCs w:val="21"/>
          <w:color w:val="auto"/>
        </w:rPr>
        <w:t>failure by Wynn Resorts Capital, Wynn Resorts Finance or any Guarantor for 60 days after receipt of written notice from the Trustee or the Holders of at least 25% in aggregate principal amount of the Notes then outstanding voting as a single class to comply with any of the other agreements in this Indenture not set forth in Section 6.01(c) above;</w:t>
      </w:r>
    </w:p>
    <w:p>
      <w:pPr>
        <w:spacing w:after="0" w:line="194" w:lineRule="exact"/>
        <w:rPr>
          <w:rFonts w:ascii="Arial" w:cs="Arial" w:eastAsia="Arial" w:hAnsi="Arial"/>
          <w:sz w:val="21"/>
          <w:szCs w:val="21"/>
          <w:color w:val="auto"/>
        </w:rPr>
      </w:pPr>
    </w:p>
    <w:p>
      <w:pPr>
        <w:jc w:val="both"/>
        <w:ind w:firstLine="656"/>
        <w:spacing w:after="0" w:line="265" w:lineRule="auto"/>
        <w:tabs>
          <w:tab w:leader="none" w:pos="974" w:val="left"/>
        </w:tabs>
        <w:numPr>
          <w:ilvl w:val="0"/>
          <w:numId w:val="126"/>
        </w:numPr>
        <w:rPr>
          <w:rFonts w:ascii="Arial" w:cs="Arial" w:eastAsia="Arial" w:hAnsi="Arial"/>
          <w:sz w:val="21"/>
          <w:szCs w:val="21"/>
          <w:color w:val="auto"/>
        </w:rPr>
      </w:pPr>
      <w:r>
        <w:rPr>
          <w:rFonts w:ascii="Arial" w:cs="Arial" w:eastAsia="Arial" w:hAnsi="Arial"/>
          <w:sz w:val="21"/>
          <w:szCs w:val="21"/>
          <w:color w:val="auto"/>
        </w:rPr>
        <w:t>default under any mortgage, indenture or instrument under which there may be issued or by which there may be secured or evidenced any Indebtedness for money borrowed by Wynn Resorts Finance or any Guarantor (or the payment of which is guaranteed by Wynn Resorts Finance or any of the Guarantors) whether such Indebtedness or guarantee exists on the Issue Date, or is created after the Issue Date, if that default results in the acceleration of such</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240"/>
          </w:cols>
          <w:pgMar w:left="320" w:top="1428" w:right="339" w:bottom="1440" w:gutter="0" w:footer="0" w:header="0"/>
        </w:sectPr>
      </w:pPr>
    </w:p>
    <w:bookmarkStart w:id="111" w:name="page112"/>
    <w:bookmarkEnd w:id="111"/>
    <w:p>
      <w:pPr>
        <w:jc w:val="both"/>
        <w:spacing w:after="0" w:line="312" w:lineRule="auto"/>
        <w:rPr>
          <w:sz w:val="20"/>
          <w:szCs w:val="20"/>
          <w:color w:val="auto"/>
        </w:rPr>
      </w:pPr>
      <w:r>
        <w:rPr>
          <w:rFonts w:ascii="Arial" w:cs="Arial" w:eastAsia="Arial" w:hAnsi="Arial"/>
          <w:sz w:val="19"/>
          <w:szCs w:val="19"/>
          <w:color w:val="auto"/>
        </w:rPr>
        <w:t>Indebtedness prior to its express maturity, and, in each case, the principal amount of any such Indebtedness, together with the principal amount of any other such Indebtedness the maturity of which has been so accelerated, aggregates $125.0 million or more, if such acceleration is not annulled within 30 days after written notice as provided in this Indenture;</w:t>
      </w:r>
    </w:p>
    <w:p>
      <w:pPr>
        <w:spacing w:after="0" w:line="160" w:lineRule="exact"/>
        <w:rPr>
          <w:sz w:val="20"/>
          <w:szCs w:val="20"/>
          <w:color w:val="auto"/>
        </w:rPr>
      </w:pPr>
    </w:p>
    <w:p>
      <w:pPr>
        <w:jc w:val="both"/>
        <w:ind w:firstLine="656"/>
        <w:spacing w:after="0" w:line="312" w:lineRule="auto"/>
        <w:tabs>
          <w:tab w:leader="none" w:pos="927" w:val="left"/>
        </w:tabs>
        <w:numPr>
          <w:ilvl w:val="0"/>
          <w:numId w:val="127"/>
        </w:numPr>
        <w:rPr>
          <w:rFonts w:ascii="Arial" w:cs="Arial" w:eastAsia="Arial" w:hAnsi="Arial"/>
          <w:sz w:val="19"/>
          <w:szCs w:val="19"/>
          <w:color w:val="auto"/>
        </w:rPr>
      </w:pPr>
      <w:r>
        <w:rPr>
          <w:rFonts w:ascii="Arial" w:cs="Arial" w:eastAsia="Arial" w:hAnsi="Arial"/>
          <w:sz w:val="19"/>
          <w:szCs w:val="19"/>
          <w:color w:val="auto"/>
        </w:rPr>
        <w:t>failure by Wynn Resorts Capital, Wynn Resorts Finance or any Guarantor to pay final non-appealable judgments (not paid or covered by insurance as to which the relevant insurance company has not denied responsibility) aggregating in excess of $125.0 million, which judgments are not paid, bonded, discharged or stayed for a period of 60 days;</w:t>
      </w:r>
    </w:p>
    <w:p>
      <w:pPr>
        <w:spacing w:after="0" w:line="160" w:lineRule="exact"/>
        <w:rPr>
          <w:rFonts w:ascii="Arial" w:cs="Arial" w:eastAsia="Arial" w:hAnsi="Arial"/>
          <w:sz w:val="19"/>
          <w:szCs w:val="19"/>
          <w:color w:val="auto"/>
        </w:rPr>
      </w:pPr>
    </w:p>
    <w:p>
      <w:pPr>
        <w:ind w:left="960" w:hanging="304"/>
        <w:spacing w:after="0"/>
        <w:tabs>
          <w:tab w:leader="none" w:pos="96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either Issuer or any Guarantor:</w:t>
      </w:r>
    </w:p>
    <w:p>
      <w:pPr>
        <w:spacing w:after="0" w:line="247" w:lineRule="exact"/>
        <w:rPr>
          <w:sz w:val="20"/>
          <w:szCs w:val="20"/>
          <w:color w:val="auto"/>
        </w:rPr>
      </w:pPr>
    </w:p>
    <w:p>
      <w:pPr>
        <w:ind w:left="960" w:hanging="304"/>
        <w:spacing w:after="0"/>
        <w:tabs>
          <w:tab w:leader="none" w:pos="96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commences a voluntary case,</w:t>
      </w:r>
    </w:p>
    <w:p>
      <w:pPr>
        <w:spacing w:after="0" w:line="246" w:lineRule="exact"/>
        <w:rPr>
          <w:rFonts w:ascii="Arial" w:cs="Arial" w:eastAsia="Arial" w:hAnsi="Arial"/>
          <w:sz w:val="22"/>
          <w:szCs w:val="22"/>
          <w:color w:val="auto"/>
        </w:rPr>
      </w:pPr>
    </w:p>
    <w:p>
      <w:pPr>
        <w:ind w:left="960" w:hanging="304"/>
        <w:spacing w:after="0"/>
        <w:tabs>
          <w:tab w:leader="none" w:pos="96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consents to the entry of an order for relief against it in an involuntary case,</w:t>
      </w:r>
    </w:p>
    <w:p>
      <w:pPr>
        <w:spacing w:after="0" w:line="246" w:lineRule="exact"/>
        <w:rPr>
          <w:rFonts w:ascii="Arial" w:cs="Arial" w:eastAsia="Arial" w:hAnsi="Arial"/>
          <w:sz w:val="22"/>
          <w:szCs w:val="22"/>
          <w:color w:val="auto"/>
        </w:rPr>
      </w:pPr>
    </w:p>
    <w:p>
      <w:pPr>
        <w:ind w:left="960" w:hanging="304"/>
        <w:spacing w:after="0"/>
        <w:tabs>
          <w:tab w:leader="none" w:pos="96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consents to the appointment of a custodian of it or for all or substantially all of its property,</w:t>
      </w:r>
    </w:p>
    <w:p>
      <w:pPr>
        <w:spacing w:after="0" w:line="246" w:lineRule="exact"/>
        <w:rPr>
          <w:rFonts w:ascii="Arial" w:cs="Arial" w:eastAsia="Arial" w:hAnsi="Arial"/>
          <w:sz w:val="22"/>
          <w:szCs w:val="22"/>
          <w:color w:val="auto"/>
        </w:rPr>
      </w:pPr>
    </w:p>
    <w:p>
      <w:pPr>
        <w:ind w:left="960" w:hanging="304"/>
        <w:spacing w:after="0"/>
        <w:tabs>
          <w:tab w:leader="none" w:pos="96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makes a general assignment for the benefit of its creditors, or</w:t>
      </w:r>
    </w:p>
    <w:p>
      <w:pPr>
        <w:spacing w:after="0" w:line="246" w:lineRule="exact"/>
        <w:rPr>
          <w:rFonts w:ascii="Arial" w:cs="Arial" w:eastAsia="Arial" w:hAnsi="Arial"/>
          <w:sz w:val="22"/>
          <w:szCs w:val="22"/>
          <w:color w:val="auto"/>
        </w:rPr>
      </w:pPr>
    </w:p>
    <w:p>
      <w:pPr>
        <w:ind w:left="960" w:hanging="304"/>
        <w:spacing w:after="0"/>
        <w:tabs>
          <w:tab w:leader="none" w:pos="96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generally is not paying its debts as they become due; or</w:t>
      </w:r>
    </w:p>
    <w:p>
      <w:pPr>
        <w:spacing w:after="0" w:line="247" w:lineRule="exact"/>
        <w:rPr>
          <w:sz w:val="20"/>
          <w:szCs w:val="20"/>
          <w:color w:val="auto"/>
        </w:rPr>
      </w:pPr>
    </w:p>
    <w:p>
      <w:pPr>
        <w:ind w:left="960" w:hanging="304"/>
        <w:spacing w:after="0"/>
        <w:tabs>
          <w:tab w:leader="none" w:pos="96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a court of competent jurisdiction enters an order or decree under any Bankruptcy Law that:</w:t>
      </w:r>
    </w:p>
    <w:p>
      <w:pPr>
        <w:spacing w:after="0" w:line="246"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(1) is for relief against either Issuer or any Guarantor in an involuntary case;</w:t>
      </w:r>
    </w:p>
    <w:p>
      <w:pPr>
        <w:spacing w:after="0" w:line="246"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(2) appoints a custodian of either Issuer or any Guarantor; or</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 orders the liquidation of either Issuer or any Guarantor;</w:t>
      </w:r>
    </w:p>
    <w:p>
      <w:pPr>
        <w:spacing w:after="0" w:line="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and the order or decree remains unstayed and in effect for 60 consecutive days; provided that (i) if a Default for a failure to report or failure to deliver a required certificate in connection with another default (the “Initial Default”) occurs, then at the time such Initial Default is cured, such Default for a failure to report or failure to deliver a required certificate in connection with another default that resulted solely because of that Initial Default will also be cured without any further action and (ii) any Default or Event of Default for the failure to comply with the time periods prescribed in Section 4.03 or otherwise to deliver any notice or certificate pursuant to any other provision of this Indenture shall be deemed to be cured upon the delivery of any such report required by such covenant or such notice or certificate, as applicable, even though such delivery is not within the prescribed period specified in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240"/>
          </w:cols>
          <w:pgMar w:left="320" w:top="1428" w:right="339" w:bottom="1440" w:gutter="0" w:footer="0" w:header="0"/>
        </w:sectPr>
      </w:pPr>
    </w:p>
    <w:bookmarkStart w:id="112" w:name="page113"/>
    <w:bookmarkEnd w:id="112"/>
    <w:p>
      <w:pPr>
        <w:spacing w:after="0"/>
        <w:rPr>
          <w:sz w:val="20"/>
          <w:szCs w:val="20"/>
          <w:color w:val="auto"/>
        </w:rPr>
      </w:pPr>
      <w:r>
        <w:rPr>
          <w:rFonts w:ascii="Arial" w:cs="Arial" w:eastAsia="Arial" w:hAnsi="Arial"/>
          <w:sz w:val="22"/>
          <w:szCs w:val="22"/>
          <w:color w:val="auto"/>
        </w:rPr>
        <w:t>Section 6.02 Acceleration.</w:t>
      </w:r>
    </w:p>
    <w:p>
      <w:pPr>
        <w:spacing w:after="0" w:line="24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In the case of an Event of Default specified in clause (g) or (h) of Section 6.01 hereof, with respect to either Issuer or any Guarantor, all outstanding Notes shall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 Upon any such declaration, the Notes shall become due and payable immediately. The Holders of a majority in aggregate principal amount of the then outstanding Notes by written notice to the Trustee may on behalf of all of the Holders rescind an acceleration and its consequences if the rescission would not conflict with any judgment or decree and if all existing Events of Default (except nonpayment of principal, interest or premium, if any, that has become due solely because of the acceleration) have been cured or waived.</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Section 6.03 Other Remedies.</w:t>
      </w:r>
    </w:p>
    <w:p>
      <w:pPr>
        <w:spacing w:after="0" w:line="24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If an Event of Default occurs and is continuing, the Trustee may pursue any available remedy to collect the payment of principal, premium, if any, and interest on the Notes or to enforce the performance of any provision of the Notes or this Indenture.</w:t>
      </w:r>
    </w:p>
    <w:p>
      <w:pPr>
        <w:jc w:val="both"/>
        <w:spacing w:after="0" w:line="244" w:lineRule="auto"/>
        <w:rPr>
          <w:sz w:val="20"/>
          <w:szCs w:val="20"/>
          <w:color w:val="auto"/>
        </w:rPr>
      </w:pPr>
      <w:r>
        <w:rPr>
          <w:rFonts w:ascii="Arial" w:cs="Arial" w:eastAsia="Arial" w:hAnsi="Arial"/>
          <w:sz w:val="22"/>
          <w:szCs w:val="22"/>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Section 6.04 Waiver of Past Defaults.</w:t>
      </w:r>
    </w:p>
    <w:p>
      <w:pPr>
        <w:spacing w:after="0" w:line="2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Holders of not less than a majority in aggregate principal amount of the then outstanding Notes by notice to the Trustee may, on behalf of the Holders of all of the Notes, waive an existing Default or Event of Default and its consequences hereunder, except a continuing Default or Event of Default in the payment of the principal of, premium, if any, or interest on, the Notes (including in connection with an offer to purchase); provided, however, that the Holders of a majority in aggregate principal amount of the then 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auto"/>
        </w:rPr>
        <w:t>Section 6.05 Control by Majority.</w:t>
      </w:r>
    </w:p>
    <w:p>
      <w:pPr>
        <w:spacing w:after="0" w:line="2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Holders of a majority in principal amount of the then outstanding Notes may direct the time, method and place of conducting any proceeding for exercising any remedy available to the Trustee or exercising any trust or power conferred on it. In addition, the Trustee may refuse to follow any direction that conflicts with law or this Indenture that the Trustee determines may be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240"/>
          </w:cols>
          <w:pgMar w:left="320" w:top="1428" w:right="339" w:bottom="1440" w:gutter="0" w:footer="0" w:header="0"/>
        </w:sectPr>
      </w:pPr>
    </w:p>
    <w:bookmarkStart w:id="113" w:name="page114"/>
    <w:bookmarkEnd w:id="113"/>
    <w:p>
      <w:pPr>
        <w:spacing w:after="0"/>
        <w:rPr>
          <w:sz w:val="20"/>
          <w:szCs w:val="20"/>
          <w:color w:val="auto"/>
        </w:rPr>
      </w:pPr>
      <w:r>
        <w:rPr>
          <w:rFonts w:ascii="Arial" w:cs="Arial" w:eastAsia="Arial" w:hAnsi="Arial"/>
          <w:sz w:val="22"/>
          <w:szCs w:val="22"/>
          <w:color w:val="auto"/>
        </w:rPr>
        <w:t>unduly prejudicial to the rights of other Holders of Notes or that may involve the Trustee in personal liability.</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Section 6.06 Limitation on Suits.</w:t>
      </w:r>
    </w:p>
    <w:p>
      <w:pPr>
        <w:spacing w:after="0" w:line="247"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Except to enforce the right to receive payment of principal, interest, or premium, if any, when due, a Holder of a Note may pursue a remedy with respect to this Indenture or the Notes only if:</w:t>
      </w:r>
    </w:p>
    <w:p>
      <w:pPr>
        <w:spacing w:after="0" w:line="202" w:lineRule="exact"/>
        <w:rPr>
          <w:sz w:val="20"/>
          <w:szCs w:val="20"/>
          <w:color w:val="auto"/>
        </w:rPr>
      </w:pPr>
    </w:p>
    <w:p>
      <w:pPr>
        <w:ind w:left="940" w:hanging="284"/>
        <w:spacing w:after="0"/>
        <w:tabs>
          <w:tab w:leader="none" w:pos="94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such Holder of a Note gives to the Trustee written notice that an Event of Default is continuing;</w:t>
      </w:r>
    </w:p>
    <w:p>
      <w:pPr>
        <w:spacing w:after="0" w:line="246" w:lineRule="exact"/>
        <w:rPr>
          <w:rFonts w:ascii="Arial" w:cs="Arial" w:eastAsia="Arial" w:hAnsi="Arial"/>
          <w:sz w:val="22"/>
          <w:szCs w:val="22"/>
          <w:color w:val="auto"/>
        </w:rPr>
      </w:pPr>
    </w:p>
    <w:p>
      <w:pPr>
        <w:ind w:firstLine="656"/>
        <w:spacing w:after="0" w:line="263" w:lineRule="auto"/>
        <w:tabs>
          <w:tab w:leader="none" w:pos="96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Holders of at least 25% in aggregate principal amount of the then outstanding Notes make a written request to the Trustee to pursue the remedy;</w:t>
      </w:r>
    </w:p>
    <w:p>
      <w:pPr>
        <w:spacing w:after="0" w:line="201" w:lineRule="exact"/>
        <w:rPr>
          <w:rFonts w:ascii="Arial" w:cs="Arial" w:eastAsia="Arial" w:hAnsi="Arial"/>
          <w:sz w:val="22"/>
          <w:szCs w:val="22"/>
          <w:color w:val="auto"/>
        </w:rPr>
      </w:pPr>
    </w:p>
    <w:p>
      <w:pPr>
        <w:ind w:firstLine="656"/>
        <w:spacing w:after="0" w:line="263" w:lineRule="auto"/>
        <w:tabs>
          <w:tab w:leader="none" w:pos="948" w:val="left"/>
        </w:tabs>
        <w:numPr>
          <w:ilvl w:val="0"/>
          <w:numId w:val="130"/>
        </w:numPr>
        <w:rPr>
          <w:rFonts w:ascii="Arial" w:cs="Arial" w:eastAsia="Arial" w:hAnsi="Arial"/>
          <w:sz w:val="22"/>
          <w:szCs w:val="22"/>
          <w:color w:val="auto"/>
        </w:rPr>
      </w:pPr>
      <w:r>
        <w:rPr>
          <w:rFonts w:ascii="Arial" w:cs="Arial" w:eastAsia="Arial" w:hAnsi="Arial"/>
          <w:sz w:val="22"/>
          <w:szCs w:val="22"/>
          <w:color w:val="auto"/>
        </w:rPr>
        <w:t>such Holder or Holders offer and, if requested, provide to the Trustee security or indemnity satisfactory to the Trustee against any loss, liability or expense;</w:t>
      </w:r>
    </w:p>
    <w:p>
      <w:pPr>
        <w:spacing w:after="0" w:line="201" w:lineRule="exact"/>
        <w:rPr>
          <w:rFonts w:ascii="Arial" w:cs="Arial" w:eastAsia="Arial" w:hAnsi="Arial"/>
          <w:sz w:val="22"/>
          <w:szCs w:val="22"/>
          <w:color w:val="auto"/>
        </w:rPr>
      </w:pPr>
    </w:p>
    <w:p>
      <w:pPr>
        <w:ind w:firstLine="656"/>
        <w:spacing w:after="0" w:line="263" w:lineRule="auto"/>
        <w:tabs>
          <w:tab w:leader="none" w:pos="972"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Trustee does not comply with the request within 60 days after receipt of the request and the offer of security or indemnity; and</w:t>
      </w:r>
    </w:p>
    <w:p>
      <w:pPr>
        <w:spacing w:after="0" w:line="201" w:lineRule="exact"/>
        <w:rPr>
          <w:rFonts w:ascii="Arial" w:cs="Arial" w:eastAsia="Arial" w:hAnsi="Arial"/>
          <w:sz w:val="22"/>
          <w:szCs w:val="22"/>
          <w:color w:val="auto"/>
        </w:rPr>
      </w:pPr>
    </w:p>
    <w:p>
      <w:pPr>
        <w:ind w:firstLine="656"/>
        <w:spacing w:after="0" w:line="263" w:lineRule="auto"/>
        <w:tabs>
          <w:tab w:leader="none" w:pos="954" w:val="left"/>
        </w:tabs>
        <w:numPr>
          <w:ilvl w:val="0"/>
          <w:numId w:val="130"/>
        </w:numPr>
        <w:rPr>
          <w:rFonts w:ascii="Arial" w:cs="Arial" w:eastAsia="Arial" w:hAnsi="Arial"/>
          <w:sz w:val="22"/>
          <w:szCs w:val="22"/>
          <w:color w:val="auto"/>
        </w:rPr>
      </w:pPr>
      <w:r>
        <w:rPr>
          <w:rFonts w:ascii="Arial" w:cs="Arial" w:eastAsia="Arial" w:hAnsi="Arial"/>
          <w:sz w:val="22"/>
          <w:szCs w:val="22"/>
          <w:color w:val="auto"/>
        </w:rPr>
        <w:t>during such 60-day period, the Holders of a majority in aggregate principal amount of the then outstanding Notes do not give the Trustee a direction inconsistent with such request within such 60-day period.</w:t>
      </w:r>
    </w:p>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Notwithstanding the foregoing, any notice of Default, notice of acceleration or instruction to the Trustee to provide a notice of Default, notice of acceleration or take any other action (a “Noteholder Direction”) provided by any one or more Holders (each a “Directing Holder”) must be accompanied by a written representation from each such Holder to Wynn Resorts Finance and the Trustee that such Holder is not (or, in the case such Holder is the Depositary or its nominee, that such Holder is being instructed solely by Beneficial Owners that are not) Net Short (a “Position Representation”), which representation, in the case of a Noteholder Direction relating to a notice of Default shall be deemed repeated at all times until the resulting Event of Default is cured or otherwise ceases to exist or the Notes are accelerated. In addition, each Directing Holder must, at the time of providing a Noteholder Direction, covenant to provide the Issuers with such other information as the Issuers may reasonably request from time to time in order to verify the accuracy of such Holder’s Position Representation within five Business Days of request therefor (a “Verification Covenant”). In any case in which the Holder is the Depositary or its nominee, any Position Representation or Verification Covenant required hereunder shall be provided by the Beneficial Owner of the Notes in lieu of the Depositary or its nominee.</w:t>
      </w:r>
    </w:p>
    <w:p>
      <w:pPr>
        <w:spacing w:after="0" w:line="21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Trustee shall not have any obligation to check, verify or confirm any information in any Position Representation and may rely conclusively on any Position Representation delivered to it.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240"/>
          </w:cols>
          <w:pgMar w:left="320" w:top="1428" w:right="339" w:bottom="1440" w:gutter="0" w:footer="0" w:header="0"/>
        </w:sectPr>
      </w:pPr>
    </w:p>
    <w:bookmarkStart w:id="114" w:name="page115"/>
    <w:bookmarkEnd w:id="114"/>
    <w:p>
      <w:pPr>
        <w:jc w:val="both"/>
        <w:ind w:firstLine="648"/>
        <w:spacing w:after="0" w:line="263" w:lineRule="auto"/>
        <w:rPr>
          <w:sz w:val="20"/>
          <w:szCs w:val="20"/>
          <w:color w:val="auto"/>
        </w:rPr>
      </w:pPr>
      <w:r>
        <w:rPr>
          <w:rFonts w:ascii="Arial" w:cs="Arial" w:eastAsia="Arial" w:hAnsi="Arial"/>
          <w:sz w:val="22"/>
          <w:szCs w:val="22"/>
          <w:color w:val="auto"/>
        </w:rPr>
        <w:t>A Holder of a Note may not use this Indenture to prejudice the rights of another Holder of a Note or to obtain a preference or priority over another Holder of a Note.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Section 6.07 Rights of Holders of Notes to Receive Payment.</w:t>
      </w:r>
    </w:p>
    <w:p>
      <w:pPr>
        <w:spacing w:after="0" w:line="24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Notwithstanding any other provision of this Indenture, the right of any Holder of a Note to receive payment of principal, premium, if any, and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 provided that a Holder shall not have the right to institute any such suit for the enforcement of payment if and to the extent that the institution or prosecution thereof or the entry of judgment therein would, under applicable law, result in the surrender, impairment, waiver or loss of the Lien of this Indenture upon any property subject to such Lien.</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Section 6.08 Collection Suit by Trustee.</w:t>
      </w:r>
    </w:p>
    <w:p>
      <w:pPr>
        <w:spacing w:after="0" w:line="2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If an Event of Default specified in Section 6.01(a) or (b) occurs and is continuing, the Trustee is authorized to recover judgment in its own name and as trustee of an express trust against the Issuers for the whole amount of principal of, premium,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Section 6.09 Trustee May File Proofs of Claim.</w:t>
      </w:r>
    </w:p>
    <w:p>
      <w:pPr>
        <w:spacing w:after="0" w:line="2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Issuers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7.07 hereof. To the extent that the payment of any such compensation, expenses, disbursements and advances of the Trustee, its agents and counsel, and any other amounts due the Trustee under Section 7.07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240"/>
          </w:cols>
          <w:pgMar w:left="320" w:top="1428" w:right="339" w:bottom="1440" w:gutter="0" w:footer="0" w:header="0"/>
        </w:sectPr>
      </w:pPr>
    </w:p>
    <w:bookmarkStart w:id="115" w:name="page116"/>
    <w:bookmarkEnd w:id="115"/>
    <w:p>
      <w:pPr>
        <w:jc w:val="both"/>
        <w:spacing w:after="0" w:line="253" w:lineRule="auto"/>
        <w:rPr>
          <w:sz w:val="20"/>
          <w:szCs w:val="20"/>
          <w:color w:val="auto"/>
        </w:rPr>
      </w:pPr>
      <w:r>
        <w:rPr>
          <w:rFonts w:ascii="Arial" w:cs="Arial" w:eastAsia="Arial" w:hAnsi="Arial"/>
          <w:sz w:val="22"/>
          <w:szCs w:val="22"/>
          <w:color w:val="auto"/>
        </w:rPr>
        <w:t>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Section 6.10 Priorities.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the Trustee collects any money pursuant to this Article 6, it shall pay out the money in the following order:</w:t>
      </w:r>
    </w:p>
    <w:p>
      <w:pPr>
        <w:spacing w:after="0" w:line="2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First: to the Trustee, for amounts due under Section 7.06 hereof, including payment of all compensation, expense and liabilities incurred, and all advances made, by the Trustee and the costs and expenses of collection;</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Second: to Holders of Notes for amounts due and unpaid on the Notes for principal, premium, if any, and interest, ratably, without preference or priority of any kind, according to the amounts due and payable on the Notes for principal, premium, if any and interest, respectively; and</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Third: to the Issuers or to such party as a court of competent jurisdiction shall direct.</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The Trustee may fix a record date and payment date for any payment to Holders of Notes pursuant to this Section 6.10.</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Section 6.11 Undertaking for Costs.</w:t>
      </w:r>
    </w:p>
    <w:p>
      <w:pPr>
        <w:spacing w:after="0" w:line="24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Note pursuant to Section 6.07 hereof, or a suit by Holders of more than 10% in principal amount of the then outstanding Notes.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TRUSTEE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Section 7.01 Duties of Trustee.</w:t>
      </w:r>
    </w:p>
    <w:p>
      <w:pPr>
        <w:spacing w:after="0" w:line="247" w:lineRule="exact"/>
        <w:rPr>
          <w:sz w:val="20"/>
          <w:szCs w:val="20"/>
          <w:color w:val="auto"/>
        </w:rPr>
      </w:pPr>
    </w:p>
    <w:p>
      <w:pPr>
        <w:jc w:val="both"/>
        <w:ind w:firstLine="656"/>
        <w:spacing w:after="0" w:line="253" w:lineRule="auto"/>
        <w:tabs>
          <w:tab w:leader="none" w:pos="951" w:val="left"/>
        </w:tabs>
        <w:numPr>
          <w:ilvl w:val="0"/>
          <w:numId w:val="131"/>
        </w:numPr>
        <w:rPr>
          <w:rFonts w:ascii="Arial" w:cs="Arial" w:eastAsia="Arial" w:hAnsi="Arial"/>
          <w:sz w:val="22"/>
          <w:szCs w:val="22"/>
          <w:color w:val="auto"/>
        </w:rPr>
      </w:pPr>
      <w:r>
        <w:rPr>
          <w:rFonts w:ascii="Arial" w:cs="Arial" w:eastAsia="Arial" w:hAnsi="Arial"/>
          <w:sz w:val="22"/>
          <w:szCs w:val="22"/>
          <w:color w:val="auto"/>
        </w:rPr>
        <w:t>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w:t>
      </w:r>
    </w:p>
    <w:p>
      <w:pPr>
        <w:spacing w:after="0" w:line="212" w:lineRule="exact"/>
        <w:rPr>
          <w:rFonts w:ascii="Arial" w:cs="Arial" w:eastAsia="Arial" w:hAnsi="Arial"/>
          <w:sz w:val="22"/>
          <w:szCs w:val="22"/>
          <w:color w:val="auto"/>
        </w:rPr>
      </w:pPr>
    </w:p>
    <w:p>
      <w:pPr>
        <w:ind w:left="960" w:hanging="304"/>
        <w:spacing w:after="0"/>
        <w:tabs>
          <w:tab w:leader="none" w:pos="96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Except during the continuance of an Event of Default: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240"/>
          </w:cols>
          <w:pgMar w:left="320" w:top="1428" w:right="339" w:bottom="1440" w:gutter="0" w:footer="0" w:header="0"/>
        </w:sectPr>
      </w:pPr>
    </w:p>
    <w:bookmarkStart w:id="116" w:name="page117"/>
    <w:bookmarkEnd w:id="116"/>
    <w:p>
      <w:pPr>
        <w:jc w:val="both"/>
        <w:ind w:firstLine="656"/>
        <w:spacing w:after="0" w:line="253" w:lineRule="auto"/>
        <w:tabs>
          <w:tab w:leader="none" w:pos="967"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212" w:lineRule="exact"/>
        <w:rPr>
          <w:rFonts w:ascii="Arial" w:cs="Arial" w:eastAsia="Arial" w:hAnsi="Arial"/>
          <w:sz w:val="22"/>
          <w:szCs w:val="22"/>
          <w:color w:val="auto"/>
        </w:rPr>
      </w:pPr>
    </w:p>
    <w:p>
      <w:pPr>
        <w:jc w:val="both"/>
        <w:ind w:firstLine="656"/>
        <w:spacing w:after="0" w:line="250" w:lineRule="auto"/>
        <w:tabs>
          <w:tab w:leader="none" w:pos="979" w:val="left"/>
        </w:tabs>
        <w:numPr>
          <w:ilvl w:val="0"/>
          <w:numId w:val="132"/>
        </w:numPr>
        <w:rPr>
          <w:rFonts w:ascii="Arial" w:cs="Arial" w:eastAsia="Arial" w:hAnsi="Arial"/>
          <w:sz w:val="22"/>
          <w:szCs w:val="22"/>
          <w:color w:val="auto"/>
        </w:rPr>
      </w:pPr>
      <w:r>
        <w:rPr>
          <w:rFonts w:ascii="Arial" w:cs="Arial" w:eastAsia="Arial" w:hAnsi="Arial"/>
          <w:sz w:val="22"/>
          <w:szCs w:val="22"/>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shall examine the certificates and opinions to determine whether or not they conform to the requirements of this Indenture.</w:t>
      </w:r>
    </w:p>
    <w:p>
      <w:pPr>
        <w:spacing w:after="0" w:line="215" w:lineRule="exact"/>
        <w:rPr>
          <w:sz w:val="20"/>
          <w:szCs w:val="20"/>
          <w:color w:val="auto"/>
        </w:rPr>
      </w:pPr>
    </w:p>
    <w:p>
      <w:pPr>
        <w:ind w:firstLine="656"/>
        <w:spacing w:after="0" w:line="263" w:lineRule="auto"/>
        <w:tabs>
          <w:tab w:leader="none" w:pos="942"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 Trustee may not be relieved from liabilities for its own negligent action, its own negligent failure to act, or its own willful misconduct, except that:</w:t>
      </w:r>
    </w:p>
    <w:p>
      <w:pPr>
        <w:spacing w:after="0" w:line="202" w:lineRule="exact"/>
        <w:rPr>
          <w:sz w:val="20"/>
          <w:szCs w:val="20"/>
          <w:color w:val="auto"/>
        </w:rPr>
      </w:pPr>
    </w:p>
    <w:p>
      <w:pPr>
        <w:ind w:left="960" w:hanging="304"/>
        <w:spacing w:after="0"/>
        <w:tabs>
          <w:tab w:leader="none" w:pos="96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this Section 7.01(c) does not limit the effect of paragraph (b) of this Section 7.01;</w:t>
      </w:r>
    </w:p>
    <w:p>
      <w:pPr>
        <w:spacing w:after="0" w:line="246" w:lineRule="exact"/>
        <w:rPr>
          <w:rFonts w:ascii="Arial" w:cs="Arial" w:eastAsia="Arial" w:hAnsi="Arial"/>
          <w:sz w:val="22"/>
          <w:szCs w:val="22"/>
          <w:color w:val="auto"/>
        </w:rPr>
      </w:pPr>
    </w:p>
    <w:p>
      <w:pPr>
        <w:ind w:right="20" w:firstLine="656"/>
        <w:spacing w:after="0" w:line="263" w:lineRule="auto"/>
        <w:tabs>
          <w:tab w:leader="none" w:pos="98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the Trustee shall not be liable for any error of judgment made in good faith by a Responsible Officer, unless it is proved that the Trustee was negligent in ascertaining the pertinent facts; and</w:t>
      </w:r>
    </w:p>
    <w:p>
      <w:pPr>
        <w:spacing w:after="0" w:line="201" w:lineRule="exact"/>
        <w:rPr>
          <w:rFonts w:ascii="Arial" w:cs="Arial" w:eastAsia="Arial" w:hAnsi="Arial"/>
          <w:sz w:val="22"/>
          <w:szCs w:val="22"/>
          <w:color w:val="auto"/>
        </w:rPr>
      </w:pPr>
    </w:p>
    <w:p>
      <w:pPr>
        <w:ind w:firstLine="656"/>
        <w:spacing w:after="0" w:line="263" w:lineRule="auto"/>
        <w:tabs>
          <w:tab w:leader="none" w:pos="97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the Trustee shall not be liable with respect to any action it takes or omits to take in good faith in accordance with a direction received by it pursuant to Section 6.05 hereof.</w:t>
      </w:r>
    </w:p>
    <w:p>
      <w:pPr>
        <w:spacing w:after="0" w:line="202" w:lineRule="exact"/>
        <w:rPr>
          <w:sz w:val="20"/>
          <w:szCs w:val="20"/>
          <w:color w:val="auto"/>
        </w:rPr>
      </w:pPr>
    </w:p>
    <w:p>
      <w:pPr>
        <w:ind w:right="20" w:firstLine="656"/>
        <w:spacing w:after="0" w:line="263" w:lineRule="auto"/>
        <w:tabs>
          <w:tab w:leader="none" w:pos="954" w:val="left"/>
        </w:tabs>
        <w:numPr>
          <w:ilvl w:val="0"/>
          <w:numId w:val="135"/>
        </w:numPr>
        <w:rPr>
          <w:rFonts w:ascii="Arial" w:cs="Arial" w:eastAsia="Arial" w:hAnsi="Arial"/>
          <w:sz w:val="22"/>
          <w:szCs w:val="22"/>
          <w:color w:val="auto"/>
        </w:rPr>
      </w:pPr>
      <w:r>
        <w:rPr>
          <w:rFonts w:ascii="Arial" w:cs="Arial" w:eastAsia="Arial" w:hAnsi="Arial"/>
          <w:sz w:val="22"/>
          <w:szCs w:val="22"/>
          <w:color w:val="auto"/>
        </w:rPr>
        <w:t>Whether or not therein expressly so provided, every provision of this Indenture that in any way relates to the Trustee is subject to paragraphs (a), (b), and (c) of this Section 7.01.</w:t>
      </w:r>
    </w:p>
    <w:p>
      <w:pPr>
        <w:spacing w:after="0" w:line="201" w:lineRule="exact"/>
        <w:rPr>
          <w:rFonts w:ascii="Arial" w:cs="Arial" w:eastAsia="Arial" w:hAnsi="Arial"/>
          <w:sz w:val="22"/>
          <w:szCs w:val="22"/>
          <w:color w:val="auto"/>
        </w:rPr>
      </w:pPr>
    </w:p>
    <w:p>
      <w:pPr>
        <w:jc w:val="both"/>
        <w:ind w:firstLine="656"/>
        <w:spacing w:after="0" w:line="312" w:lineRule="auto"/>
        <w:tabs>
          <w:tab w:leader="none" w:pos="967" w:val="left"/>
        </w:tabs>
        <w:numPr>
          <w:ilvl w:val="0"/>
          <w:numId w:val="135"/>
        </w:numPr>
        <w:rPr>
          <w:rFonts w:ascii="Arial" w:cs="Arial" w:eastAsia="Arial" w:hAnsi="Arial"/>
          <w:sz w:val="19"/>
          <w:szCs w:val="19"/>
          <w:color w:val="auto"/>
        </w:rPr>
      </w:pPr>
      <w:r>
        <w:rPr>
          <w:rFonts w:ascii="Arial" w:cs="Arial" w:eastAsia="Arial" w:hAnsi="Arial"/>
          <w:sz w:val="19"/>
          <w:szCs w:val="19"/>
          <w:color w:val="auto"/>
        </w:rPr>
        <w:t>No provision of this Indenture shall require the Trustee to expend or risk its own funds or incur any liability. The Trustee shall be under no obligation to exercise any of its rights and powers under this Indenture at the request of any Holders, unless such Holder shall have offered to the Trustee security and indemnity satisfactory to it against any loss, liability or expense.</w:t>
      </w:r>
    </w:p>
    <w:p>
      <w:pPr>
        <w:spacing w:after="0" w:line="160" w:lineRule="exact"/>
        <w:rPr>
          <w:rFonts w:ascii="Arial" w:cs="Arial" w:eastAsia="Arial" w:hAnsi="Arial"/>
          <w:sz w:val="19"/>
          <w:szCs w:val="19"/>
          <w:color w:val="auto"/>
        </w:rPr>
      </w:pPr>
    </w:p>
    <w:p>
      <w:pPr>
        <w:ind w:firstLine="656"/>
        <w:spacing w:after="0" w:line="343" w:lineRule="auto"/>
        <w:tabs>
          <w:tab w:leader="none" w:pos="92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The Trustee shall not be liable for interest on any money received by it except as the Trustee may agree in writing with the Issuers. Money held in trust by the Trustee need not be segregated from other funds except to the extent required by law.</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auto"/>
        </w:rPr>
        <w:t>Section 7.02 Rights of Trustee.</w:t>
      </w:r>
    </w:p>
    <w:p>
      <w:pPr>
        <w:spacing w:after="0" w:line="247" w:lineRule="exact"/>
        <w:rPr>
          <w:sz w:val="20"/>
          <w:szCs w:val="20"/>
          <w:color w:val="auto"/>
        </w:rPr>
      </w:pPr>
    </w:p>
    <w:p>
      <w:pPr>
        <w:ind w:firstLine="656"/>
        <w:spacing w:after="0" w:line="287" w:lineRule="auto"/>
        <w:tabs>
          <w:tab w:leader="none" w:pos="978" w:val="left"/>
        </w:tabs>
        <w:numPr>
          <w:ilvl w:val="0"/>
          <w:numId w:val="136"/>
        </w:numPr>
        <w:rPr>
          <w:rFonts w:ascii="Arial" w:cs="Arial" w:eastAsia="Arial" w:hAnsi="Arial"/>
          <w:sz w:val="21"/>
          <w:szCs w:val="21"/>
          <w:color w:val="auto"/>
        </w:rPr>
      </w:pPr>
      <w:r>
        <w:rPr>
          <w:rFonts w:ascii="Arial" w:cs="Arial" w:eastAsia="Arial" w:hAnsi="Arial"/>
          <w:sz w:val="21"/>
          <w:szCs w:val="21"/>
          <w:color w:val="auto"/>
        </w:rPr>
        <w:t>The Trustee may conclusively rely upon any document believed by it to be genuine and to have been signed or presented by the proper Person. The Trustee need not investigate any fact or matter stated in the document.</w:t>
      </w:r>
    </w:p>
    <w:p>
      <w:pPr>
        <w:spacing w:after="0" w:line="178" w:lineRule="exact"/>
        <w:rPr>
          <w:rFonts w:ascii="Arial" w:cs="Arial" w:eastAsia="Arial" w:hAnsi="Arial"/>
          <w:sz w:val="21"/>
          <w:szCs w:val="21"/>
          <w:color w:val="auto"/>
        </w:rPr>
      </w:pPr>
    </w:p>
    <w:p>
      <w:pPr>
        <w:jc w:val="both"/>
        <w:ind w:firstLine="656"/>
        <w:spacing w:after="0" w:line="253" w:lineRule="auto"/>
        <w:tabs>
          <w:tab w:leader="none" w:pos="975" w:val="left"/>
        </w:tabs>
        <w:numPr>
          <w:ilvl w:val="0"/>
          <w:numId w:val="136"/>
        </w:numPr>
        <w:rPr>
          <w:rFonts w:ascii="Arial" w:cs="Arial" w:eastAsia="Arial" w:hAnsi="Arial"/>
          <w:sz w:val="22"/>
          <w:szCs w:val="22"/>
          <w:color w:val="auto"/>
        </w:rPr>
      </w:pPr>
      <w:r>
        <w:rPr>
          <w:rFonts w:ascii="Arial" w:cs="Arial" w:eastAsia="Arial" w:hAnsi="Arial"/>
          <w:sz w:val="22"/>
          <w:szCs w:val="22"/>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240"/>
          </w:cols>
          <w:pgMar w:left="320" w:top="1428" w:right="339" w:bottom="1440" w:gutter="0" w:footer="0" w:header="0"/>
        </w:sectPr>
      </w:pPr>
    </w:p>
    <w:bookmarkStart w:id="117" w:name="page118"/>
    <w:bookmarkEnd w:id="117"/>
    <w:p>
      <w:pPr>
        <w:jc w:val="both"/>
        <w:spacing w:after="0" w:line="253" w:lineRule="auto"/>
        <w:rPr>
          <w:sz w:val="20"/>
          <w:szCs w:val="20"/>
          <w:color w:val="auto"/>
        </w:rPr>
      </w:pPr>
      <w:r>
        <w:rPr>
          <w:rFonts w:ascii="Arial" w:cs="Arial" w:eastAsia="Arial" w:hAnsi="Arial"/>
          <w:sz w:val="22"/>
          <w:szCs w:val="22"/>
          <w:color w:val="auto"/>
        </w:rPr>
        <w:t>may consult with counsel and the written advice of such counsel or any Opinion of Counsel shall be full and complete authorization and protection from liability in respect of any action taken, suffered or omitted by it hereunder in good faith and in reliance thereon.</w:t>
      </w:r>
    </w:p>
    <w:p>
      <w:pPr>
        <w:spacing w:after="0" w:line="212" w:lineRule="exact"/>
        <w:rPr>
          <w:sz w:val="20"/>
          <w:szCs w:val="20"/>
          <w:color w:val="auto"/>
        </w:rPr>
      </w:pPr>
    </w:p>
    <w:p>
      <w:pPr>
        <w:ind w:firstLine="656"/>
        <w:spacing w:after="0" w:line="263" w:lineRule="auto"/>
        <w:tabs>
          <w:tab w:leader="none" w:pos="948"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Trustee may act through its attorneys and agents and shall not be responsible for the misconduct or negligence of any agent appointed with due care.</w:t>
      </w:r>
    </w:p>
    <w:p>
      <w:pPr>
        <w:spacing w:after="0" w:line="201" w:lineRule="exact"/>
        <w:rPr>
          <w:rFonts w:ascii="Arial" w:cs="Arial" w:eastAsia="Arial" w:hAnsi="Arial"/>
          <w:sz w:val="22"/>
          <w:szCs w:val="22"/>
          <w:color w:val="auto"/>
        </w:rPr>
      </w:pPr>
    </w:p>
    <w:p>
      <w:pPr>
        <w:ind w:firstLine="656"/>
        <w:spacing w:after="0" w:line="263" w:lineRule="auto"/>
        <w:tabs>
          <w:tab w:leader="none" w:pos="961"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Trustee shall not be liable for any action it takes or omits to take in good faith that it believes to be authorized or within the rights or powers conferred upon it by this Indenture.</w:t>
      </w:r>
    </w:p>
    <w:p>
      <w:pPr>
        <w:spacing w:after="0" w:line="201" w:lineRule="exact"/>
        <w:rPr>
          <w:rFonts w:ascii="Arial" w:cs="Arial" w:eastAsia="Arial" w:hAnsi="Arial"/>
          <w:sz w:val="22"/>
          <w:szCs w:val="22"/>
          <w:color w:val="auto"/>
        </w:rPr>
      </w:pPr>
    </w:p>
    <w:p>
      <w:pPr>
        <w:ind w:firstLine="656"/>
        <w:spacing w:after="0" w:line="263" w:lineRule="auto"/>
        <w:tabs>
          <w:tab w:leader="none" w:pos="969" w:val="left"/>
        </w:tabs>
        <w:numPr>
          <w:ilvl w:val="0"/>
          <w:numId w:val="137"/>
        </w:numPr>
        <w:rPr>
          <w:rFonts w:ascii="Arial" w:cs="Arial" w:eastAsia="Arial" w:hAnsi="Arial"/>
          <w:sz w:val="22"/>
          <w:szCs w:val="22"/>
          <w:color w:val="auto"/>
        </w:rPr>
      </w:pPr>
      <w:r>
        <w:rPr>
          <w:rFonts w:ascii="Arial" w:cs="Arial" w:eastAsia="Arial" w:hAnsi="Arial"/>
          <w:sz w:val="22"/>
          <w:szCs w:val="22"/>
          <w:color w:val="auto"/>
        </w:rPr>
        <w:t>Unless otherwise specifically provided in this Indenture, any demand, request, direction or notice from the Issuers shall be sufficient if signed by an Officer of either Issuer.</w:t>
      </w:r>
    </w:p>
    <w:p>
      <w:pPr>
        <w:spacing w:after="0" w:line="201" w:lineRule="exact"/>
        <w:rPr>
          <w:rFonts w:ascii="Arial" w:cs="Arial" w:eastAsia="Arial" w:hAnsi="Arial"/>
          <w:sz w:val="22"/>
          <w:szCs w:val="22"/>
          <w:color w:val="auto"/>
        </w:rPr>
      </w:pPr>
    </w:p>
    <w:p>
      <w:pPr>
        <w:ind w:left="920" w:hanging="264"/>
        <w:spacing w:after="0"/>
        <w:tabs>
          <w:tab w:leader="none" w:pos="92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[Reserved].</w:t>
      </w:r>
    </w:p>
    <w:p>
      <w:pPr>
        <w:spacing w:after="0" w:line="246" w:lineRule="exact"/>
        <w:rPr>
          <w:rFonts w:ascii="Arial" w:cs="Arial" w:eastAsia="Arial" w:hAnsi="Arial"/>
          <w:sz w:val="22"/>
          <w:szCs w:val="22"/>
          <w:color w:val="auto"/>
        </w:rPr>
      </w:pPr>
    </w:p>
    <w:p>
      <w:pPr>
        <w:ind w:right="20" w:firstLine="656"/>
        <w:spacing w:after="0" w:line="263" w:lineRule="auto"/>
        <w:tabs>
          <w:tab w:leader="none" w:pos="954" w:val="left"/>
        </w:tabs>
        <w:numPr>
          <w:ilvl w:val="0"/>
          <w:numId w:val="137"/>
        </w:numPr>
        <w:rPr>
          <w:rFonts w:ascii="Arial" w:cs="Arial" w:eastAsia="Arial" w:hAnsi="Arial"/>
          <w:sz w:val="22"/>
          <w:szCs w:val="22"/>
          <w:color w:val="auto"/>
        </w:rPr>
      </w:pPr>
      <w:r>
        <w:rPr>
          <w:rFonts w:ascii="Arial" w:cs="Arial" w:eastAsia="Arial" w:hAnsi="Arial"/>
          <w:sz w:val="22"/>
          <w:szCs w:val="22"/>
          <w:color w:val="auto"/>
        </w:rPr>
        <w:t>Except as expressly provided herein, the Trustee shall have no duty to inquire as to the performance of the Issuers with respect to the covenants contained in Articles 4 and 5 hereof.</w:t>
      </w:r>
    </w:p>
    <w:p>
      <w:pPr>
        <w:spacing w:after="0" w:line="201" w:lineRule="exact"/>
        <w:rPr>
          <w:rFonts w:ascii="Arial" w:cs="Arial" w:eastAsia="Arial" w:hAnsi="Arial"/>
          <w:sz w:val="22"/>
          <w:szCs w:val="22"/>
          <w:color w:val="auto"/>
        </w:rPr>
      </w:pPr>
    </w:p>
    <w:p>
      <w:pPr>
        <w:jc w:val="both"/>
        <w:ind w:firstLine="656"/>
        <w:spacing w:after="0" w:line="253" w:lineRule="auto"/>
        <w:tabs>
          <w:tab w:leader="none" w:pos="959"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Trustee shall not be deemed to have knowledge of an Event of Default except (i) any Default or Event of Default occurring pursuant to Sections 6.01(a) and (b) hereof or (ii) any Default or Event of Default of which the Trustee shall have received written notification or obtained actual knowledge thereof.</w:t>
      </w:r>
    </w:p>
    <w:p>
      <w:pPr>
        <w:spacing w:after="0" w:line="212" w:lineRule="exact"/>
        <w:rPr>
          <w:rFonts w:ascii="Arial" w:cs="Arial" w:eastAsia="Arial" w:hAnsi="Arial"/>
          <w:sz w:val="22"/>
          <w:szCs w:val="22"/>
          <w:color w:val="auto"/>
        </w:rPr>
      </w:pPr>
    </w:p>
    <w:p>
      <w:pPr>
        <w:jc w:val="both"/>
        <w:ind w:firstLine="656"/>
        <w:spacing w:after="0" w:line="302" w:lineRule="auto"/>
        <w:tabs>
          <w:tab w:leader="none" w:pos="918"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The Trustee may request that the Issuers deliver Officers’ Certificates setting forth the names of individuals and their titles and specimen signatures of officers authorized at such time to take specified actions pursuant to this Indenture, which Officers’ Certificates may be signed by any person authorized to sign an Officers’ Certificate, as the case may be, including any person specified as so authorized in any such certificate previously delivered and not superseded.</w:t>
      </w:r>
    </w:p>
    <w:p>
      <w:pPr>
        <w:spacing w:after="0" w:line="169" w:lineRule="exact"/>
        <w:rPr>
          <w:rFonts w:ascii="Arial" w:cs="Arial" w:eastAsia="Arial" w:hAnsi="Arial"/>
          <w:sz w:val="19"/>
          <w:szCs w:val="19"/>
          <w:color w:val="auto"/>
        </w:rPr>
      </w:pPr>
    </w:p>
    <w:p>
      <w:pPr>
        <w:ind w:left="920" w:hanging="264"/>
        <w:spacing w:after="0"/>
        <w:tabs>
          <w:tab w:leader="none" w:pos="92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Any permissive right granted to the Trustee shall not be construed as a mandatory duty.</w:t>
      </w:r>
    </w:p>
    <w:p>
      <w:pPr>
        <w:spacing w:after="0" w:line="246" w:lineRule="exact"/>
        <w:rPr>
          <w:rFonts w:ascii="Arial" w:cs="Arial" w:eastAsia="Arial" w:hAnsi="Arial"/>
          <w:sz w:val="22"/>
          <w:szCs w:val="22"/>
          <w:color w:val="auto"/>
        </w:rPr>
      </w:pPr>
    </w:p>
    <w:p>
      <w:pPr>
        <w:ind w:left="980" w:hanging="324"/>
        <w:spacing w:after="0"/>
        <w:tabs>
          <w:tab w:leader="none" w:pos="98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The Trustee shall not be required to give any bond or surety in respect of the performance of its powers and duties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hereunder.</w:t>
      </w:r>
    </w:p>
    <w:p>
      <w:pPr>
        <w:spacing w:after="0" w:line="228" w:lineRule="exact"/>
        <w:rPr>
          <w:rFonts w:ascii="Arial" w:cs="Arial" w:eastAsia="Arial" w:hAnsi="Arial"/>
          <w:sz w:val="19"/>
          <w:szCs w:val="19"/>
          <w:color w:val="auto"/>
        </w:rPr>
      </w:pPr>
    </w:p>
    <w:p>
      <w:pPr>
        <w:jc w:val="both"/>
        <w:ind w:firstLine="656"/>
        <w:spacing w:after="0" w:line="261" w:lineRule="auto"/>
        <w:tabs>
          <w:tab w:leader="none" w:pos="934" w:val="left"/>
        </w:tabs>
        <w:numPr>
          <w:ilvl w:val="0"/>
          <w:numId w:val="137"/>
        </w:numPr>
        <w:rPr>
          <w:rFonts w:ascii="Arial" w:cs="Arial" w:eastAsia="Arial" w:hAnsi="Arial"/>
          <w:sz w:val="21"/>
          <w:szCs w:val="21"/>
          <w:color w:val="auto"/>
        </w:rPr>
      </w:pPr>
      <w:r>
        <w:rPr>
          <w:rFonts w:ascii="Arial" w:cs="Arial" w:eastAsia="Arial" w:hAnsi="Arial"/>
          <w:sz w:val="21"/>
          <w:szCs w:val="21"/>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240"/>
          </w:cols>
          <w:pgMar w:left="320" w:top="1428" w:right="339" w:bottom="1440" w:gutter="0" w:footer="0" w:header="0"/>
        </w:sectPr>
      </w:pPr>
    </w:p>
    <w:bookmarkStart w:id="118" w:name="page119"/>
    <w:bookmarkEnd w:id="118"/>
    <w:p>
      <w:pPr>
        <w:jc w:val="both"/>
        <w:ind w:firstLine="656"/>
        <w:spacing w:after="0" w:line="253" w:lineRule="auto"/>
        <w:tabs>
          <w:tab w:leader="none" w:pos="1019" w:val="left"/>
        </w:tabs>
        <w:numPr>
          <w:ilvl w:val="0"/>
          <w:numId w:val="138"/>
        </w:numPr>
        <w:rPr>
          <w:rFonts w:ascii="Arial" w:cs="Arial" w:eastAsia="Arial" w:hAnsi="Arial"/>
          <w:sz w:val="22"/>
          <w:szCs w:val="22"/>
          <w:color w:val="auto"/>
        </w:rPr>
      </w:pPr>
      <w:r>
        <w:rPr>
          <w:rFonts w:ascii="Arial" w:cs="Arial" w:eastAsia="Arial" w:hAnsi="Arial"/>
          <w:sz w:val="22"/>
          <w:szCs w:val="22"/>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Section 7.03 Individual Rights of Trustee.</w:t>
      </w:r>
    </w:p>
    <w:p>
      <w:pPr>
        <w:spacing w:after="0" w:line="24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The Trustee, in its individual or any other capacity, may become the owner or pledgee of Notes and may otherwise deal with the Issuers or any Affiliate of the Issuers with the same rights it would have if it were not Trustee. However, in the event that the Trustee acquires any conflicting interest it must eliminate such conflict within 90 days or resign. Any Agent may do the same with like rights and duties. The Trustee is also subject to Sections 7.09 hereof.</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Section 7.04 Trustee’s Disclaimer.</w:t>
      </w:r>
    </w:p>
    <w:p>
      <w:pPr>
        <w:spacing w:after="0" w:line="24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Trustee shall not be responsible for and makes no representation as to the validity or adequacy of this Indenture or the Notes, it shall not be accountable for the Issuers’ use of the proceeds from the Notes or any money paid to the Issuers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Section 7.05 Notice of Defaults.</w:t>
      </w:r>
    </w:p>
    <w:p>
      <w:pPr>
        <w:spacing w:after="0" w:line="24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If a Default or Event of Default occurs and is continuing and if it is known to the Trustee, the Trustee shall deliver a notice of the Default or Event of Default to Holders within 90 days after it occurs. Except in the case of a Default or Event of Default in payment of principal of, premium, if any, or interest on, any Note, the Trustee may withhold the notice if and so long as a committee of its Responsible Officers in good faith determines that withholding the notice is in the interests of the Holders of the Notes.</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Section 7.06 Compensation and Indemnity.</w:t>
      </w:r>
    </w:p>
    <w:p>
      <w:pPr>
        <w:spacing w:after="0" w:line="247" w:lineRule="exact"/>
        <w:rPr>
          <w:sz w:val="20"/>
          <w:szCs w:val="20"/>
          <w:color w:val="auto"/>
        </w:rPr>
      </w:pPr>
    </w:p>
    <w:p>
      <w:pPr>
        <w:jc w:val="both"/>
        <w:ind w:firstLine="656"/>
        <w:spacing w:after="0" w:line="263" w:lineRule="auto"/>
        <w:tabs>
          <w:tab w:leader="none" w:pos="942" w:val="left"/>
        </w:tabs>
        <w:numPr>
          <w:ilvl w:val="0"/>
          <w:numId w:val="139"/>
        </w:numPr>
        <w:rPr>
          <w:rFonts w:ascii="Arial" w:cs="Arial" w:eastAsia="Arial" w:hAnsi="Arial"/>
          <w:sz w:val="21"/>
          <w:szCs w:val="21"/>
          <w:color w:val="auto"/>
        </w:rPr>
      </w:pPr>
      <w:r>
        <w:rPr>
          <w:rFonts w:ascii="Arial" w:cs="Arial" w:eastAsia="Arial" w:hAnsi="Arial"/>
          <w:sz w:val="21"/>
          <w:szCs w:val="21"/>
          <w:color w:val="auto"/>
        </w:rPr>
        <w:t>The Issuers shall pay to the Trustee from time to time reasonable compensation for its acceptance of this Indenture and services hereunder. The Trustee’s compensation shall not be limited by any law on compensation of a trustee of an express trust. The Issuers shall reimburse the Trustee promptly upon request for all reasonable disbursements, advances and expenses incurred or made by it in addition to the compensation for its services. Such expenses shall include the reasonable compensation, disbursements and expenses of the Trustee’s agents and counsel.</w:t>
      </w:r>
    </w:p>
    <w:p>
      <w:pPr>
        <w:spacing w:after="0" w:line="202" w:lineRule="exact"/>
        <w:rPr>
          <w:rFonts w:ascii="Arial" w:cs="Arial" w:eastAsia="Arial" w:hAnsi="Arial"/>
          <w:sz w:val="21"/>
          <w:szCs w:val="21"/>
          <w:color w:val="auto"/>
        </w:rPr>
      </w:pPr>
    </w:p>
    <w:p>
      <w:pPr>
        <w:jc w:val="both"/>
        <w:ind w:firstLine="656"/>
        <w:spacing w:after="0" w:line="253" w:lineRule="auto"/>
        <w:tabs>
          <w:tab w:leader="none" w:pos="964"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Issuers and the Guarantors shall indemnify the Trustee against any and all losses, liabilities or expenses incurred by it arising out of or in connection with the acceptance or administration of its duties under this Indenture, including the costs and expenses of enforcing</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240"/>
          </w:cols>
          <w:pgMar w:left="320" w:top="1428" w:right="339" w:bottom="1440" w:gutter="0" w:footer="0" w:header="0"/>
        </w:sectPr>
      </w:pPr>
    </w:p>
    <w:bookmarkStart w:id="119" w:name="page120"/>
    <w:bookmarkEnd w:id="119"/>
    <w:p>
      <w:pPr>
        <w:jc w:val="both"/>
        <w:spacing w:after="0" w:line="259" w:lineRule="auto"/>
        <w:rPr>
          <w:sz w:val="20"/>
          <w:szCs w:val="20"/>
          <w:color w:val="auto"/>
        </w:rPr>
      </w:pPr>
      <w:r>
        <w:rPr>
          <w:rFonts w:ascii="Arial" w:cs="Arial" w:eastAsia="Arial" w:hAnsi="Arial"/>
          <w:sz w:val="21"/>
          <w:szCs w:val="21"/>
          <w:color w:val="auto"/>
        </w:rPr>
        <w:t>this Indenture against the Issuers and the Guarantors (including this Section 7.06) and defending itself against any claim (whether asserted by the Issuers, the Guarantors or any Holder or any other Person) or liability in connection with the exercise or performance of any of its powers or duties hereunder or thereunder, respectively, except to the extent any such loss, liability or expense may be attributable to its negligence or willful misconduct. The Trustee shall notify the Issuers promptly of any claim for which it may seek indemnity. Failure by the Trustee to so notify the Issuers shall not relieve the Issuers or any of the Guarantors of their obligations hereunder. The Issuers or such Guarantor shall defend the claim and the Trustee shall cooperate in the defense. The Trustee may have separate counsel and the Issuers shall pay the reasonable fees and expenses of such counsel. Neither the Issuers nor any Guarantor need pay for any settlement made without its consent, which consent shall not be unreasonably withheld.</w:t>
      </w:r>
    </w:p>
    <w:p>
      <w:pPr>
        <w:spacing w:after="0" w:line="206" w:lineRule="exact"/>
        <w:rPr>
          <w:sz w:val="20"/>
          <w:szCs w:val="20"/>
          <w:color w:val="auto"/>
        </w:rPr>
      </w:pPr>
    </w:p>
    <w:p>
      <w:pPr>
        <w:ind w:firstLine="656"/>
        <w:spacing w:after="0" w:line="263" w:lineRule="auto"/>
        <w:tabs>
          <w:tab w:leader="none" w:pos="942"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obligations of the Issuers and the Guarantors under this Section 7.06 shall survive the satisfaction and discharge of this Indenture, and the resignation or removal of the Trustee.</w:t>
      </w:r>
    </w:p>
    <w:p>
      <w:pPr>
        <w:spacing w:after="0" w:line="201" w:lineRule="exact"/>
        <w:rPr>
          <w:rFonts w:ascii="Arial" w:cs="Arial" w:eastAsia="Arial" w:hAnsi="Arial"/>
          <w:sz w:val="22"/>
          <w:szCs w:val="22"/>
          <w:color w:val="auto"/>
        </w:rPr>
      </w:pPr>
    </w:p>
    <w:p>
      <w:pPr>
        <w:jc w:val="both"/>
        <w:ind w:firstLine="656"/>
        <w:spacing w:after="0" w:line="271" w:lineRule="auto"/>
        <w:tabs>
          <w:tab w:leader="none" w:pos="955" w:val="left"/>
        </w:tabs>
        <w:numPr>
          <w:ilvl w:val="0"/>
          <w:numId w:val="140"/>
        </w:numPr>
        <w:rPr>
          <w:rFonts w:ascii="Arial" w:cs="Arial" w:eastAsia="Arial" w:hAnsi="Arial"/>
          <w:sz w:val="21"/>
          <w:szCs w:val="21"/>
          <w:color w:val="auto"/>
        </w:rPr>
      </w:pPr>
      <w:r>
        <w:rPr>
          <w:rFonts w:ascii="Arial" w:cs="Arial" w:eastAsia="Arial" w:hAnsi="Arial"/>
          <w:sz w:val="21"/>
          <w:szCs w:val="21"/>
          <w:color w:val="auto"/>
        </w:rPr>
        <w:t>To secure the Issuers’ and the Guarantors’ payment obligations in this Section 7.06, the Trustee shall have a Lien prior to the Notes on all money or property held or collected by the Trustee, except that held in trust to pay principal and interest on particular Notes. Such Lien shall survive the satisfaction and discharge of this Indenture.</w:t>
      </w:r>
    </w:p>
    <w:p>
      <w:pPr>
        <w:spacing w:after="0" w:line="194" w:lineRule="exact"/>
        <w:rPr>
          <w:rFonts w:ascii="Arial" w:cs="Arial" w:eastAsia="Arial" w:hAnsi="Arial"/>
          <w:sz w:val="21"/>
          <w:szCs w:val="21"/>
          <w:color w:val="auto"/>
        </w:rPr>
      </w:pPr>
    </w:p>
    <w:p>
      <w:pPr>
        <w:jc w:val="both"/>
        <w:ind w:firstLine="656"/>
        <w:spacing w:after="0" w:line="253" w:lineRule="auto"/>
        <w:tabs>
          <w:tab w:leader="none" w:pos="967" w:val="left"/>
        </w:tabs>
        <w:numPr>
          <w:ilvl w:val="0"/>
          <w:numId w:val="140"/>
        </w:numPr>
        <w:rPr>
          <w:rFonts w:ascii="Arial" w:cs="Arial" w:eastAsia="Arial" w:hAnsi="Arial"/>
          <w:sz w:val="22"/>
          <w:szCs w:val="22"/>
          <w:color w:val="auto"/>
        </w:rPr>
      </w:pPr>
      <w:r>
        <w:rPr>
          <w:rFonts w:ascii="Arial" w:cs="Arial" w:eastAsia="Arial" w:hAnsi="Arial"/>
          <w:sz w:val="22"/>
          <w:szCs w:val="22"/>
          <w:color w:val="auto"/>
        </w:rPr>
        <w:t>When the Trustee incurs expenses or renders services after an Event of Default specified in Section 6.01(g) or (h) hereof occurs, the expenses and the compensation for the services (including the fees and expenses of its agents and counsel) are intended to constitute expenses of administration under any Bankruptcy Law.</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Section 7.07 Replacement of Trustee.</w:t>
      </w:r>
    </w:p>
    <w:p>
      <w:pPr>
        <w:spacing w:after="0" w:line="247" w:lineRule="exact"/>
        <w:rPr>
          <w:sz w:val="20"/>
          <w:szCs w:val="20"/>
          <w:color w:val="auto"/>
        </w:rPr>
      </w:pPr>
    </w:p>
    <w:p>
      <w:pPr>
        <w:ind w:firstLine="656"/>
        <w:spacing w:after="0" w:line="263" w:lineRule="auto"/>
        <w:tabs>
          <w:tab w:leader="none" w:pos="951" w:val="left"/>
        </w:tabs>
        <w:numPr>
          <w:ilvl w:val="0"/>
          <w:numId w:val="141"/>
        </w:numPr>
        <w:rPr>
          <w:rFonts w:ascii="Arial" w:cs="Arial" w:eastAsia="Arial" w:hAnsi="Arial"/>
          <w:sz w:val="22"/>
          <w:szCs w:val="22"/>
          <w:color w:val="auto"/>
        </w:rPr>
      </w:pPr>
      <w:r>
        <w:rPr>
          <w:rFonts w:ascii="Arial" w:cs="Arial" w:eastAsia="Arial" w:hAnsi="Arial"/>
          <w:sz w:val="22"/>
          <w:szCs w:val="22"/>
          <w:color w:val="auto"/>
        </w:rPr>
        <w:t>A resignation or removal of the Trustee and appointment of a successor Trustee shall become effective only upon the successor Trustee’s acceptance of appointment as provided in this Section 7.07.</w:t>
      </w:r>
    </w:p>
    <w:p>
      <w:pPr>
        <w:spacing w:after="0" w:line="201" w:lineRule="exact"/>
        <w:rPr>
          <w:rFonts w:ascii="Arial" w:cs="Arial" w:eastAsia="Arial" w:hAnsi="Arial"/>
          <w:sz w:val="22"/>
          <w:szCs w:val="22"/>
          <w:color w:val="auto"/>
        </w:rPr>
      </w:pPr>
    </w:p>
    <w:p>
      <w:pPr>
        <w:jc w:val="both"/>
        <w:ind w:firstLine="656"/>
        <w:spacing w:after="0" w:line="253" w:lineRule="auto"/>
        <w:tabs>
          <w:tab w:leader="none" w:pos="977"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The Trustee may resign in writing at any time and be discharged from the trust hereby created by so notifying the Issuers in writing. The Holders of a majority in principal amount of the then outstanding Notes may remove the Trustee by so notifying the Trustee and the Issuers in writing. The Issuers may remove the Trustee if:</w:t>
      </w:r>
    </w:p>
    <w:p>
      <w:pPr>
        <w:spacing w:after="0" w:line="212" w:lineRule="exact"/>
        <w:rPr>
          <w:sz w:val="20"/>
          <w:szCs w:val="20"/>
          <w:color w:val="auto"/>
        </w:rPr>
      </w:pPr>
    </w:p>
    <w:p>
      <w:pPr>
        <w:ind w:left="960" w:hanging="304"/>
        <w:spacing w:after="0"/>
        <w:tabs>
          <w:tab w:leader="none" w:pos="96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Trustee fails to comply with Section 7.09 hereof;</w:t>
      </w:r>
    </w:p>
    <w:p>
      <w:pPr>
        <w:spacing w:after="0" w:line="246" w:lineRule="exact"/>
        <w:rPr>
          <w:rFonts w:ascii="Arial" w:cs="Arial" w:eastAsia="Arial" w:hAnsi="Arial"/>
          <w:sz w:val="22"/>
          <w:szCs w:val="22"/>
          <w:color w:val="auto"/>
        </w:rPr>
      </w:pPr>
    </w:p>
    <w:p>
      <w:pPr>
        <w:ind w:right="20" w:firstLine="656"/>
        <w:spacing w:after="0" w:line="263" w:lineRule="auto"/>
        <w:tabs>
          <w:tab w:leader="none" w:pos="954"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Trustee is adjudged a bankrupt or an insolvent or an order for relief is entered with respect to the Trustee under any Bankruptcy Law;</w:t>
      </w:r>
    </w:p>
    <w:p>
      <w:pPr>
        <w:spacing w:after="0" w:line="201" w:lineRule="exact"/>
        <w:rPr>
          <w:rFonts w:ascii="Arial" w:cs="Arial" w:eastAsia="Arial" w:hAnsi="Arial"/>
          <w:sz w:val="22"/>
          <w:szCs w:val="22"/>
          <w:color w:val="auto"/>
        </w:rPr>
      </w:pPr>
    </w:p>
    <w:p>
      <w:pPr>
        <w:ind w:left="960" w:hanging="304"/>
        <w:spacing w:after="0"/>
        <w:tabs>
          <w:tab w:leader="none" w:pos="96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a custodian or public officer takes charge of the Trustee or its property; or</w:t>
      </w:r>
    </w:p>
    <w:p>
      <w:pPr>
        <w:spacing w:after="0" w:line="246" w:lineRule="exact"/>
        <w:rPr>
          <w:rFonts w:ascii="Arial" w:cs="Arial" w:eastAsia="Arial" w:hAnsi="Arial"/>
          <w:sz w:val="22"/>
          <w:szCs w:val="22"/>
          <w:color w:val="auto"/>
        </w:rPr>
      </w:pPr>
    </w:p>
    <w:p>
      <w:pPr>
        <w:ind w:left="960" w:hanging="304"/>
        <w:spacing w:after="0"/>
        <w:tabs>
          <w:tab w:leader="none" w:pos="96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Trustee becomes incapable of acting.</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240"/>
          </w:cols>
          <w:pgMar w:left="320" w:top="1428" w:right="339" w:bottom="1440" w:gutter="0" w:footer="0" w:header="0"/>
        </w:sectPr>
      </w:pPr>
    </w:p>
    <w:bookmarkStart w:id="120" w:name="page121"/>
    <w:bookmarkEnd w:id="120"/>
    <w:p>
      <w:pPr>
        <w:jc w:val="both"/>
        <w:ind w:firstLine="656"/>
        <w:spacing w:after="0" w:line="250" w:lineRule="auto"/>
        <w:tabs>
          <w:tab w:leader="none" w:pos="965" w:val="left"/>
        </w:tabs>
        <w:numPr>
          <w:ilvl w:val="0"/>
          <w:numId w:val="143"/>
        </w:numPr>
        <w:rPr>
          <w:rFonts w:ascii="Arial" w:cs="Arial" w:eastAsia="Arial" w:hAnsi="Arial"/>
          <w:sz w:val="22"/>
          <w:szCs w:val="22"/>
          <w:color w:val="auto"/>
        </w:rPr>
      </w:pPr>
      <w:r>
        <w:rPr>
          <w:rFonts w:ascii="Arial" w:cs="Arial" w:eastAsia="Arial" w:hAnsi="Arial"/>
          <w:sz w:val="22"/>
          <w:szCs w:val="22"/>
          <w:color w:val="auto"/>
        </w:rPr>
        <w:t>If the Trustee resigns or is removed or if a vacancy exists in the office of Trustee for any reason, the Issuers shall promptly appoint a successor Trustee. Within one year after the successor Trustee takes office, the Holders of a majority in principal amount of the then outstanding Notes may appoint a successor Trustee to replace the successor Trustee appointed by the Issuers.</w:t>
      </w:r>
    </w:p>
    <w:p>
      <w:pPr>
        <w:spacing w:after="0" w:line="214" w:lineRule="exact"/>
        <w:rPr>
          <w:rFonts w:ascii="Arial" w:cs="Arial" w:eastAsia="Arial" w:hAnsi="Arial"/>
          <w:sz w:val="22"/>
          <w:szCs w:val="22"/>
          <w:color w:val="auto"/>
        </w:rPr>
      </w:pPr>
    </w:p>
    <w:p>
      <w:pPr>
        <w:jc w:val="both"/>
        <w:ind w:firstLine="656"/>
        <w:spacing w:after="0" w:line="253" w:lineRule="auto"/>
        <w:tabs>
          <w:tab w:leader="none" w:pos="964" w:val="left"/>
        </w:tabs>
        <w:numPr>
          <w:ilvl w:val="0"/>
          <w:numId w:val="143"/>
        </w:numPr>
        <w:rPr>
          <w:rFonts w:ascii="Arial" w:cs="Arial" w:eastAsia="Arial" w:hAnsi="Arial"/>
          <w:sz w:val="22"/>
          <w:szCs w:val="22"/>
          <w:color w:val="auto"/>
        </w:rPr>
      </w:pPr>
      <w:r>
        <w:rPr>
          <w:rFonts w:ascii="Arial" w:cs="Arial" w:eastAsia="Arial" w:hAnsi="Arial"/>
          <w:sz w:val="22"/>
          <w:szCs w:val="22"/>
          <w:color w:val="auto"/>
        </w:rPr>
        <w:t>If a successor Trustee does not take office within 60 days after the retiring Trustee resigns or is removed, the retiring Trustee, the Issuers, or the Holders of at least 10% in principal amount of the then outstanding Notes may petition any court of competent jurisdiction for the appointment of a successor Trustee.</w:t>
      </w:r>
    </w:p>
    <w:p>
      <w:pPr>
        <w:spacing w:after="0" w:line="212" w:lineRule="exact"/>
        <w:rPr>
          <w:rFonts w:ascii="Arial" w:cs="Arial" w:eastAsia="Arial" w:hAnsi="Arial"/>
          <w:sz w:val="22"/>
          <w:szCs w:val="22"/>
          <w:color w:val="auto"/>
        </w:rPr>
      </w:pPr>
    </w:p>
    <w:p>
      <w:pPr>
        <w:jc w:val="both"/>
        <w:ind w:firstLine="656"/>
        <w:spacing w:after="0" w:line="253" w:lineRule="auto"/>
        <w:tabs>
          <w:tab w:leader="none" w:pos="948" w:val="left"/>
        </w:tabs>
        <w:numPr>
          <w:ilvl w:val="0"/>
          <w:numId w:val="143"/>
        </w:numPr>
        <w:rPr>
          <w:rFonts w:ascii="Arial" w:cs="Arial" w:eastAsia="Arial" w:hAnsi="Arial"/>
          <w:sz w:val="22"/>
          <w:szCs w:val="22"/>
          <w:color w:val="auto"/>
        </w:rPr>
      </w:pPr>
      <w:r>
        <w:rPr>
          <w:rFonts w:ascii="Arial" w:cs="Arial" w:eastAsia="Arial" w:hAnsi="Arial"/>
          <w:sz w:val="22"/>
          <w:szCs w:val="22"/>
          <w:color w:val="auto"/>
        </w:rPr>
        <w:t>If the Trustee, after written request by any Holder who has been a Holder for at least six months, fails to comply with Section 7.09, such Holder may petition any court of competent jurisdiction for the removal of the Trustee and the appointment of a successor Trustee.</w:t>
      </w:r>
    </w:p>
    <w:p>
      <w:pPr>
        <w:spacing w:after="0" w:line="212" w:lineRule="exact"/>
        <w:rPr>
          <w:rFonts w:ascii="Arial" w:cs="Arial" w:eastAsia="Arial" w:hAnsi="Arial"/>
          <w:sz w:val="22"/>
          <w:szCs w:val="22"/>
          <w:color w:val="auto"/>
        </w:rPr>
      </w:pPr>
    </w:p>
    <w:p>
      <w:pPr>
        <w:jc w:val="both"/>
        <w:ind w:firstLine="656"/>
        <w:spacing w:after="0" w:line="246" w:lineRule="auto"/>
        <w:tabs>
          <w:tab w:leader="none" w:pos="943" w:val="left"/>
        </w:tabs>
        <w:numPr>
          <w:ilvl w:val="0"/>
          <w:numId w:val="143"/>
        </w:numPr>
        <w:rPr>
          <w:rFonts w:ascii="Arial" w:cs="Arial" w:eastAsia="Arial" w:hAnsi="Arial"/>
          <w:sz w:val="22"/>
          <w:szCs w:val="22"/>
          <w:color w:val="auto"/>
        </w:rPr>
      </w:pPr>
      <w:r>
        <w:rPr>
          <w:rFonts w:ascii="Arial" w:cs="Arial" w:eastAsia="Arial" w:hAnsi="Arial"/>
          <w:sz w:val="22"/>
          <w:szCs w:val="22"/>
          <w:color w:val="auto"/>
        </w:rPr>
        <w:t>A successor Trustee shall deliver a written acceptance of its appointment to the retiring Trustee and to the Issuers. Thereupon, the resignation or removal of the retiring Trustee shall become effective, and the successor Trustee shall have all the rights, powers and duties of the Trustee under this Indenture. The successor Trustee shall deliver a notice of its succession to Holders. The retiring Trustee shall promptly transfer all property held by it as Trustee to the successor Trustee, provided all sums owing to the Trustee hereunder have been paid and subject to the Lien provided for in Section 7.06 hereof. Notwithstanding replacement of the Trustee pursuant to this Section 7.07, the Issuers’ obligations under Section 7.06 hereof shall continue for the benefit of the retiring Trustee.</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Section 7.08 Successor Trustee by Merger, etc.</w:t>
      </w:r>
    </w:p>
    <w:p>
      <w:pPr>
        <w:spacing w:after="0" w:line="247"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If the Trustee consolidates, merges or converts into, or transfers all or substantially all of its corporate trust business to, another corporation, the successor corporation without any further act shall be the successor Trustee.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Section 7.09 Eligibility; Disqualification; Conflicting Interests.</w:t>
      </w:r>
    </w:p>
    <w:p>
      <w:pPr>
        <w:spacing w:after="0" w:line="247" w:lineRule="exact"/>
        <w:rPr>
          <w:sz w:val="20"/>
          <w:szCs w:val="20"/>
          <w:color w:val="auto"/>
        </w:rPr>
      </w:pPr>
    </w:p>
    <w:p>
      <w:pPr>
        <w:jc w:val="both"/>
        <w:ind w:firstLine="656"/>
        <w:spacing w:after="0" w:line="265" w:lineRule="auto"/>
        <w:tabs>
          <w:tab w:leader="none" w:pos="944" w:val="left"/>
        </w:tabs>
        <w:numPr>
          <w:ilvl w:val="0"/>
          <w:numId w:val="144"/>
        </w:numPr>
        <w:rPr>
          <w:rFonts w:ascii="Arial" w:cs="Arial" w:eastAsia="Arial" w:hAnsi="Arial"/>
          <w:sz w:val="21"/>
          <w:szCs w:val="21"/>
          <w:color w:val="auto"/>
        </w:rPr>
      </w:pPr>
      <w:r>
        <w:rPr>
          <w:rFonts w:ascii="Arial" w:cs="Arial" w:eastAsia="Arial" w:hAnsi="Arial"/>
          <w:sz w:val="21"/>
          <w:szCs w:val="21"/>
          <w:color w:val="auto"/>
        </w:rPr>
        <w:t>There shall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 million as set forth in its most recent published annual report of condition.</w:t>
      </w:r>
    </w:p>
    <w:p>
      <w:pPr>
        <w:spacing w:after="0" w:line="202" w:lineRule="exact"/>
        <w:rPr>
          <w:rFonts w:ascii="Arial" w:cs="Arial" w:eastAsia="Arial" w:hAnsi="Arial"/>
          <w:sz w:val="21"/>
          <w:szCs w:val="21"/>
          <w:color w:val="auto"/>
        </w:rPr>
      </w:pPr>
    </w:p>
    <w:p>
      <w:pPr>
        <w:jc w:val="both"/>
        <w:ind w:firstLine="656"/>
        <w:spacing w:after="0" w:line="253" w:lineRule="auto"/>
        <w:tabs>
          <w:tab w:leader="none" w:pos="996" w:val="left"/>
        </w:tabs>
        <w:numPr>
          <w:ilvl w:val="0"/>
          <w:numId w:val="144"/>
        </w:numPr>
        <w:rPr>
          <w:rFonts w:ascii="Arial" w:cs="Arial" w:eastAsia="Arial" w:hAnsi="Arial"/>
          <w:sz w:val="22"/>
          <w:szCs w:val="22"/>
          <w:color w:val="auto"/>
        </w:rPr>
      </w:pPr>
      <w:r>
        <w:rPr>
          <w:rFonts w:ascii="Arial" w:cs="Arial" w:eastAsia="Arial" w:hAnsi="Arial"/>
          <w:sz w:val="22"/>
          <w:szCs w:val="22"/>
          <w:color w:val="auto"/>
        </w:rPr>
        <w:t>If the Trustee has or shall acquire any “conflicting interest” within the meaning of Section 310(b) of the Trust Indenture Act, the Trustee and the Issuers shall in all respects comply with the provisions of Section 310(b) of the Trust Indenture Act.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Section 7.10 Preferential Collection of Claims Against the Issuers.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240"/>
          </w:cols>
          <w:pgMar w:left="320" w:top="1428" w:right="339" w:bottom="1440" w:gutter="0" w:footer="0" w:header="0"/>
        </w:sectPr>
      </w:pPr>
    </w:p>
    <w:bookmarkStart w:id="121" w:name="page122"/>
    <w:bookmarkEnd w:id="121"/>
    <w:p>
      <w:pPr>
        <w:jc w:val="both"/>
        <w:ind w:firstLine="648"/>
        <w:spacing w:after="0" w:line="253" w:lineRule="auto"/>
        <w:rPr>
          <w:sz w:val="20"/>
          <w:szCs w:val="20"/>
          <w:color w:val="auto"/>
        </w:rPr>
      </w:pPr>
      <w:r>
        <w:rPr>
          <w:rFonts w:ascii="Arial" w:cs="Arial" w:eastAsia="Arial" w:hAnsi="Arial"/>
          <w:sz w:val="22"/>
          <w:szCs w:val="22"/>
          <w:color w:val="auto"/>
        </w:rPr>
        <w:t>The Trustee shall comply with Section 311(a) of the Trust Indenture Act, excluding any creditor relationship described in Section 311(b) of the Trust Indenture Act. A Trustee who has resigned or been removed shall continue to be subject to Section 311(a) of the Trust Indenture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LEGAL DEFEASANCE AND COVENANT DEFEASANCE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Section 8.01 Option to Effect Legal Defeasance or Covenant Defeasance.</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Issuers may, at the option of their respective Boards of Directors evidenced by a resolution set forth in an Officers’ Certificate of each Issuer, at any time, elect to have either Section 8.02 or 8.03 hereof be applied to all outstanding Notes upon compliance with the conditions set forth below in this Article 8.</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Section 8.02 Legal Defeasance and Discharge.</w:t>
      </w:r>
    </w:p>
    <w:p>
      <w:pPr>
        <w:spacing w:after="0" w:line="24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Upon the Issuers’ exercise under Section 8.01 hereof of the option applicable to this Section 8.02, the Issuers shall, subject to the satisfaction of the conditions set forth in Section 8.04 hereof, be deemed to have been discharged from their obligations with respect to all outstanding Notes, each of the Guarantors shall be deemed to be discharged from their obligations with respect to their Note Guarantees on the date the conditions set forth below are satisfied (hereinafter, “Legal Defeasance”). For this purpose, Legal Defeasance means that the Issuers and each of the Guarantors shall be deemed to have paid and discharged the entire Indebtedness represented by the outstanding Notes (including the Note Guarantees), which shall thereafter be deemed to be “outstanding” only for the purposes of Section 8.05 hereof and the other Sections of this Indenture referred to in Sections 8.02(a) and (b) below, and to have satisfied all their other obligations under such Notes, the Note Guarantees, and this Indenture (and the Trustee, on demand of and at the expense of the Issuers, shall execute proper instruments acknowledging the same), except for the following provisions which shall survive until otherwise terminated or discharged hereunder:</w:t>
      </w:r>
    </w:p>
    <w:p>
      <w:pPr>
        <w:spacing w:after="0" w:line="186" w:lineRule="exact"/>
        <w:rPr>
          <w:sz w:val="20"/>
          <w:szCs w:val="20"/>
          <w:color w:val="auto"/>
        </w:rPr>
      </w:pPr>
    </w:p>
    <w:p>
      <w:pPr>
        <w:ind w:right="20" w:firstLine="656"/>
        <w:spacing w:after="0" w:line="263" w:lineRule="auto"/>
        <w:tabs>
          <w:tab w:leader="none" w:pos="946" w:val="left"/>
        </w:tabs>
        <w:numPr>
          <w:ilvl w:val="0"/>
          <w:numId w:val="145"/>
        </w:numPr>
        <w:rPr>
          <w:rFonts w:ascii="Arial" w:cs="Arial" w:eastAsia="Arial" w:hAnsi="Arial"/>
          <w:sz w:val="22"/>
          <w:szCs w:val="22"/>
          <w:color w:val="auto"/>
        </w:rPr>
      </w:pPr>
      <w:r>
        <w:rPr>
          <w:rFonts w:ascii="Arial" w:cs="Arial" w:eastAsia="Arial" w:hAnsi="Arial"/>
          <w:sz w:val="22"/>
          <w:szCs w:val="22"/>
          <w:color w:val="auto"/>
        </w:rPr>
        <w:t>the rights of Holders of outstanding Notes to receive payments in respect of the principal of, or interest or premium, if any, on such Notes when such payments are due from the trust referred to in Section 8.04 hereof;</w:t>
      </w:r>
    </w:p>
    <w:p>
      <w:pPr>
        <w:spacing w:after="0" w:line="201" w:lineRule="exact"/>
        <w:rPr>
          <w:rFonts w:ascii="Arial" w:cs="Arial" w:eastAsia="Arial" w:hAnsi="Arial"/>
          <w:sz w:val="22"/>
          <w:szCs w:val="22"/>
          <w:color w:val="auto"/>
        </w:rPr>
      </w:pPr>
    </w:p>
    <w:p>
      <w:pPr>
        <w:ind w:left="960" w:hanging="304"/>
        <w:spacing w:after="0"/>
        <w:tabs>
          <w:tab w:leader="none" w:pos="96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the Issuers’ obligations with respect to such Notes under Article 2 and Section 4.02 hereof;</w:t>
      </w:r>
    </w:p>
    <w:p>
      <w:pPr>
        <w:spacing w:after="0" w:line="246" w:lineRule="exact"/>
        <w:rPr>
          <w:rFonts w:ascii="Arial" w:cs="Arial" w:eastAsia="Arial" w:hAnsi="Arial"/>
          <w:sz w:val="22"/>
          <w:szCs w:val="22"/>
          <w:color w:val="auto"/>
        </w:rPr>
      </w:pPr>
    </w:p>
    <w:p>
      <w:pPr>
        <w:ind w:firstLine="656"/>
        <w:spacing w:after="0" w:line="263" w:lineRule="auto"/>
        <w:tabs>
          <w:tab w:leader="none" w:pos="989" w:val="left"/>
        </w:tabs>
        <w:numPr>
          <w:ilvl w:val="0"/>
          <w:numId w:val="145"/>
        </w:numPr>
        <w:rPr>
          <w:rFonts w:ascii="Arial" w:cs="Arial" w:eastAsia="Arial" w:hAnsi="Arial"/>
          <w:sz w:val="22"/>
          <w:szCs w:val="22"/>
          <w:color w:val="auto"/>
        </w:rPr>
      </w:pPr>
      <w:r>
        <w:rPr>
          <w:rFonts w:ascii="Arial" w:cs="Arial" w:eastAsia="Arial" w:hAnsi="Arial"/>
          <w:sz w:val="22"/>
          <w:szCs w:val="22"/>
          <w:color w:val="auto"/>
        </w:rPr>
        <w:t>the rights, powers, trusts, duties and immunities of the Trustee hereunder and the Issuers’ and the Guarantors’ obligations in connection therewith; and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240"/>
          </w:cols>
          <w:pgMar w:left="320" w:top="1428" w:right="339" w:bottom="1440" w:gutter="0" w:footer="0" w:header="0"/>
        </w:sectPr>
      </w:pPr>
    </w:p>
    <w:bookmarkStart w:id="122" w:name="page123"/>
    <w:bookmarkEnd w:id="122"/>
    <w:p>
      <w:pPr>
        <w:ind w:right="20" w:firstLine="656"/>
        <w:spacing w:after="0" w:line="263" w:lineRule="auto"/>
        <w:tabs>
          <w:tab w:leader="none" w:pos="963" w:val="left"/>
        </w:tabs>
        <w:numPr>
          <w:ilvl w:val="0"/>
          <w:numId w:val="146"/>
        </w:numPr>
        <w:rPr>
          <w:rFonts w:ascii="Arial" w:cs="Arial" w:eastAsia="Arial" w:hAnsi="Arial"/>
          <w:sz w:val="22"/>
          <w:szCs w:val="22"/>
          <w:color w:val="auto"/>
        </w:rPr>
      </w:pPr>
      <w:r>
        <w:rPr>
          <w:rFonts w:ascii="Arial" w:cs="Arial" w:eastAsia="Arial" w:hAnsi="Arial"/>
          <w:sz w:val="22"/>
          <w:szCs w:val="22"/>
          <w:color w:val="auto"/>
        </w:rPr>
        <w:t>this Article 8. Subject to compliance with this Article 8, the Issuers may exercise their option under this Section 8.02 notwithstanding the prior exercise of its option under Section 8.03 hereof.</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Section 8.03 Covenant Defeasance.</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Upon the Issuers’ exercise under Section 8.01 hereof of the option applicable to this Section 8.03, the Issuers and any</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Guarantors shall, subject to the satisfaction of the conditions set forth in Section 8.04 hereof, be released from each of their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obligations under the covenants contained in Sections 4.07, 4.08, 4.10 and 4.11 hereof with respect to the outstanding Notes on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and after the date the conditions set forth in Section 8.04 hereof are satisfied (hereinafter, “Covenant Defeasance”), and the Notes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shall thereafter be deemed not “outstanding” for the purposes of any direction, waiver, consent or declaration or act of Holders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(and the consequences of any thereof) in connection with such covenants, but shall continue to be deemed “outstanding” for all</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other purposes hereunder (it being understood that such Notes shall not be deemed outstanding for accounting purposes). For this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purpose, Covenant Defeasance means that, with respect to the outstanding Notes and Note Guarantees, the Issuers and each of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Guarantors released may omit to comply with and shall have no liability in respect of any term, condition or limitation set forth in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any such covenant, whether directly or indirectly, by reason of any reference elsewhere herein to any such covenant or by reason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of any reference in any such covenant to any other provision herein or in any other document and such omission to comply shall</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not constitute a Default or an Event of Default under Section 6.01 hereof, but, except as specified above, the remainder of this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Indenture and such Notes and Note Guarantees shall be unaffected thereby. In addition, upon the Issuers’ exercise under Section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8.01 hereof of the option applicable to this Section 8.03 hereof, subject to the satisfaction of the conditions set forth in Section</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8.04 hereof, Sections 6.01(c) through 6.01(g) hereof shall not constitute Events of Default.</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Section 8.04 Conditions to Legal or Covenant Defeasance.</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order to exercise either Legal Defeasance or Covenant Defeasance under either Section 8.02 or 8.03 hereof:</w:t>
      </w:r>
    </w:p>
    <w:p>
      <w:pPr>
        <w:spacing w:after="0" w:line="258" w:lineRule="exact"/>
        <w:rPr>
          <w:sz w:val="20"/>
          <w:szCs w:val="20"/>
          <w:color w:val="auto"/>
        </w:rPr>
      </w:pPr>
    </w:p>
    <w:p>
      <w:pPr>
        <w:jc w:val="both"/>
        <w:ind w:firstLine="656"/>
        <w:spacing w:after="0" w:line="247" w:lineRule="auto"/>
        <w:tabs>
          <w:tab w:leader="none" w:pos="946"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Issuers must irrevocably deposit with the Trustee, in trust, for the benefit of the Holders, cash in U.S. dollars, non-callable Government Securities, or a combination of cash in U.S. dollars and non-callable Government Securities, in amounts as shall be sufficient, in the opinion of a nationally recognized investment bank, appraisal firm, or firm of independent public accountants, to pay the principal of, or interest and premium, if any, on the outstanding Notes on the stated maturity or on the applicable redemption date, as the case may be, and the Issuers must specify whether the Notes are being defeased to maturity or to a particular redemption date;</w:t>
      </w:r>
    </w:p>
    <w:p>
      <w:pPr>
        <w:spacing w:after="0" w:line="219" w:lineRule="exact"/>
        <w:rPr>
          <w:rFonts w:ascii="Arial" w:cs="Arial" w:eastAsia="Arial" w:hAnsi="Arial"/>
          <w:sz w:val="22"/>
          <w:szCs w:val="22"/>
          <w:color w:val="auto"/>
        </w:rPr>
      </w:pPr>
    </w:p>
    <w:p>
      <w:pPr>
        <w:jc w:val="both"/>
        <w:ind w:firstLine="656"/>
        <w:spacing w:after="0" w:line="312" w:lineRule="auto"/>
        <w:tabs>
          <w:tab w:leader="none" w:pos="975" w:val="left"/>
        </w:tabs>
        <w:numPr>
          <w:ilvl w:val="0"/>
          <w:numId w:val="147"/>
        </w:numPr>
        <w:rPr>
          <w:rFonts w:ascii="Arial" w:cs="Arial" w:eastAsia="Arial" w:hAnsi="Arial"/>
          <w:sz w:val="19"/>
          <w:szCs w:val="19"/>
          <w:color w:val="auto"/>
        </w:rPr>
      </w:pPr>
      <w:r>
        <w:rPr>
          <w:rFonts w:ascii="Arial" w:cs="Arial" w:eastAsia="Arial" w:hAnsi="Arial"/>
          <w:sz w:val="19"/>
          <w:szCs w:val="19"/>
          <w:color w:val="auto"/>
        </w:rPr>
        <w:t>in the case of an election under Section 8.02 hereof, the Issuers must deliver to the Trustee an Opinion of Counsel reasonably acceptable to the Trustee confirming that (1) the Issuers have received from, or there has been published by, the Internal Revenue Service a ruling or (2) since the Issue Date, there has been a change in the applicable United States federal</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240"/>
          </w:cols>
          <w:pgMar w:left="320" w:top="1428" w:right="339" w:bottom="1440" w:gutter="0" w:footer="0" w:header="0"/>
        </w:sectPr>
      </w:pPr>
    </w:p>
    <w:bookmarkStart w:id="123" w:name="page124"/>
    <w:bookmarkEnd w:id="123"/>
    <w:p>
      <w:pPr>
        <w:jc w:val="both"/>
        <w:spacing w:after="0" w:line="265" w:lineRule="auto"/>
        <w:rPr>
          <w:sz w:val="20"/>
          <w:szCs w:val="20"/>
          <w:color w:val="auto"/>
        </w:rPr>
      </w:pPr>
      <w:r>
        <w:rPr>
          <w:rFonts w:ascii="Arial" w:cs="Arial" w:eastAsia="Arial" w:hAnsi="Arial"/>
          <w:sz w:val="21"/>
          <w:szCs w:val="21"/>
          <w:color w:val="auto"/>
        </w:rPr>
        <w:t>income tax law, in either case to the effect that, and based thereon such Opinion of Counsel shall confirm that, the Holders of the outstanding Notes shall not recognize income, gain or loss for United States federal income tax purposes as a result of such Legal Defeasance and shall be subject to United States federal income tax on the same amounts, in the same manner and at the same times as would have been the case if such Legal Defeasance had not occurred;</w:t>
      </w:r>
    </w:p>
    <w:p>
      <w:pPr>
        <w:spacing w:after="0" w:line="202" w:lineRule="exact"/>
        <w:rPr>
          <w:sz w:val="20"/>
          <w:szCs w:val="20"/>
          <w:color w:val="auto"/>
        </w:rPr>
      </w:pPr>
    </w:p>
    <w:p>
      <w:pPr>
        <w:jc w:val="both"/>
        <w:ind w:firstLine="656"/>
        <w:spacing w:after="0" w:line="248" w:lineRule="auto"/>
        <w:tabs>
          <w:tab w:leader="none" w:pos="954" w:val="left"/>
        </w:tabs>
        <w:numPr>
          <w:ilvl w:val="0"/>
          <w:numId w:val="148"/>
        </w:numPr>
        <w:rPr>
          <w:rFonts w:ascii="Arial" w:cs="Arial" w:eastAsia="Arial" w:hAnsi="Arial"/>
          <w:sz w:val="22"/>
          <w:szCs w:val="22"/>
          <w:color w:val="auto"/>
        </w:rPr>
      </w:pPr>
      <w:r>
        <w:rPr>
          <w:rFonts w:ascii="Arial" w:cs="Arial" w:eastAsia="Arial" w:hAnsi="Arial"/>
          <w:sz w:val="22"/>
          <w:szCs w:val="22"/>
          <w:color w:val="auto"/>
        </w:rPr>
        <w:t>in the case of an election under Section 8.03 hereof, the Issuers have delivered to the Trustee an Opinion of Counsel reasonably acceptable to the Trustee confirming that the Holders of the outstanding Notes shall not recognize income, gain or loss for United States federal income tax purposes as a result of such Covenant Defeasance and shall be subject to United States federal income tax on the same amounts, in the same manner and at the same times as would have been the case if such Covenant Defeasance had not occurred;</w:t>
      </w:r>
    </w:p>
    <w:p>
      <w:pPr>
        <w:spacing w:after="0" w:line="218" w:lineRule="exact"/>
        <w:rPr>
          <w:rFonts w:ascii="Arial" w:cs="Arial" w:eastAsia="Arial" w:hAnsi="Arial"/>
          <w:sz w:val="22"/>
          <w:szCs w:val="22"/>
          <w:color w:val="auto"/>
        </w:rPr>
      </w:pPr>
    </w:p>
    <w:p>
      <w:pPr>
        <w:jc w:val="both"/>
        <w:ind w:firstLine="656"/>
        <w:spacing w:after="0" w:line="250" w:lineRule="auto"/>
        <w:tabs>
          <w:tab w:leader="none" w:pos="976" w:val="left"/>
        </w:tabs>
        <w:numPr>
          <w:ilvl w:val="0"/>
          <w:numId w:val="148"/>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 on the date of such deposit (other than a Default or Event of Default resulting from the borrowing of funds to be applied to such deposit) and the deposit shall not result in a breach or violation of, or constitute a default under, any other instrument to which either Issuer or any Guarantor is a party or by which either Issuer or any Guarantor is bound;</w:t>
      </w:r>
    </w:p>
    <w:p>
      <w:pPr>
        <w:spacing w:after="0" w:line="214" w:lineRule="exact"/>
        <w:rPr>
          <w:rFonts w:ascii="Arial" w:cs="Arial" w:eastAsia="Arial" w:hAnsi="Arial"/>
          <w:sz w:val="22"/>
          <w:szCs w:val="22"/>
          <w:color w:val="auto"/>
        </w:rPr>
      </w:pPr>
    </w:p>
    <w:p>
      <w:pPr>
        <w:jc w:val="both"/>
        <w:ind w:firstLine="656"/>
        <w:spacing w:after="0" w:line="253" w:lineRule="auto"/>
        <w:tabs>
          <w:tab w:leader="none" w:pos="969" w:val="left"/>
        </w:tabs>
        <w:numPr>
          <w:ilvl w:val="0"/>
          <w:numId w:val="148"/>
        </w:numPr>
        <w:rPr>
          <w:rFonts w:ascii="Arial" w:cs="Arial" w:eastAsia="Arial" w:hAnsi="Arial"/>
          <w:sz w:val="22"/>
          <w:szCs w:val="22"/>
          <w:color w:val="auto"/>
        </w:rPr>
      </w:pPr>
      <w:r>
        <w:rPr>
          <w:rFonts w:ascii="Arial" w:cs="Arial" w:eastAsia="Arial" w:hAnsi="Arial"/>
          <w:sz w:val="22"/>
          <w:szCs w:val="22"/>
          <w:color w:val="auto"/>
        </w:rPr>
        <w:t>such Legal Defeasance or Covenant Defeasance shall not result in a breach or violation of, or constitute a default under any material agreement or instrument (other than this Indenture) to which either Issuer or any Guarantor is a party or by which any such Person is bound;</w:t>
      </w:r>
    </w:p>
    <w:p>
      <w:pPr>
        <w:spacing w:after="0" w:line="212" w:lineRule="exact"/>
        <w:rPr>
          <w:rFonts w:ascii="Arial" w:cs="Arial" w:eastAsia="Arial" w:hAnsi="Arial"/>
          <w:sz w:val="22"/>
          <w:szCs w:val="22"/>
          <w:color w:val="auto"/>
        </w:rPr>
      </w:pPr>
    </w:p>
    <w:p>
      <w:pPr>
        <w:jc w:val="both"/>
        <w:ind w:firstLine="656"/>
        <w:spacing w:after="0" w:line="248" w:lineRule="auto"/>
        <w:tabs>
          <w:tab w:leader="none" w:pos="929" w:val="left"/>
        </w:tabs>
        <w:numPr>
          <w:ilvl w:val="0"/>
          <w:numId w:val="148"/>
        </w:numPr>
        <w:rPr>
          <w:rFonts w:ascii="Arial" w:cs="Arial" w:eastAsia="Arial" w:hAnsi="Arial"/>
          <w:sz w:val="22"/>
          <w:szCs w:val="22"/>
          <w:color w:val="auto"/>
        </w:rPr>
      </w:pPr>
      <w:r>
        <w:rPr>
          <w:rFonts w:ascii="Arial" w:cs="Arial" w:eastAsia="Arial" w:hAnsi="Arial"/>
          <w:sz w:val="22"/>
          <w:szCs w:val="22"/>
          <w:color w:val="auto"/>
        </w:rPr>
        <w:t>in the case of an election under Section 8.02 hereof, the Issuers must deliver to the Trustee an Opinion of Counsel to the effect that, assuming no intervening bankruptcy of the Issuers or any Guarantor between the date of deposit and the 91st day following the deposit and assuming that no Holder of Notes is an “insider” of either Issuer under applicable bankruptcy law, after the 91st day following the deposit, the trust funds shall not be subject to the effect of any applicable bankruptcy, insolvency, reorganization or similar laws affecting creditors’ rights generally;</w:t>
      </w:r>
    </w:p>
    <w:p>
      <w:pPr>
        <w:spacing w:after="0" w:line="218" w:lineRule="exact"/>
        <w:rPr>
          <w:rFonts w:ascii="Arial" w:cs="Arial" w:eastAsia="Arial" w:hAnsi="Arial"/>
          <w:sz w:val="22"/>
          <w:szCs w:val="22"/>
          <w:color w:val="auto"/>
        </w:rPr>
      </w:pPr>
    </w:p>
    <w:p>
      <w:pPr>
        <w:jc w:val="both"/>
        <w:ind w:firstLine="656"/>
        <w:spacing w:after="0" w:line="253" w:lineRule="auto"/>
        <w:tabs>
          <w:tab w:leader="none" w:pos="955" w:val="left"/>
        </w:tabs>
        <w:numPr>
          <w:ilvl w:val="0"/>
          <w:numId w:val="148"/>
        </w:numPr>
        <w:rPr>
          <w:rFonts w:ascii="Arial" w:cs="Arial" w:eastAsia="Arial" w:hAnsi="Arial"/>
          <w:sz w:val="22"/>
          <w:szCs w:val="22"/>
          <w:color w:val="auto"/>
        </w:rPr>
      </w:pPr>
      <w:r>
        <w:rPr>
          <w:rFonts w:ascii="Arial" w:cs="Arial" w:eastAsia="Arial" w:hAnsi="Arial"/>
          <w:sz w:val="22"/>
          <w:szCs w:val="22"/>
          <w:color w:val="auto"/>
        </w:rPr>
        <w:t>the Issuers must deliver to the Trustee an Officers’ Certificate stating that the deposit was not made by the Issuers with the intent of preferring the Holders of Notes over the other creditors of the Issuers with the intent of defeating, hindering, delaying or defrauding creditors of the Issuers or others; and</w:t>
      </w:r>
    </w:p>
    <w:p>
      <w:pPr>
        <w:spacing w:after="0" w:line="212" w:lineRule="exact"/>
        <w:rPr>
          <w:rFonts w:ascii="Arial" w:cs="Arial" w:eastAsia="Arial" w:hAnsi="Arial"/>
          <w:sz w:val="22"/>
          <w:szCs w:val="22"/>
          <w:color w:val="auto"/>
        </w:rPr>
      </w:pPr>
    </w:p>
    <w:p>
      <w:pPr>
        <w:ind w:right="20" w:firstLine="656"/>
        <w:spacing w:after="0" w:line="287" w:lineRule="auto"/>
        <w:tabs>
          <w:tab w:leader="none" w:pos="994" w:val="left"/>
        </w:tabs>
        <w:numPr>
          <w:ilvl w:val="0"/>
          <w:numId w:val="148"/>
        </w:numPr>
        <w:rPr>
          <w:rFonts w:ascii="Arial" w:cs="Arial" w:eastAsia="Arial" w:hAnsi="Arial"/>
          <w:sz w:val="21"/>
          <w:szCs w:val="21"/>
          <w:color w:val="auto"/>
        </w:rPr>
      </w:pPr>
      <w:r>
        <w:rPr>
          <w:rFonts w:ascii="Arial" w:cs="Arial" w:eastAsia="Arial" w:hAnsi="Arial"/>
          <w:sz w:val="21"/>
          <w:szCs w:val="21"/>
          <w:color w:val="auto"/>
        </w:rPr>
        <w:t>the Issuers must deliver to the Trustee an Officers’ Certificate and an Opinion of Counsel, each stating that all conditions precedent relating to the Legal Defeasance or the Covenant Defeasance have been complied with.</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Section 8.05 Deposited Money and Government Securities to be Held in Trust; Other Miscellaneous Provisions.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240"/>
          </w:cols>
          <w:pgMar w:left="320" w:top="1428" w:right="339" w:bottom="1440" w:gutter="0" w:footer="0" w:header="0"/>
        </w:sectPr>
      </w:pPr>
    </w:p>
    <w:bookmarkStart w:id="124" w:name="page125"/>
    <w:bookmarkEnd w:id="124"/>
    <w:p>
      <w:pPr>
        <w:jc w:val="both"/>
        <w:ind w:firstLine="648"/>
        <w:spacing w:after="0" w:line="246" w:lineRule="auto"/>
        <w:rPr>
          <w:sz w:val="20"/>
          <w:szCs w:val="20"/>
          <w:color w:val="auto"/>
        </w:rPr>
      </w:pPr>
      <w:r>
        <w:rPr>
          <w:rFonts w:ascii="Arial" w:cs="Arial" w:eastAsia="Arial" w:hAnsi="Arial"/>
          <w:sz w:val="22"/>
          <w:szCs w:val="22"/>
          <w:color w:val="auto"/>
        </w:rPr>
        <w:t>Subject to Section 8.06 hereof, all money and Government Securities (including the proceeds thereof) deposited with the Trustee (or other qualifying trustee, collectively for purposes of this Section 8.05, the “Trustee”) pursuant to Section 8.04 hereof in respect of the outstanding Notes shall be held in trust and applied by the Trustee, in accordance with the provisions of such Notes and this Indenture, to the payment, either directly or through any Paying Agent (including the Issuers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2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Issuers shall pay and indemnify the Trustee against any tax, fee or other charge imposed on or assessed against the cash or non-callable Government Securities deposited pursuant to Section 8.04 hereof or the principal and interest received in respect thereof other than any such tax, fee or other charge which by law is for the account of the Holders of the outstanding Notes.</w:t>
      </w:r>
    </w:p>
    <w:p>
      <w:pPr>
        <w:spacing w:after="0" w:line="21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Notwithstanding anything in this Article 8 to the contrary, the Trustee shall deliver or pay to the Issuers from time to time upon the request of the Issuers any money or non-callable Government Securities held by it as provided in Section 8.04 hereof which, in the opinion of a nationally recognized firm of independent public accountants expressed in a written certification thereof delivered to the Trustee (which may be the opinion delivered under Section 8.04(b) hereof), are in excess of the amount thereof that would then be required to be deposited to effect an equivalent Legal Defeasance or Covenant Defeasance.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Section 8.06 Repayment to Issuers.</w:t>
      </w:r>
    </w:p>
    <w:p>
      <w:pPr>
        <w:spacing w:after="0" w:line="24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Any money deposited with the Trustee or any Paying Agent, or then held by the Issuers, in trust for the payment of the principal of, premium, if any, or interest on any Note and remaining unclaimed for two years after such principal, premium, if any, or interest has become due and payable shall be paid to the Issuers on its request or (if then held by the Issuers) shall be discharged from such trust; and the Holder of such Note shall thereafter be permitted to look only to the Issuers for payment thereof, and all liability of the Trustee or such Paying Agent with respect to such trust money, and all liability of the Issuers as trustee thereof, shall thereupon cease; provided, however, that the Trustee or such Paying Agent, before being required to make any such repayment, may at the expense of the Issuers cause to be published once, in the New York Times (national edition) and The Wall Street Journal (national edition), notice that such money remains unclaimed and that, after a date specified therein, which shall not be less than 30 days from the date of such notification or publication, any unclaimed balance of such money then remaining shall be repaid to the Issuers.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240"/>
          </w:cols>
          <w:pgMar w:left="320" w:top="1428" w:right="339" w:bottom="1440" w:gutter="0" w:footer="0" w:header="0"/>
        </w:sectPr>
      </w:pPr>
    </w:p>
    <w:bookmarkStart w:id="125" w:name="page126"/>
    <w:bookmarkEnd w:id="125"/>
    <w:p>
      <w:pPr>
        <w:spacing w:after="0"/>
        <w:rPr>
          <w:sz w:val="20"/>
          <w:szCs w:val="20"/>
          <w:color w:val="auto"/>
        </w:rPr>
      </w:pPr>
      <w:r>
        <w:rPr>
          <w:rFonts w:ascii="Arial" w:cs="Arial" w:eastAsia="Arial" w:hAnsi="Arial"/>
          <w:sz w:val="22"/>
          <w:szCs w:val="22"/>
          <w:color w:val="auto"/>
        </w:rPr>
        <w:t>Section 8.07 Reinstatement.</w:t>
      </w:r>
    </w:p>
    <w:p>
      <w:pPr>
        <w:spacing w:after="0" w:line="24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If the Trustee or Paying Agent is unable to apply any United States dollars or non-callable Government Securities in accordance with Section 8.02 or 8.03 hereof, as the case may be, by reason of any order or judgment of any court or governmental authority enjoining, restraining or otherwise prohibiting such application, then the Issuers’ or the Guarantors’ obligations under this Indenture, the Notes and the Note Guarantee shall be revived and reinstated as though no deposit had occurred pursuant to Section 8.02 or 8.03 hereof until such time as the Trustee or Paying Agent is permitted to apply all such money in accordance with Section 8.02 or 8.03 hereof, as the case may be; provided, however, that, if the Issuers make any payment of principal of, premium, if any, or interest on any Note following the reinstatement of its obligations, the Issuers shall subrogated to the rights of the Holders of such Notes to receive such payment from the money held by the Trustee or Paying Agent.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SUPPLEMENT AND WAIVER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Section 9.01 Without Consent of Holders of Notes.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Notwithstanding Section 9.02 of this Indenture, without the consent of any Holder, the Issuers, the Guarantors and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Trustee may amend or supplement this Indenture, the Notes or the Note Guarantees to:</w:t>
      </w:r>
    </w:p>
    <w:p>
      <w:pPr>
        <w:spacing w:after="0" w:line="229" w:lineRule="exact"/>
        <w:rPr>
          <w:sz w:val="20"/>
          <w:szCs w:val="20"/>
          <w:color w:val="auto"/>
        </w:rPr>
      </w:pPr>
    </w:p>
    <w:p>
      <w:pPr>
        <w:ind w:left="940" w:hanging="284"/>
        <w:spacing w:after="0"/>
        <w:tabs>
          <w:tab w:leader="none" w:pos="94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cure any ambiguity, defect or inconsistency;</w:t>
      </w:r>
    </w:p>
    <w:p>
      <w:pPr>
        <w:spacing w:after="0" w:line="246" w:lineRule="exact"/>
        <w:rPr>
          <w:rFonts w:ascii="Arial" w:cs="Arial" w:eastAsia="Arial" w:hAnsi="Arial"/>
          <w:sz w:val="22"/>
          <w:szCs w:val="22"/>
          <w:color w:val="auto"/>
        </w:rPr>
      </w:pPr>
    </w:p>
    <w:p>
      <w:pPr>
        <w:ind w:left="960" w:hanging="304"/>
        <w:spacing w:after="0"/>
        <w:tabs>
          <w:tab w:leader="none" w:pos="96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provide for uncertificated Notes in addition to or in place of certificated Notes;</w:t>
      </w:r>
    </w:p>
    <w:p>
      <w:pPr>
        <w:spacing w:after="0" w:line="246" w:lineRule="exact"/>
        <w:rPr>
          <w:rFonts w:ascii="Arial" w:cs="Arial" w:eastAsia="Arial" w:hAnsi="Arial"/>
          <w:sz w:val="22"/>
          <w:szCs w:val="22"/>
          <w:color w:val="auto"/>
        </w:rPr>
      </w:pPr>
    </w:p>
    <w:p>
      <w:pPr>
        <w:jc w:val="both"/>
        <w:ind w:firstLine="656"/>
        <w:spacing w:after="0" w:line="312" w:lineRule="auto"/>
        <w:tabs>
          <w:tab w:leader="none" w:pos="982" w:val="left"/>
        </w:tabs>
        <w:numPr>
          <w:ilvl w:val="0"/>
          <w:numId w:val="149"/>
        </w:numPr>
        <w:rPr>
          <w:rFonts w:ascii="Arial" w:cs="Arial" w:eastAsia="Arial" w:hAnsi="Arial"/>
          <w:sz w:val="19"/>
          <w:szCs w:val="19"/>
          <w:color w:val="auto"/>
        </w:rPr>
      </w:pPr>
      <w:r>
        <w:rPr>
          <w:rFonts w:ascii="Arial" w:cs="Arial" w:eastAsia="Arial" w:hAnsi="Arial"/>
          <w:sz w:val="19"/>
          <w:szCs w:val="19"/>
          <w:color w:val="auto"/>
        </w:rPr>
        <w:t>provide for the assumption of the Issuers’ or any Guarantor’s obligations to the Holders of the Notes and Note Guarantees by a successor to the Issuers or such Guarantor, as the case may be, in the case of a merger or consolidation or sale of all or substantially all of Wynn Resorts Finance’s or such Guarantor’s assets pursuant to Article 5 or Article 11 hereof;</w:t>
      </w:r>
    </w:p>
    <w:p>
      <w:pPr>
        <w:spacing w:after="0" w:line="160" w:lineRule="exact"/>
        <w:rPr>
          <w:rFonts w:ascii="Arial" w:cs="Arial" w:eastAsia="Arial" w:hAnsi="Arial"/>
          <w:sz w:val="19"/>
          <w:szCs w:val="19"/>
          <w:color w:val="auto"/>
        </w:rPr>
      </w:pPr>
    </w:p>
    <w:p>
      <w:pPr>
        <w:ind w:right="20" w:firstLine="656"/>
        <w:spacing w:after="0" w:line="263" w:lineRule="auto"/>
        <w:tabs>
          <w:tab w:leader="none" w:pos="978" w:val="left"/>
        </w:tabs>
        <w:numPr>
          <w:ilvl w:val="0"/>
          <w:numId w:val="149"/>
        </w:numPr>
        <w:rPr>
          <w:rFonts w:ascii="Arial" w:cs="Arial" w:eastAsia="Arial" w:hAnsi="Arial"/>
          <w:sz w:val="22"/>
          <w:szCs w:val="22"/>
          <w:color w:val="auto"/>
        </w:rPr>
      </w:pPr>
      <w:r>
        <w:rPr>
          <w:rFonts w:ascii="Arial" w:cs="Arial" w:eastAsia="Arial" w:hAnsi="Arial"/>
          <w:sz w:val="22"/>
          <w:szCs w:val="22"/>
          <w:color w:val="auto"/>
        </w:rPr>
        <w:t>make any change that would provide any additional rights or benefits to the Holders of the Notes or that does not adversely affect the legal rights hereunder of any such Holder;</w:t>
      </w:r>
    </w:p>
    <w:p>
      <w:pPr>
        <w:spacing w:after="0" w:line="201" w:lineRule="exact"/>
        <w:rPr>
          <w:rFonts w:ascii="Arial" w:cs="Arial" w:eastAsia="Arial" w:hAnsi="Arial"/>
          <w:sz w:val="22"/>
          <w:szCs w:val="22"/>
          <w:color w:val="auto"/>
        </w:rPr>
      </w:pPr>
    </w:p>
    <w:p>
      <w:pPr>
        <w:jc w:val="both"/>
        <w:ind w:firstLine="656"/>
        <w:spacing w:after="0" w:line="265" w:lineRule="auto"/>
        <w:tabs>
          <w:tab w:leader="none" w:pos="943" w:val="left"/>
        </w:tabs>
        <w:numPr>
          <w:ilvl w:val="0"/>
          <w:numId w:val="149"/>
        </w:numPr>
        <w:rPr>
          <w:rFonts w:ascii="Arial" w:cs="Arial" w:eastAsia="Arial" w:hAnsi="Arial"/>
          <w:sz w:val="21"/>
          <w:szCs w:val="21"/>
          <w:color w:val="auto"/>
        </w:rPr>
      </w:pPr>
      <w:r>
        <w:rPr>
          <w:rFonts w:ascii="Arial" w:cs="Arial" w:eastAsia="Arial" w:hAnsi="Arial"/>
          <w:sz w:val="21"/>
          <w:szCs w:val="21"/>
          <w:color w:val="auto"/>
        </w:rPr>
        <w:t>conform the text of this Indenture, the Notes or the Note Guarantees to any provision of the “Description of the Notes” in the Issuers’ Offering Memorandum, dated as of April 7, 2020, relating to the offering of the Initial Notes, to the extent that such provision in the “Description of the Notes” was intended to be a verbatim recitation of a provision of this Indenture, the Notes or the Note Guarantees, which intent may be evidenced by an Officers’ Certificate to that effect;</w:t>
      </w:r>
    </w:p>
    <w:p>
      <w:pPr>
        <w:spacing w:after="0" w:line="202" w:lineRule="exact"/>
        <w:rPr>
          <w:rFonts w:ascii="Arial" w:cs="Arial" w:eastAsia="Arial" w:hAnsi="Arial"/>
          <w:sz w:val="21"/>
          <w:szCs w:val="21"/>
          <w:color w:val="auto"/>
        </w:rPr>
      </w:pPr>
    </w:p>
    <w:p>
      <w:pPr>
        <w:ind w:left="920" w:hanging="264"/>
        <w:spacing w:after="0"/>
        <w:tabs>
          <w:tab w:leader="none" w:pos="92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to release the Note Guarantee of a Guarantor in accordance with the terms of this Indenture;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240"/>
          </w:cols>
          <w:pgMar w:left="320" w:top="1428" w:right="339" w:bottom="1440" w:gutter="0" w:footer="0" w:header="0"/>
        </w:sectPr>
      </w:pPr>
    </w:p>
    <w:bookmarkStart w:id="126" w:name="page127"/>
    <w:bookmarkEnd w:id="126"/>
    <w:p>
      <w:pPr>
        <w:ind w:left="980" w:hanging="324"/>
        <w:spacing w:after="0"/>
        <w:tabs>
          <w:tab w:leader="none" w:pos="98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provide for the issuance of Additional Notes in accordance with the limitations set forth in this Indenture as of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Issue Date;</w:t>
      </w:r>
    </w:p>
    <w:p>
      <w:pPr>
        <w:spacing w:after="0" w:line="228" w:lineRule="exact"/>
        <w:rPr>
          <w:rFonts w:ascii="Arial" w:cs="Arial" w:eastAsia="Arial" w:hAnsi="Arial"/>
          <w:sz w:val="19"/>
          <w:szCs w:val="19"/>
          <w:color w:val="auto"/>
        </w:rPr>
      </w:pPr>
    </w:p>
    <w:p>
      <w:pPr>
        <w:ind w:left="960" w:hanging="304"/>
        <w:spacing w:after="0"/>
        <w:tabs>
          <w:tab w:leader="none" w:pos="960" w:val="left"/>
        </w:tabs>
        <w:numPr>
          <w:ilvl w:val="0"/>
          <w:numId w:val="150"/>
        </w:numPr>
        <w:rPr>
          <w:rFonts w:ascii="Arial" w:cs="Arial" w:eastAsia="Arial" w:hAnsi="Arial"/>
          <w:sz w:val="21"/>
          <w:szCs w:val="21"/>
          <w:color w:val="auto"/>
        </w:rPr>
      </w:pPr>
      <w:r>
        <w:rPr>
          <w:rFonts w:ascii="Arial" w:cs="Arial" w:eastAsia="Arial" w:hAnsi="Arial"/>
          <w:sz w:val="21"/>
          <w:szCs w:val="21"/>
          <w:color w:val="auto"/>
        </w:rPr>
        <w:t>allow any Guarantor to execute a supplemental indenture and/or a Note Guarantee with respect to the Notes;</w:t>
      </w:r>
    </w:p>
    <w:p>
      <w:pPr>
        <w:spacing w:after="0" w:line="258" w:lineRule="exact"/>
        <w:rPr>
          <w:rFonts w:ascii="Arial" w:cs="Arial" w:eastAsia="Arial" w:hAnsi="Arial"/>
          <w:sz w:val="21"/>
          <w:szCs w:val="21"/>
          <w:color w:val="auto"/>
        </w:rPr>
      </w:pPr>
    </w:p>
    <w:p>
      <w:pPr>
        <w:ind w:firstLine="656"/>
        <w:spacing w:after="0" w:line="263" w:lineRule="auto"/>
        <w:tabs>
          <w:tab w:leader="none" w:pos="93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to comply with requirements of the SEC in order to effect or maintain the qualification of this Indenture under the Trust Indenture Act, if then applicable;</w:t>
      </w:r>
    </w:p>
    <w:p>
      <w:pPr>
        <w:spacing w:after="0" w:line="201" w:lineRule="exact"/>
        <w:rPr>
          <w:rFonts w:ascii="Arial" w:cs="Arial" w:eastAsia="Arial" w:hAnsi="Arial"/>
          <w:sz w:val="22"/>
          <w:szCs w:val="22"/>
          <w:color w:val="auto"/>
        </w:rPr>
      </w:pPr>
    </w:p>
    <w:p>
      <w:pPr>
        <w:ind w:firstLine="656"/>
        <w:spacing w:after="0" w:line="263" w:lineRule="auto"/>
        <w:tabs>
          <w:tab w:leader="none" w:pos="951" w:val="left"/>
        </w:tabs>
        <w:numPr>
          <w:ilvl w:val="0"/>
          <w:numId w:val="150"/>
        </w:numPr>
        <w:rPr>
          <w:rFonts w:ascii="Arial" w:cs="Arial" w:eastAsia="Arial" w:hAnsi="Arial"/>
          <w:sz w:val="22"/>
          <w:szCs w:val="22"/>
          <w:color w:val="auto"/>
        </w:rPr>
      </w:pPr>
      <w:r>
        <w:rPr>
          <w:rFonts w:ascii="Arial" w:cs="Arial" w:eastAsia="Arial" w:hAnsi="Arial"/>
          <w:sz w:val="22"/>
          <w:szCs w:val="22"/>
          <w:color w:val="auto"/>
        </w:rPr>
        <w:t>to comply with requirements of applicable Gaming Laws or to provide for requirements imposed by applicable Gaming Authorities;</w:t>
      </w:r>
    </w:p>
    <w:p>
      <w:pPr>
        <w:spacing w:after="0" w:line="201" w:lineRule="exact"/>
        <w:rPr>
          <w:rFonts w:ascii="Arial" w:cs="Arial" w:eastAsia="Arial" w:hAnsi="Arial"/>
          <w:sz w:val="22"/>
          <w:szCs w:val="22"/>
          <w:color w:val="auto"/>
        </w:rPr>
      </w:pPr>
    </w:p>
    <w:p>
      <w:pPr>
        <w:ind w:left="960" w:hanging="304"/>
        <w:spacing w:after="0"/>
        <w:tabs>
          <w:tab w:leader="none" w:pos="96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to provide for the acceptance or appointment of a successor trustee; or</w:t>
      </w:r>
    </w:p>
    <w:p>
      <w:pPr>
        <w:spacing w:after="0" w:line="246" w:lineRule="exact"/>
        <w:rPr>
          <w:rFonts w:ascii="Arial" w:cs="Arial" w:eastAsia="Arial" w:hAnsi="Arial"/>
          <w:sz w:val="22"/>
          <w:szCs w:val="22"/>
          <w:color w:val="auto"/>
        </w:rPr>
      </w:pPr>
    </w:p>
    <w:p>
      <w:pPr>
        <w:ind w:left="920" w:hanging="264"/>
        <w:spacing w:after="0"/>
        <w:tabs>
          <w:tab w:leader="none" w:pos="92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provide for the Notes to become secured.</w:t>
      </w:r>
    </w:p>
    <w:p>
      <w:pPr>
        <w:spacing w:after="0" w:line="24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Upon the request of the Issuers accompanied by a resolution of their respective Boards of Directors authorizing the execution of any such amended or supplemental indenture, and upon receipt by the Trustee of the documents described in Section 7.02 hereof, the Trustee shall join with the Issuers and the Guarantors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Section 9.02 With Consent of Holders of Notes.</w:t>
      </w:r>
    </w:p>
    <w:p>
      <w:pPr>
        <w:spacing w:after="0" w:line="24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Except as provided below in this Section 9.02, the Issuers, the Guarantors and the Trustee may amend or supplement this Indenture (including, without limitation, Section 4.11 hereof), the Notes and the Note Guarantees, with the consent of the Holders of at least a majority in aggregate principal amount of the then outstanding Notes (including, without limitation, Additional Notes, if any) voting as a single class (including, without limitation, consents obtained in connection with a purchase of, or tender offer or exchange offer for, Notes), and, subject to Sections 6.04 and 6.07 hereof, any existing Default or Event of Default (other than a Default or Event of Default in the payment of the principal of, premium, if any, or interest on the Notes, except a payment default resulting from an acceleration that has been rescinded) or compliance with any provision of this Indenture, the Notes or the Note Guarantees, may be waived with the consent of the Holders of a majority in aggregate principal amount of the then outstanding Notes (including, without limitation, Additional Notes, if any) voting as a single class (including, without limitation, consents obtained in connection with purchase of, or a tender offer or exchange offer for, the Notes).</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Upon the request of the Issuers accompanied by a resolution of their respective Boards of Directors authorizing the execution of any such amended or supplemental Indenture, and upon the filing with the Trustee of evidence satisfactory to the Trustee of the consent of the Holders of</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240"/>
          </w:cols>
          <w:pgMar w:left="320" w:top="1428" w:right="339" w:bottom="1440" w:gutter="0" w:footer="0" w:header="0"/>
        </w:sectPr>
      </w:pPr>
    </w:p>
    <w:bookmarkStart w:id="127" w:name="page128"/>
    <w:bookmarkEnd w:id="127"/>
    <w:p>
      <w:pPr>
        <w:jc w:val="both"/>
        <w:spacing w:after="0" w:line="302" w:lineRule="auto"/>
        <w:rPr>
          <w:sz w:val="20"/>
          <w:szCs w:val="20"/>
          <w:color w:val="auto"/>
        </w:rPr>
      </w:pPr>
      <w:r>
        <w:rPr>
          <w:rFonts w:ascii="Arial" w:cs="Arial" w:eastAsia="Arial" w:hAnsi="Arial"/>
          <w:sz w:val="19"/>
          <w:szCs w:val="19"/>
          <w:color w:val="auto"/>
        </w:rPr>
        <w:t>Notes as aforesaid, and upon receipt by the Trustee of the documents described in Section 7.02 hereof, the Trustee shall join with the Issuers and the Guarantors in the execution of such amended or supplemental Indenture unless such amended or supplemental Indenture directly affects the Trustee’s own rights, duties or immunities under this Indenture or otherwise, in which case the Trustee may in its discretion, but shall not be obligated to, enter into such amended or supplemental Indenture.</w:t>
      </w:r>
    </w:p>
    <w:p>
      <w:pPr>
        <w:spacing w:after="0" w:line="16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It is not necessary for the consent of the Holders of Notes under this Section 9.02 to approve the particular form of any proposed amendment or waiver, but it is sufficient if such consent approves the substance thereof.</w:t>
      </w:r>
    </w:p>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After an amendment, supplement or waiver under this Section 9.02 becomes effective, the Issuers shall deliver to the Holders of Notes affected thereby a notice briefly describing the amendment, supplement or waiver. Any failure of the Issuers to deliver such notice, or any defect therein, shall not, however, in any way impair or affect the validity of any such amended or supplemental indenture or waiver. Subject to Sections 6.04 and 6.07 hereof, the Holders of a majority in aggregate principal amount of the Notes then outstanding voting as a single class may waive compliance in a particular instance by the Issuers with any provision of this Indenture or the Notes or by the Guarantors with any provision of the Note Guarantees. However, without the consent of each Holder affected an amendment, supplement or waiver under this Section 9.02 may not (with respect to any Notes held by a non-consenting Holder):</w:t>
      </w:r>
    </w:p>
    <w:p>
      <w:pPr>
        <w:spacing w:after="0" w:line="210" w:lineRule="exact"/>
        <w:rPr>
          <w:sz w:val="20"/>
          <w:szCs w:val="20"/>
          <w:color w:val="auto"/>
        </w:rPr>
      </w:pPr>
    </w:p>
    <w:p>
      <w:pPr>
        <w:ind w:left="940" w:hanging="284"/>
        <w:spacing w:after="0"/>
        <w:tabs>
          <w:tab w:leader="none" w:pos="940" w:val="left"/>
        </w:tabs>
        <w:numPr>
          <w:ilvl w:val="0"/>
          <w:numId w:val="151"/>
        </w:numPr>
        <w:rPr>
          <w:rFonts w:ascii="Arial" w:cs="Arial" w:eastAsia="Arial" w:hAnsi="Arial"/>
          <w:sz w:val="21"/>
          <w:szCs w:val="21"/>
          <w:color w:val="auto"/>
        </w:rPr>
      </w:pPr>
      <w:r>
        <w:rPr>
          <w:rFonts w:ascii="Arial" w:cs="Arial" w:eastAsia="Arial" w:hAnsi="Arial"/>
          <w:sz w:val="21"/>
          <w:szCs w:val="21"/>
          <w:color w:val="auto"/>
        </w:rPr>
        <w:t>reduce the principal amount of Notes whose Holders must consent to an amendment, supplement or waiver;</w:t>
      </w:r>
    </w:p>
    <w:p>
      <w:pPr>
        <w:spacing w:after="0" w:line="258" w:lineRule="exact"/>
        <w:rPr>
          <w:rFonts w:ascii="Arial" w:cs="Arial" w:eastAsia="Arial" w:hAnsi="Arial"/>
          <w:sz w:val="21"/>
          <w:szCs w:val="21"/>
          <w:color w:val="auto"/>
        </w:rPr>
      </w:pPr>
    </w:p>
    <w:p>
      <w:pPr>
        <w:ind w:firstLine="656"/>
        <w:spacing w:after="0" w:line="263" w:lineRule="auto"/>
        <w:tabs>
          <w:tab w:leader="none" w:pos="957" w:val="left"/>
        </w:tabs>
        <w:numPr>
          <w:ilvl w:val="0"/>
          <w:numId w:val="151"/>
        </w:numPr>
        <w:rPr>
          <w:rFonts w:ascii="Arial" w:cs="Arial" w:eastAsia="Arial" w:hAnsi="Arial"/>
          <w:sz w:val="22"/>
          <w:szCs w:val="22"/>
          <w:color w:val="auto"/>
        </w:rPr>
      </w:pPr>
      <w:r>
        <w:rPr>
          <w:rFonts w:ascii="Arial" w:cs="Arial" w:eastAsia="Arial" w:hAnsi="Arial"/>
          <w:sz w:val="22"/>
          <w:szCs w:val="22"/>
          <w:color w:val="auto"/>
        </w:rPr>
        <w:t>reduce the principal of or change the fixed maturity of any Note or alter or waive any of the provisions with respect to the redemption of the Notes, except as provided above with respect to Section 4.11 hereof;</w:t>
      </w:r>
    </w:p>
    <w:p>
      <w:pPr>
        <w:spacing w:after="0" w:line="201" w:lineRule="exact"/>
        <w:rPr>
          <w:rFonts w:ascii="Arial" w:cs="Arial" w:eastAsia="Arial" w:hAnsi="Arial"/>
          <w:sz w:val="22"/>
          <w:szCs w:val="22"/>
          <w:color w:val="auto"/>
        </w:rPr>
      </w:pPr>
    </w:p>
    <w:p>
      <w:pPr>
        <w:ind w:left="940" w:hanging="284"/>
        <w:spacing w:after="0"/>
        <w:tabs>
          <w:tab w:leader="none" w:pos="94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reduce the rate of or change the time for payment of interest, including default interest, on any Note;</w:t>
      </w:r>
    </w:p>
    <w:p>
      <w:pPr>
        <w:spacing w:after="0" w:line="246" w:lineRule="exact"/>
        <w:rPr>
          <w:rFonts w:ascii="Arial" w:cs="Arial" w:eastAsia="Arial" w:hAnsi="Arial"/>
          <w:sz w:val="22"/>
          <w:szCs w:val="22"/>
          <w:color w:val="auto"/>
        </w:rPr>
      </w:pPr>
    </w:p>
    <w:p>
      <w:pPr>
        <w:jc w:val="both"/>
        <w:ind w:firstLine="656"/>
        <w:spacing w:after="0" w:line="253" w:lineRule="auto"/>
        <w:tabs>
          <w:tab w:leader="none" w:pos="955" w:val="left"/>
        </w:tabs>
        <w:numPr>
          <w:ilvl w:val="0"/>
          <w:numId w:val="151"/>
        </w:numPr>
        <w:rPr>
          <w:rFonts w:ascii="Arial" w:cs="Arial" w:eastAsia="Arial" w:hAnsi="Arial"/>
          <w:sz w:val="22"/>
          <w:szCs w:val="22"/>
          <w:color w:val="auto"/>
        </w:rPr>
      </w:pPr>
      <w:r>
        <w:rPr>
          <w:rFonts w:ascii="Arial" w:cs="Arial" w:eastAsia="Arial" w:hAnsi="Arial"/>
          <w:sz w:val="22"/>
          <w:szCs w:val="22"/>
          <w:color w:val="auto"/>
        </w:rPr>
        <w:t>waive a Default or Event of Default in the payment of principal of, or interest or premium, if any, on the Notes (except a rescission of acceleration of the Notes by the Holders of at least a majority in aggregate principal amount of the then outstanding Notes and a waiver of the payment default that resulted from such acceleration);</w:t>
      </w:r>
    </w:p>
    <w:p>
      <w:pPr>
        <w:spacing w:after="0" w:line="212" w:lineRule="exact"/>
        <w:rPr>
          <w:rFonts w:ascii="Arial" w:cs="Arial" w:eastAsia="Arial" w:hAnsi="Arial"/>
          <w:sz w:val="22"/>
          <w:szCs w:val="22"/>
          <w:color w:val="auto"/>
        </w:rPr>
      </w:pPr>
    </w:p>
    <w:p>
      <w:pPr>
        <w:ind w:left="940" w:hanging="284"/>
        <w:spacing w:after="0"/>
        <w:tabs>
          <w:tab w:leader="none" w:pos="94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make any Note payable in money other than that stated in the Notes;</w:t>
      </w:r>
    </w:p>
    <w:p>
      <w:pPr>
        <w:spacing w:after="0" w:line="246" w:lineRule="exact"/>
        <w:rPr>
          <w:rFonts w:ascii="Arial" w:cs="Arial" w:eastAsia="Arial" w:hAnsi="Arial"/>
          <w:sz w:val="22"/>
          <w:szCs w:val="22"/>
          <w:color w:val="auto"/>
        </w:rPr>
      </w:pPr>
    </w:p>
    <w:p>
      <w:pPr>
        <w:ind w:firstLine="656"/>
        <w:spacing w:after="0" w:line="263" w:lineRule="auto"/>
        <w:tabs>
          <w:tab w:leader="none" w:pos="939" w:val="left"/>
        </w:tabs>
        <w:numPr>
          <w:ilvl w:val="0"/>
          <w:numId w:val="151"/>
        </w:numPr>
        <w:rPr>
          <w:rFonts w:ascii="Arial" w:cs="Arial" w:eastAsia="Arial" w:hAnsi="Arial"/>
          <w:sz w:val="22"/>
          <w:szCs w:val="22"/>
          <w:color w:val="auto"/>
        </w:rPr>
      </w:pPr>
      <w:r>
        <w:rPr>
          <w:rFonts w:ascii="Arial" w:cs="Arial" w:eastAsia="Arial" w:hAnsi="Arial"/>
          <w:sz w:val="22"/>
          <w:szCs w:val="22"/>
          <w:color w:val="auto"/>
        </w:rPr>
        <w:t>make any change in the provisions of this Indenture relating to waivers of past Defaults or the rights of Holders of Notes to receive payments of principal of, or interest or premium, if any, on the Notes;</w:t>
      </w:r>
    </w:p>
    <w:p>
      <w:pPr>
        <w:spacing w:after="0" w:line="201" w:lineRule="exact"/>
        <w:rPr>
          <w:rFonts w:ascii="Arial" w:cs="Arial" w:eastAsia="Arial" w:hAnsi="Arial"/>
          <w:sz w:val="22"/>
          <w:szCs w:val="22"/>
          <w:color w:val="auto"/>
        </w:rPr>
      </w:pPr>
    </w:p>
    <w:p>
      <w:pPr>
        <w:ind w:left="960" w:hanging="304"/>
        <w:spacing w:after="0"/>
        <w:tabs>
          <w:tab w:leader="none" w:pos="96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waive a redemption payment with respect to any Note (other than a payment required by Sections 4.11 hereof);</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240"/>
          </w:cols>
          <w:pgMar w:left="320" w:top="1428" w:right="339" w:bottom="1440" w:gutter="0" w:footer="0" w:header="0"/>
        </w:sectPr>
      </w:pPr>
    </w:p>
    <w:bookmarkStart w:id="128" w:name="page129"/>
    <w:bookmarkEnd w:id="128"/>
    <w:p>
      <w:pPr>
        <w:spacing w:after="0" w:line="231" w:lineRule="exact"/>
        <w:rPr>
          <w:sz w:val="20"/>
          <w:szCs w:val="20"/>
          <w:color w:val="auto"/>
        </w:rPr>
      </w:pPr>
    </w:p>
    <w:p>
      <w:pPr>
        <w:jc w:val="both"/>
        <w:ind w:firstLine="656"/>
        <w:spacing w:after="0" w:line="253" w:lineRule="auto"/>
        <w:tabs>
          <w:tab w:leader="none" w:pos="962" w:val="left"/>
        </w:tabs>
        <w:numPr>
          <w:ilvl w:val="0"/>
          <w:numId w:val="152"/>
        </w:numPr>
        <w:rPr>
          <w:rFonts w:ascii="Arial" w:cs="Arial" w:eastAsia="Arial" w:hAnsi="Arial"/>
          <w:sz w:val="22"/>
          <w:szCs w:val="22"/>
          <w:color w:val="auto"/>
        </w:rPr>
      </w:pPr>
      <w:r>
        <w:rPr>
          <w:rFonts w:ascii="Arial" w:cs="Arial" w:eastAsia="Arial" w:hAnsi="Arial"/>
          <w:sz w:val="22"/>
          <w:szCs w:val="22"/>
          <w:color w:val="auto"/>
        </w:rPr>
        <w:t>amend or modify any Note Guarantee in a manner that would adversely affect the holders of the Notes or release any Guarantor from any of its obligations under its Note Guarantee or this Indenture (except in accordance with the terms of this Indenture); or</w:t>
      </w:r>
    </w:p>
    <w:p>
      <w:pPr>
        <w:spacing w:after="0" w:line="212" w:lineRule="exact"/>
        <w:rPr>
          <w:rFonts w:ascii="Arial" w:cs="Arial" w:eastAsia="Arial" w:hAnsi="Arial"/>
          <w:sz w:val="22"/>
          <w:szCs w:val="22"/>
          <w:color w:val="auto"/>
        </w:rPr>
      </w:pPr>
    </w:p>
    <w:p>
      <w:pPr>
        <w:ind w:left="920" w:hanging="264"/>
        <w:spacing w:after="0"/>
        <w:tabs>
          <w:tab w:leader="none" w:pos="92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make any change in the foregoing amendment and waiver provisions.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Section 9.03 Revocation and Effect of Consents.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Section 9.04 Notation on or Exchange of Notes.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Trustee may place an appropriate notation about an amendment, supplement or waiver on any Note thereafter authenticated. The Issuers in exchange for all Notes may issue and the Trustee shall, upon receipt of an Authentication Order, authenticate new Notes that reflect the amendment, supplement or waiver.</w:t>
      </w:r>
    </w:p>
    <w:p>
      <w:pPr>
        <w:spacing w:after="0" w:line="21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Failure to make the appropriate notation or issue a new Note shall not affect the validity and effect of such amendment, supplement or waiver.</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Section 9.05 Trustee to Sign Amendments, etc.</w:t>
      </w:r>
    </w:p>
    <w:p>
      <w:pPr>
        <w:spacing w:after="0" w:line="24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The Trustee shall sign any amended or supplemental indenture authorized pursuant to this Article 9 if the amendment or supplement does not adversely affect the rights, duties, liabilities or immunities of the Trustee. The Issuers and the Guarantors may not sign an amendment or supplemental indenture until their respective Boards of Directors approve it. In executing any amended or supplemental indenture, the Trustee shall be entitled to receive and (subject to Section 7.01 hereof) shall be fully protected in relying upon, in addition to the documents required by Section 14.02 hereof, an Officers’ Certificate and an Opinion of Counsel stating that the execution of such amended or supplemental indenture is authorized or permitted by this Indenture and an Opinion of Counsel stating that the supplemental indenture is a valid and binding obligation of the Issuers, enforceable against each of them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240"/>
          </w:cols>
          <w:pgMar w:left="320" w:top="1440" w:right="339" w:bottom="1440" w:gutter="0" w:footer="0" w:header="0"/>
        </w:sectPr>
      </w:pPr>
    </w:p>
    <w:bookmarkStart w:id="129" w:name="page130"/>
    <w:bookmarkEnd w:id="129"/>
    <w:p>
      <w:pPr>
        <w:ind w:left="4980"/>
        <w:spacing w:after="0"/>
        <w:rPr>
          <w:sz w:val="20"/>
          <w:szCs w:val="20"/>
          <w:color w:val="auto"/>
        </w:rPr>
      </w:pPr>
      <w:r>
        <w:rPr>
          <w:rFonts w:ascii="Arial" w:cs="Arial" w:eastAsia="Arial" w:hAnsi="Arial"/>
          <w:sz w:val="22"/>
          <w:szCs w:val="22"/>
          <w:b w:val="1"/>
          <w:bCs w:val="1"/>
          <w:color w:val="auto"/>
        </w:rPr>
        <w:t>ARTICLE 10.</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[RESERVED]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 GUARANTEES</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Section 11.01 Note Guarantee.</w:t>
      </w:r>
    </w:p>
    <w:p>
      <w:pPr>
        <w:spacing w:after="0" w:line="247" w:lineRule="exact"/>
        <w:rPr>
          <w:sz w:val="20"/>
          <w:szCs w:val="20"/>
          <w:color w:val="auto"/>
        </w:rPr>
      </w:pPr>
    </w:p>
    <w:p>
      <w:pPr>
        <w:jc w:val="both"/>
        <w:ind w:firstLine="656"/>
        <w:spacing w:after="0" w:line="312" w:lineRule="auto"/>
        <w:tabs>
          <w:tab w:leader="none" w:pos="969" w:val="left"/>
        </w:tabs>
        <w:numPr>
          <w:ilvl w:val="0"/>
          <w:numId w:val="153"/>
        </w:numPr>
        <w:rPr>
          <w:rFonts w:ascii="Arial" w:cs="Arial" w:eastAsia="Arial" w:hAnsi="Arial"/>
          <w:sz w:val="19"/>
          <w:szCs w:val="19"/>
          <w:color w:val="auto"/>
        </w:rPr>
      </w:pPr>
      <w:r>
        <w:rPr>
          <w:rFonts w:ascii="Arial" w:cs="Arial" w:eastAsia="Arial" w:hAnsi="Arial"/>
          <w:sz w:val="19"/>
          <w:szCs w:val="19"/>
          <w:color w:val="auto"/>
        </w:rPr>
        <w:t>Subject to this Article 11, each of the Guarantors hereby, jointly and severally, unconditionally guarantees to each Holder of a Note authenticated and delivered by the Trustee and to the Trustee and its successors and assigns, irrespective of the validity and enforceability of this Indenture, the Notes or the obligations of the Issuers hereunder or thereunder, that:</w:t>
      </w:r>
    </w:p>
    <w:p>
      <w:pPr>
        <w:spacing w:after="0" w:line="160" w:lineRule="exact"/>
        <w:rPr>
          <w:sz w:val="20"/>
          <w:szCs w:val="20"/>
          <w:color w:val="auto"/>
        </w:rPr>
      </w:pPr>
    </w:p>
    <w:p>
      <w:pPr>
        <w:jc w:val="both"/>
        <w:ind w:firstLine="656"/>
        <w:spacing w:after="0" w:line="250" w:lineRule="auto"/>
        <w:tabs>
          <w:tab w:leader="none" w:pos="989" w:val="left"/>
        </w:tabs>
        <w:numPr>
          <w:ilvl w:val="0"/>
          <w:numId w:val="154"/>
        </w:numPr>
        <w:rPr>
          <w:rFonts w:ascii="Arial" w:cs="Arial" w:eastAsia="Arial" w:hAnsi="Arial"/>
          <w:sz w:val="22"/>
          <w:szCs w:val="22"/>
          <w:color w:val="auto"/>
        </w:rPr>
      </w:pPr>
      <w:r>
        <w:rPr>
          <w:rFonts w:ascii="Arial" w:cs="Arial" w:eastAsia="Arial" w:hAnsi="Arial"/>
          <w:sz w:val="22"/>
          <w:szCs w:val="22"/>
          <w:color w:val="auto"/>
        </w:rPr>
        <w:t>the principal of, premium, if any, and interest on the Notes shall be promptly paid in full when due, whether at maturity, by acceleration, redemption or otherwise, and interest on the overdue principal of and interest on the Notes, if any, if lawful, and all other obligations of the Issuers to the Holders or the Trustee hereunder or thereunder shall be promptly paid in full or performed, all in accordance with the terms hereof and thereof; and</w:t>
      </w:r>
    </w:p>
    <w:p>
      <w:pPr>
        <w:spacing w:after="0" w:line="214" w:lineRule="exact"/>
        <w:rPr>
          <w:rFonts w:ascii="Arial" w:cs="Arial" w:eastAsia="Arial" w:hAnsi="Arial"/>
          <w:sz w:val="22"/>
          <w:szCs w:val="22"/>
          <w:color w:val="auto"/>
        </w:rPr>
      </w:pPr>
    </w:p>
    <w:p>
      <w:pPr>
        <w:jc w:val="both"/>
        <w:ind w:firstLine="656"/>
        <w:spacing w:after="0" w:line="297" w:lineRule="auto"/>
        <w:tabs>
          <w:tab w:leader="none" w:pos="961" w:val="left"/>
        </w:tabs>
        <w:numPr>
          <w:ilvl w:val="0"/>
          <w:numId w:val="154"/>
        </w:numPr>
        <w:rPr>
          <w:rFonts w:ascii="Arial" w:cs="Arial" w:eastAsia="Arial" w:hAnsi="Arial"/>
          <w:sz w:val="19"/>
          <w:szCs w:val="19"/>
          <w:color w:val="auto"/>
        </w:rPr>
      </w:pPr>
      <w:r>
        <w:rPr>
          <w:rFonts w:ascii="Arial" w:cs="Arial" w:eastAsia="Arial" w:hAnsi="Arial"/>
          <w:sz w:val="19"/>
          <w:szCs w:val="19"/>
          <w:color w:val="auto"/>
        </w:rPr>
        <w:t>in case of any extension of time of payment or renewal of any Notes or any of such other obligations, that same shall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shall be jointly and severally obligated to pay the same immediately. Each Guarantor agrees that this is a guarantee of payment and performance and not a guarantee of collection.</w:t>
      </w:r>
    </w:p>
    <w:p>
      <w:pPr>
        <w:spacing w:after="0" w:line="174" w:lineRule="exact"/>
        <w:rPr>
          <w:sz w:val="20"/>
          <w:szCs w:val="20"/>
          <w:color w:val="auto"/>
        </w:rPr>
      </w:pPr>
    </w:p>
    <w:p>
      <w:pPr>
        <w:jc w:val="both"/>
        <w:ind w:firstLine="656"/>
        <w:spacing w:after="0" w:line="287" w:lineRule="auto"/>
        <w:tabs>
          <w:tab w:leader="none" w:pos="962" w:val="left"/>
        </w:tabs>
        <w:numPr>
          <w:ilvl w:val="0"/>
          <w:numId w:val="155"/>
        </w:numPr>
        <w:rPr>
          <w:rFonts w:ascii="Arial" w:cs="Arial" w:eastAsia="Arial" w:hAnsi="Arial"/>
          <w:sz w:val="19"/>
          <w:szCs w:val="19"/>
          <w:color w:val="auto"/>
        </w:rPr>
      </w:pPr>
      <w:r>
        <w:rPr>
          <w:rFonts w:ascii="Arial" w:cs="Arial" w:eastAsia="Arial" w:hAnsi="Arial"/>
          <w:sz w:val="19"/>
          <w:szCs w:val="19"/>
          <w:color w:val="auto"/>
        </w:rPr>
        <w:t>The Guarantors hereby agree that their obligations hereunder are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Issuers, any action to enforce the same or any other circumstance which might otherwise constitute a legal or equitable discharge or defense of a Guarantor. Each of the Guarantors hereby waives diligence, presentment, demand of payment, filing of claims with a court in the event of insolvency or bankruptcy of either Issuer, any right to require a proceeding first against the Issuers, protest, notice and all demands whatsoever and covenant that this Note Guarantee shall not be discharged except by complete performance of the obligations contained in the Notes and this Indenture. Each Guarantor waives any right or claims of right to cause a marshalling of the Issuers’ or any Guarantor’s assets or to proceed against any Guarantor, any Issuer or any other guarantor of any Obligations that are Guaranteed in any particular order, including, but not limited to, any right arising out of Nevada Revised Statutes 40.430, to the fullest extent permitted by Nevada Revised Statutes 40.495(2).</w:t>
      </w:r>
    </w:p>
    <w:p>
      <w:pPr>
        <w:spacing w:after="0" w:line="190" w:lineRule="exact"/>
        <w:rPr>
          <w:rFonts w:ascii="Arial" w:cs="Arial" w:eastAsia="Arial" w:hAnsi="Arial"/>
          <w:sz w:val="19"/>
          <w:szCs w:val="19"/>
          <w:color w:val="auto"/>
        </w:rPr>
      </w:pPr>
    </w:p>
    <w:p>
      <w:pPr>
        <w:ind w:firstLine="656"/>
        <w:spacing w:after="0" w:line="263" w:lineRule="auto"/>
        <w:tabs>
          <w:tab w:leader="none" w:pos="972" w:val="left"/>
        </w:tabs>
        <w:numPr>
          <w:ilvl w:val="0"/>
          <w:numId w:val="155"/>
        </w:numPr>
        <w:rPr>
          <w:rFonts w:ascii="Arial" w:cs="Arial" w:eastAsia="Arial" w:hAnsi="Arial"/>
          <w:sz w:val="22"/>
          <w:szCs w:val="22"/>
          <w:color w:val="auto"/>
        </w:rPr>
      </w:pPr>
      <w:r>
        <w:rPr>
          <w:rFonts w:ascii="Arial" w:cs="Arial" w:eastAsia="Arial" w:hAnsi="Arial"/>
          <w:sz w:val="22"/>
          <w:szCs w:val="22"/>
          <w:color w:val="auto"/>
        </w:rPr>
        <w:t>If any Holder or the Trustee is required by any court or otherwise to return to the Issuers, the Guarantors or any custodian, trustee, liquidator or other similar official acting in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240"/>
          </w:cols>
          <w:pgMar w:left="320" w:top="1422" w:right="339" w:bottom="1440" w:gutter="0" w:footer="0" w:header="0"/>
        </w:sectPr>
      </w:pPr>
    </w:p>
    <w:bookmarkStart w:id="130" w:name="page131"/>
    <w:bookmarkEnd w:id="130"/>
    <w:p>
      <w:pPr>
        <w:spacing w:after="0" w:line="263" w:lineRule="auto"/>
        <w:rPr>
          <w:sz w:val="20"/>
          <w:szCs w:val="20"/>
          <w:color w:val="auto"/>
        </w:rPr>
      </w:pPr>
      <w:r>
        <w:rPr>
          <w:rFonts w:ascii="Arial" w:cs="Arial" w:eastAsia="Arial" w:hAnsi="Arial"/>
          <w:sz w:val="22"/>
          <w:szCs w:val="22"/>
          <w:color w:val="auto"/>
        </w:rPr>
        <w:t>relation to either Issuer or any Guarantor, any amount paid by either to the Trustee or such Holder, this Note Guarantee, to the extent theretofore discharged, shall be reinstated in full force and effect.</w:t>
      </w:r>
    </w:p>
    <w:p>
      <w:pPr>
        <w:spacing w:after="0" w:line="202" w:lineRule="exact"/>
        <w:rPr>
          <w:sz w:val="20"/>
          <w:szCs w:val="20"/>
          <w:color w:val="auto"/>
        </w:rPr>
      </w:pPr>
    </w:p>
    <w:p>
      <w:pPr>
        <w:jc w:val="both"/>
        <w:ind w:firstLine="656"/>
        <w:spacing w:after="0" w:line="284" w:lineRule="auto"/>
        <w:tabs>
          <w:tab w:leader="none" w:pos="98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Each of the Guarantors agrees that it shall not be entitled to any right of subrogation in relation to the Holders in respect of any obligations guaranteed hereby until payment in full of all obligations guaranteed hereby. Each of the Guarantors further agrees that, as between the Guarantors, on the one hand, and the Holders and the Trustee, on the other hand, (1) the maturity of the obligations guaranteed hereby may be accelerated as provided in Article 6 hereof for the purposes of this Note Guarantee, notwithstanding any stay, injunction or other prohibition preventing such acceleration in respect of the obligations guaranteed hereby, and (2) in the event of any declaration of acceleration of such obligations as provided in Article 6 hereof, such obligations (whether or not due and payable) shall forthwith become due and payable by the Guarantors for the purpose of this Note Guarantee. The Guarantors shall have the right to seek</w:t>
      </w:r>
    </w:p>
    <w:p>
      <w:pPr>
        <w:spacing w:after="0" w:line="1" w:lineRule="exact"/>
        <w:rPr>
          <w:rFonts w:ascii="Arial" w:cs="Arial" w:eastAsia="Arial" w:hAnsi="Arial"/>
          <w:sz w:val="19"/>
          <w:szCs w:val="19"/>
          <w:color w:val="auto"/>
        </w:rPr>
      </w:pPr>
    </w:p>
    <w:p>
      <w:pPr>
        <w:spacing w:after="0" w:line="246" w:lineRule="auto"/>
        <w:rPr>
          <w:rFonts w:ascii="Arial" w:cs="Arial" w:eastAsia="Arial" w:hAnsi="Arial"/>
          <w:sz w:val="19"/>
          <w:szCs w:val="19"/>
          <w:color w:val="auto"/>
        </w:rPr>
      </w:pPr>
      <w:r>
        <w:rPr>
          <w:rFonts w:ascii="Arial" w:cs="Arial" w:eastAsia="Arial" w:hAnsi="Arial"/>
          <w:sz w:val="22"/>
          <w:szCs w:val="22"/>
          <w:color w:val="auto"/>
        </w:rPr>
        <w:t>contribution from any non-paying Guarantor, as the case may be, so long as the exercise of such right does not impair the rights of the Holders under the Note Guarantee.</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Section 11.02 Limitation on Guarantor Liability.</w:t>
      </w:r>
    </w:p>
    <w:p>
      <w:pPr>
        <w:spacing w:after="0" w:line="24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Each Guarantor, and by its acceptance of Notes, each Holder, hereby confirms that it is the intention of all such parties that the Note Guarantee of such Guarantor not constitute a fraudulent transfer or conveyance for purposes of Bankruptcy Law, the Uniform Fraudulent Conveyance Act, the Uniform Fraudulent Transfer Act or any similar federal or state law to the extent applicable to any Note Guarantee. To effectuate the foregoing intention, the Trustee, the Holders and the Guarantors hereby irrevocably agree that the obligations of each such Guarantor shall be limited to the maximum amount that shall, after giving effect to such maximum amount and all other contingent and fixed liabilities of such Guarantor, as the case may be, that are relevant under such laws, and after giving effect to any collections from, rights to receive contribution from or payments made by or on behalf of any other Guarantor in respect of the obligations of such other Guarantor under this Article 11, result in the obligations of such Guarantor under its Note Guarantee not constituting a fraudulent transfer or conveyance.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Section 11.03 Execution and Delivery of Note Guarantee.</w:t>
      </w:r>
    </w:p>
    <w:p>
      <w:pPr>
        <w:spacing w:after="0" w:line="2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To evidence its Note Guarantee set forth in Section 11.01, each of the Guarantors hereby agrees that a notation of such Note Guarantee substantially in the form attached as Exhibit E hereto shall be endorsed by an Officer of such Guarantor on each Note authenticated and delivered by the Trustee and that this Indenture shall be executed on behalf of such Guarantor by one of its Officers.</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Each of the Guarantors hereby agrees that its Note Guarantee set forth in Section 11.01 shall remain in full force and effect notwithstanding any failure to endorse on each Note a notation of such Note Guarantee.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240"/>
          </w:cols>
          <w:pgMar w:left="320" w:top="1428" w:right="339" w:bottom="1440" w:gutter="0" w:footer="0" w:header="0"/>
        </w:sectPr>
      </w:pPr>
    </w:p>
    <w:bookmarkStart w:id="131" w:name="page132"/>
    <w:bookmarkEnd w:id="131"/>
    <w:p>
      <w:pPr>
        <w:ind w:firstLine="648"/>
        <w:spacing w:after="0" w:line="291" w:lineRule="auto"/>
        <w:rPr>
          <w:sz w:val="20"/>
          <w:szCs w:val="20"/>
          <w:color w:val="auto"/>
        </w:rPr>
      </w:pPr>
      <w:r>
        <w:rPr>
          <w:rFonts w:ascii="Arial" w:cs="Arial" w:eastAsia="Arial" w:hAnsi="Arial"/>
          <w:sz w:val="19"/>
          <w:szCs w:val="19"/>
          <w:color w:val="auto"/>
        </w:rPr>
        <w:t>If an Officer whose signature is on this Indenture or on the Note Guarantee no longer holds that office at the time the Trustee authenticates the Note on which a Note Guarantee is endorsed, the Note Guarantee shall be valid nevertheless.</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The delivery of any Note by the Trustee, after the authentication thereof hereunder, shall constitute due delivery of the Note Guarantee set forth in this Indenture on behalf of the Guarantors.</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Section 11.04 Guarantors May Consolidate, etc., on Certain Terms.</w:t>
      </w:r>
    </w:p>
    <w:p>
      <w:pPr>
        <w:spacing w:after="0" w:line="247" w:lineRule="exact"/>
        <w:rPr>
          <w:sz w:val="20"/>
          <w:szCs w:val="20"/>
          <w:color w:val="auto"/>
        </w:rPr>
      </w:pPr>
    </w:p>
    <w:p>
      <w:pPr>
        <w:ind w:firstLine="656"/>
        <w:spacing w:after="0" w:line="263" w:lineRule="auto"/>
        <w:tabs>
          <w:tab w:leader="none" w:pos="953" w:val="left"/>
        </w:tabs>
        <w:numPr>
          <w:ilvl w:val="0"/>
          <w:numId w:val="157"/>
        </w:numPr>
        <w:rPr>
          <w:rFonts w:ascii="Arial" w:cs="Arial" w:eastAsia="Arial" w:hAnsi="Arial"/>
          <w:sz w:val="22"/>
          <w:szCs w:val="22"/>
          <w:color w:val="auto"/>
        </w:rPr>
      </w:pPr>
      <w:r>
        <w:rPr>
          <w:rFonts w:ascii="Arial" w:cs="Arial" w:eastAsia="Arial" w:hAnsi="Arial"/>
          <w:sz w:val="22"/>
          <w:szCs w:val="22"/>
          <w:color w:val="auto"/>
        </w:rPr>
        <w:t>A Guarantor may not consolidate with or merge with or into (whether or not such Guarantor is the surviving Person) another Person, other than either of the Issuers or another Guarantor, unless:</w:t>
      </w:r>
    </w:p>
    <w:p>
      <w:pPr>
        <w:spacing w:after="0" w:line="202" w:lineRule="exact"/>
        <w:rPr>
          <w:sz w:val="20"/>
          <w:szCs w:val="20"/>
          <w:color w:val="auto"/>
        </w:rPr>
      </w:pPr>
    </w:p>
    <w:p>
      <w:pPr>
        <w:ind w:left="960" w:hanging="304"/>
        <w:spacing w:after="0"/>
        <w:tabs>
          <w:tab w:leader="none" w:pos="96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immediately after giving effect to that transaction, no Default or Event of Default exists; and</w:t>
      </w:r>
    </w:p>
    <w:p>
      <w:pPr>
        <w:spacing w:after="0" w:line="246" w:lineRule="exact"/>
        <w:rPr>
          <w:rFonts w:ascii="Arial" w:cs="Arial" w:eastAsia="Arial" w:hAnsi="Arial"/>
          <w:sz w:val="22"/>
          <w:szCs w:val="22"/>
          <w:color w:val="auto"/>
        </w:rPr>
      </w:pPr>
    </w:p>
    <w:p>
      <w:pPr>
        <w:jc w:val="both"/>
        <w:ind w:firstLine="656"/>
        <w:spacing w:after="0" w:line="253" w:lineRule="auto"/>
        <w:tabs>
          <w:tab w:leader="none" w:pos="998" w:val="left"/>
        </w:tabs>
        <w:numPr>
          <w:ilvl w:val="0"/>
          <w:numId w:val="158"/>
        </w:numPr>
        <w:rPr>
          <w:rFonts w:ascii="Arial" w:cs="Arial" w:eastAsia="Arial" w:hAnsi="Arial"/>
          <w:sz w:val="22"/>
          <w:szCs w:val="22"/>
          <w:color w:val="auto"/>
        </w:rPr>
      </w:pPr>
      <w:r>
        <w:rPr>
          <w:rFonts w:ascii="Arial" w:cs="Arial" w:eastAsia="Arial" w:hAnsi="Arial"/>
          <w:sz w:val="22"/>
          <w:szCs w:val="22"/>
          <w:color w:val="auto"/>
        </w:rPr>
        <w:t>the Person surviving any such consolidation or merger assumes all the obligations of that Guarantor under this Indenture and its Note Guarantee pursuant to a supplemental indenture and other appropriate documents satisfactory to the Trustee.</w:t>
      </w:r>
    </w:p>
    <w:p>
      <w:pPr>
        <w:spacing w:after="0" w:line="212" w:lineRule="exact"/>
        <w:rPr>
          <w:sz w:val="20"/>
          <w:szCs w:val="20"/>
          <w:color w:val="auto"/>
        </w:rPr>
      </w:pPr>
    </w:p>
    <w:p>
      <w:pPr>
        <w:jc w:val="both"/>
        <w:ind w:firstLine="656"/>
        <w:spacing w:after="0" w:line="289" w:lineRule="auto"/>
        <w:tabs>
          <w:tab w:leader="none" w:pos="1010" w:val="left"/>
        </w:tabs>
        <w:numPr>
          <w:ilvl w:val="1"/>
          <w:numId w:val="159"/>
        </w:numPr>
        <w:rPr>
          <w:rFonts w:ascii="Arial" w:cs="Arial" w:eastAsia="Arial" w:hAnsi="Arial"/>
          <w:sz w:val="19"/>
          <w:szCs w:val="19"/>
          <w:color w:val="auto"/>
        </w:rPr>
      </w:pPr>
      <w:r>
        <w:rPr>
          <w:rFonts w:ascii="Arial" w:cs="Arial" w:eastAsia="Arial" w:hAnsi="Arial"/>
          <w:sz w:val="19"/>
          <w:szCs w:val="19"/>
          <w:color w:val="auto"/>
        </w:rPr>
        <w:t>In case of any consolidation or merger involving a Guarantor under this Section 11.04 hereof, and upon the assumption by the successor Person, by supplemental indenture, executed and delivered to the Trustee and satisfactory in form to the Trustee, of the Note Guarantee endorsed upon the Notes and the due and punctual performance of all of the covenants and conditions of this Indenture to be performed by the Guarantor, such successor Person shall succeed to and be substituted for the Guarantor with the same effect as if it had been named herein as a Guarantor. Such successor Person thereupon may cause to be signed any or all of the Note Guarantees to be endorsed upon all of the Notes issuable hereunder which theretofore shall not have been signed by the Issuers and delivered to the Trustee. All the Note Guarantees so issued shall in all respects have the same legal rank and benefit under this Indenture as the Note Guarantees theretofore and thereafter issued in accordance with the terms of this Indenture as though all of such Note Guarantees had been issued at the date of the execution hereof.</w:t>
      </w:r>
    </w:p>
    <w:p>
      <w:pPr>
        <w:spacing w:after="0" w:line="183" w:lineRule="exact"/>
        <w:rPr>
          <w:rFonts w:ascii="Arial" w:cs="Arial" w:eastAsia="Arial" w:hAnsi="Arial"/>
          <w:sz w:val="19"/>
          <w:szCs w:val="19"/>
          <w:color w:val="auto"/>
        </w:rPr>
      </w:pPr>
    </w:p>
    <w:p>
      <w:pPr>
        <w:ind w:firstLine="453"/>
        <w:spacing w:after="0" w:line="263" w:lineRule="auto"/>
        <w:tabs>
          <w:tab w:leader="none" w:pos="741" w:val="left"/>
        </w:tabs>
        <w:numPr>
          <w:ilvl w:val="0"/>
          <w:numId w:val="160"/>
        </w:numPr>
        <w:rPr>
          <w:rFonts w:ascii="Arial" w:cs="Arial" w:eastAsia="Arial" w:hAnsi="Arial"/>
          <w:sz w:val="22"/>
          <w:szCs w:val="22"/>
          <w:color w:val="auto"/>
        </w:rPr>
      </w:pPr>
      <w:r>
        <w:rPr>
          <w:rFonts w:ascii="Arial" w:cs="Arial" w:eastAsia="Arial" w:hAnsi="Arial"/>
          <w:sz w:val="22"/>
          <w:szCs w:val="22"/>
          <w:color w:val="auto"/>
        </w:rPr>
        <w:t>Except as set forth in Articles 4 and 5 hereof, nothing contained in this Indenture or in any of the Notes shall prevent any consolidation or merger of a Guarantor with or into the Issuers or another Guarantor.</w:t>
      </w:r>
    </w:p>
    <w:p>
      <w:pPr>
        <w:spacing w:after="0" w:line="201" w:lineRule="exact"/>
        <w:rPr>
          <w:rFonts w:ascii="Arial" w:cs="Arial" w:eastAsia="Arial" w:hAnsi="Arial"/>
          <w:sz w:val="22"/>
          <w:szCs w:val="22"/>
          <w:color w:val="auto"/>
        </w:rPr>
      </w:pPr>
    </w:p>
    <w:p>
      <w:pPr>
        <w:ind w:firstLine="656"/>
        <w:spacing w:after="0" w:line="263" w:lineRule="auto"/>
        <w:tabs>
          <w:tab w:leader="none" w:pos="963" w:val="left"/>
        </w:tabs>
        <w:numPr>
          <w:ilvl w:val="1"/>
          <w:numId w:val="160"/>
        </w:numPr>
        <w:rPr>
          <w:rFonts w:ascii="Arial" w:cs="Arial" w:eastAsia="Arial" w:hAnsi="Arial"/>
          <w:sz w:val="22"/>
          <w:szCs w:val="22"/>
          <w:color w:val="auto"/>
        </w:rPr>
      </w:pPr>
      <w:r>
        <w:rPr>
          <w:rFonts w:ascii="Arial" w:cs="Arial" w:eastAsia="Arial" w:hAnsi="Arial"/>
          <w:sz w:val="22"/>
          <w:szCs w:val="22"/>
          <w:color w:val="auto"/>
        </w:rPr>
        <w:t>Notwithstanding the foregoing, each Guarantor is permitted to reorganize as a corporation pursuant to a Permitted C-Corp. Conversion.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Section 11.05 Release of Guarantees.</w:t>
      </w:r>
    </w:p>
    <w:p>
      <w:pPr>
        <w:spacing w:after="0" w:line="247"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Subject to compliance with the provisions described above under this Article 11, the Note Guarantee of a Guarantor will be released: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240"/>
          </w:cols>
          <w:pgMar w:left="320" w:top="1428" w:right="339" w:bottom="1440" w:gutter="0" w:footer="0" w:header="0"/>
        </w:sectPr>
      </w:pPr>
    </w:p>
    <w:bookmarkStart w:id="132" w:name="page133"/>
    <w:bookmarkEnd w:id="132"/>
    <w:p>
      <w:pPr>
        <w:jc w:val="both"/>
        <w:ind w:firstLine="656"/>
        <w:spacing w:after="0" w:line="253" w:lineRule="auto"/>
        <w:tabs>
          <w:tab w:leader="none" w:pos="953" w:val="left"/>
        </w:tabs>
        <w:numPr>
          <w:ilvl w:val="0"/>
          <w:numId w:val="161"/>
        </w:numPr>
        <w:rPr>
          <w:rFonts w:ascii="Arial" w:cs="Arial" w:eastAsia="Arial" w:hAnsi="Arial"/>
          <w:sz w:val="22"/>
          <w:szCs w:val="22"/>
          <w:color w:val="auto"/>
        </w:rPr>
      </w:pPr>
      <w:r>
        <w:rPr>
          <w:rFonts w:ascii="Arial" w:cs="Arial" w:eastAsia="Arial" w:hAnsi="Arial"/>
          <w:sz w:val="22"/>
          <w:szCs w:val="22"/>
          <w:color w:val="auto"/>
        </w:rPr>
        <w:t>in connection with any sale, assignment, exchange, transfer conveyance or other disposition of all or substantially all of the assets of that Guarantor (including by way of merger, consolidation, amalgamation or otherwise) to a Person that is not (either before or after giving effect to such transaction) an Issuer or a Guarantor;</w:t>
      </w:r>
    </w:p>
    <w:p>
      <w:pPr>
        <w:spacing w:after="0" w:line="212" w:lineRule="exact"/>
        <w:rPr>
          <w:rFonts w:ascii="Arial" w:cs="Arial" w:eastAsia="Arial" w:hAnsi="Arial"/>
          <w:sz w:val="22"/>
          <w:szCs w:val="22"/>
          <w:color w:val="auto"/>
        </w:rPr>
      </w:pPr>
    </w:p>
    <w:p>
      <w:pPr>
        <w:jc w:val="both"/>
        <w:ind w:firstLine="656"/>
        <w:spacing w:after="0" w:line="249" w:lineRule="auto"/>
        <w:tabs>
          <w:tab w:leader="none" w:pos="954" w:val="left"/>
        </w:tabs>
        <w:numPr>
          <w:ilvl w:val="0"/>
          <w:numId w:val="161"/>
        </w:numPr>
        <w:rPr>
          <w:rFonts w:ascii="Arial" w:cs="Arial" w:eastAsia="Arial" w:hAnsi="Arial"/>
          <w:sz w:val="22"/>
          <w:szCs w:val="22"/>
          <w:color w:val="auto"/>
        </w:rPr>
      </w:pPr>
      <w:r>
        <w:rPr>
          <w:rFonts w:ascii="Arial" w:cs="Arial" w:eastAsia="Arial" w:hAnsi="Arial"/>
          <w:sz w:val="22"/>
          <w:szCs w:val="22"/>
          <w:color w:val="auto"/>
        </w:rPr>
        <w:t>in connection with any sale, assignment, exchange, transfer, conveyance or other disposition of all of the Capital Stock of that Guarantor by way of merger, consolidation, amalgamation or otherwise to a Person that is not (either before or after giving effect to such transaction) an Issuer or a Guarantor;</w:t>
      </w:r>
    </w:p>
    <w:p>
      <w:pPr>
        <w:ind w:firstLine="656"/>
        <w:spacing w:after="0" w:line="246" w:lineRule="auto"/>
        <w:tabs>
          <w:tab w:leader="none" w:pos="981" w:val="left"/>
        </w:tabs>
        <w:numPr>
          <w:ilvl w:val="0"/>
          <w:numId w:val="161"/>
        </w:numPr>
        <w:rPr>
          <w:rFonts w:ascii="Arial" w:cs="Arial" w:eastAsia="Arial" w:hAnsi="Arial"/>
          <w:sz w:val="22"/>
          <w:szCs w:val="22"/>
          <w:color w:val="auto"/>
        </w:rPr>
      </w:pPr>
      <w:r>
        <w:rPr>
          <w:rFonts w:ascii="Arial" w:cs="Arial" w:eastAsia="Arial" w:hAnsi="Arial"/>
          <w:sz w:val="22"/>
          <w:szCs w:val="22"/>
          <w:color w:val="auto"/>
        </w:rPr>
        <w:t>upon Legal Defeasance as provided for in Section 8.02 hereof or satisfaction and discharge of this Indenture as provided for in Section 12.01 hereof; or</w:t>
      </w:r>
    </w:p>
    <w:p>
      <w:pPr>
        <w:spacing w:after="0" w:line="219" w:lineRule="exact"/>
        <w:rPr>
          <w:rFonts w:ascii="Arial" w:cs="Arial" w:eastAsia="Arial" w:hAnsi="Arial"/>
          <w:sz w:val="22"/>
          <w:szCs w:val="22"/>
          <w:color w:val="auto"/>
        </w:rPr>
      </w:pPr>
    </w:p>
    <w:p>
      <w:pPr>
        <w:ind w:firstLine="656"/>
        <w:spacing w:after="0" w:line="263" w:lineRule="auto"/>
        <w:tabs>
          <w:tab w:leader="none" w:pos="973" w:val="left"/>
        </w:tabs>
        <w:numPr>
          <w:ilvl w:val="0"/>
          <w:numId w:val="161"/>
        </w:numPr>
        <w:rPr>
          <w:rFonts w:ascii="Arial" w:cs="Arial" w:eastAsia="Arial" w:hAnsi="Arial"/>
          <w:sz w:val="22"/>
          <w:szCs w:val="22"/>
          <w:color w:val="auto"/>
        </w:rPr>
      </w:pPr>
      <w:r>
        <w:rPr>
          <w:rFonts w:ascii="Arial" w:cs="Arial" w:eastAsia="Arial" w:hAnsi="Arial"/>
          <w:sz w:val="22"/>
          <w:szCs w:val="22"/>
          <w:color w:val="auto"/>
        </w:rPr>
        <w:t>upon the liquidation or dissolution of a Guarantor in a transaction or series of transactions that does not violate the terms of this Indenture.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Section 11.06 Additional Note Guarantees.</w:t>
      </w:r>
    </w:p>
    <w:p>
      <w:pPr>
        <w:spacing w:after="0" w:line="24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Each Domestic Subsidiary of Wynn Resorts Finance that incurs or guarantees obligations under the Senior Credit Facilities or certain other capital markets debt securities (excluding any project financings in connection with Expansion Capital Expenditures) in excess of $100.0 million will guarantee the Notes and execute a supplemental indenture within 10 Business Days of such incurrence or guarantee; provided that any Domestic Subsidiary that constitutes an Immaterial Subsidiary or an Excluded Subsidiary need not become a guarantor until such time as it ceases to be an Immaterial Subsidiary or an Excluded Subsidiary.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SATISFACTION AND DISCHARGE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Section 12.01 Satisfaction and Discharge.</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This Indenture shall be discharged and shall cease to be of further effect as to all Notes issued hereunder, when:</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either:</w:t>
      </w:r>
    </w:p>
    <w:p>
      <w:pPr>
        <w:spacing w:after="0" w:line="247" w:lineRule="exact"/>
        <w:rPr>
          <w:sz w:val="20"/>
          <w:szCs w:val="20"/>
          <w:color w:val="auto"/>
        </w:rPr>
      </w:pPr>
    </w:p>
    <w:p>
      <w:pPr>
        <w:jc w:val="both"/>
        <w:ind w:right="20" w:firstLine="656"/>
        <w:spacing w:after="0" w:line="253" w:lineRule="auto"/>
        <w:tabs>
          <w:tab w:leader="none" w:pos="982" w:val="left"/>
        </w:tabs>
        <w:numPr>
          <w:ilvl w:val="0"/>
          <w:numId w:val="162"/>
        </w:numPr>
        <w:rPr>
          <w:rFonts w:ascii="Arial" w:cs="Arial" w:eastAsia="Arial" w:hAnsi="Arial"/>
          <w:sz w:val="22"/>
          <w:szCs w:val="22"/>
          <w:color w:val="auto"/>
        </w:rPr>
      </w:pPr>
      <w:r>
        <w:rPr>
          <w:rFonts w:ascii="Arial" w:cs="Arial" w:eastAsia="Arial" w:hAnsi="Arial"/>
          <w:sz w:val="22"/>
          <w:szCs w:val="22"/>
          <w:color w:val="auto"/>
        </w:rPr>
        <w:t>all Notes that have been authenticated, except lost, stolen or destroyed Notes that have been replaced or paid and Notes for whose payment money has theretofore been deposited in trust and thereafter repaid to the Issuers, have been delivered to the Trustee for cancellation; or</w:t>
      </w:r>
    </w:p>
    <w:p>
      <w:pPr>
        <w:spacing w:after="0" w:line="212" w:lineRule="exact"/>
        <w:rPr>
          <w:rFonts w:ascii="Arial" w:cs="Arial" w:eastAsia="Arial" w:hAnsi="Arial"/>
          <w:sz w:val="22"/>
          <w:szCs w:val="22"/>
          <w:color w:val="auto"/>
        </w:rPr>
      </w:pPr>
    </w:p>
    <w:p>
      <w:pPr>
        <w:jc w:val="both"/>
        <w:ind w:firstLine="656"/>
        <w:spacing w:after="0" w:line="263" w:lineRule="auto"/>
        <w:tabs>
          <w:tab w:leader="none" w:pos="971" w:val="left"/>
        </w:tabs>
        <w:numPr>
          <w:ilvl w:val="0"/>
          <w:numId w:val="162"/>
        </w:numPr>
        <w:rPr>
          <w:rFonts w:ascii="Arial" w:cs="Arial" w:eastAsia="Arial" w:hAnsi="Arial"/>
          <w:sz w:val="21"/>
          <w:szCs w:val="21"/>
          <w:color w:val="auto"/>
        </w:rPr>
      </w:pPr>
      <w:r>
        <w:rPr>
          <w:rFonts w:ascii="Arial" w:cs="Arial" w:eastAsia="Arial" w:hAnsi="Arial"/>
          <w:sz w:val="21"/>
          <w:szCs w:val="21"/>
          <w:color w:val="auto"/>
        </w:rPr>
        <w:t>all Notes that have not been delivered to the Trustee for cancellation will become due and payable by reason of the delivery of a notice of redemption or otherwise or will become due and payable within one year and the Issuers have or any Guarantor has irrevocably deposited or caused to be deposited with the Trustee as trust funds in trust solely for the benefit of the Holders, cash in U.S. dollars, non-callable Government Securities, or a combination thereof, in such amounts as shall be sufficient without consideration of any reinvestment of interest, to pay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240"/>
          </w:cols>
          <w:pgMar w:left="320" w:top="1427" w:right="339" w:bottom="1440" w:gutter="0" w:footer="0" w:header="0"/>
        </w:sectPr>
      </w:pPr>
    </w:p>
    <w:bookmarkStart w:id="133" w:name="page134"/>
    <w:bookmarkEnd w:id="133"/>
    <w:p>
      <w:pPr>
        <w:spacing w:after="0" w:line="263" w:lineRule="auto"/>
        <w:rPr>
          <w:sz w:val="20"/>
          <w:szCs w:val="20"/>
          <w:color w:val="auto"/>
        </w:rPr>
      </w:pPr>
      <w:r>
        <w:rPr>
          <w:rFonts w:ascii="Arial" w:cs="Arial" w:eastAsia="Arial" w:hAnsi="Arial"/>
          <w:sz w:val="22"/>
          <w:szCs w:val="22"/>
          <w:color w:val="auto"/>
        </w:rPr>
        <w:t>and discharge the entire Indebtedness on the Notes not delivered to the Trustee for cancellation for principal, premium, if any, and accrued interest to, but not including, the date of maturity or redemption;</w:t>
      </w:r>
    </w:p>
    <w:p>
      <w:pPr>
        <w:spacing w:after="0" w:line="202" w:lineRule="exact"/>
        <w:rPr>
          <w:sz w:val="20"/>
          <w:szCs w:val="20"/>
          <w:color w:val="auto"/>
        </w:rPr>
      </w:pPr>
    </w:p>
    <w:p>
      <w:pPr>
        <w:jc w:val="both"/>
        <w:ind w:firstLine="656"/>
        <w:spacing w:after="0" w:line="265" w:lineRule="auto"/>
        <w:tabs>
          <w:tab w:leader="none" w:pos="962" w:val="left"/>
        </w:tabs>
        <w:numPr>
          <w:ilvl w:val="0"/>
          <w:numId w:val="163"/>
        </w:numPr>
        <w:rPr>
          <w:rFonts w:ascii="Arial" w:cs="Arial" w:eastAsia="Arial" w:hAnsi="Arial"/>
          <w:sz w:val="21"/>
          <w:szCs w:val="21"/>
          <w:color w:val="auto"/>
        </w:rPr>
      </w:pPr>
      <w:r>
        <w:rPr>
          <w:rFonts w:ascii="Arial" w:cs="Arial" w:eastAsia="Arial" w:hAnsi="Arial"/>
          <w:sz w:val="21"/>
          <w:szCs w:val="21"/>
          <w:color w:val="auto"/>
        </w:rPr>
        <w:t>no Default or Event of Default has occurred and is continuing on the date of such deposit or shall occur as a result of the deposit (other than a Default or Event of Default resulting from the borrowing of funds to be applied to such deposit) and the deposit shall not result in a breach or violation of, or constitute a default under, any other instrument to which either Issuer or any Guarantor is a party or by which either Issuer or any Guarantor is bound;</w:t>
      </w:r>
    </w:p>
    <w:p>
      <w:pPr>
        <w:spacing w:after="0" w:line="202" w:lineRule="exact"/>
        <w:rPr>
          <w:rFonts w:ascii="Arial" w:cs="Arial" w:eastAsia="Arial" w:hAnsi="Arial"/>
          <w:sz w:val="21"/>
          <w:szCs w:val="21"/>
          <w:color w:val="auto"/>
        </w:rPr>
      </w:pPr>
    </w:p>
    <w:p>
      <w:pPr>
        <w:ind w:left="940" w:hanging="284"/>
        <w:spacing w:after="0"/>
        <w:tabs>
          <w:tab w:leader="none" w:pos="940" w:val="left"/>
        </w:tabs>
        <w:numPr>
          <w:ilvl w:val="0"/>
          <w:numId w:val="163"/>
        </w:numPr>
        <w:rPr>
          <w:rFonts w:ascii="Arial" w:cs="Arial" w:eastAsia="Arial" w:hAnsi="Arial"/>
          <w:sz w:val="19"/>
          <w:szCs w:val="19"/>
          <w:color w:val="auto"/>
        </w:rPr>
      </w:pPr>
      <w:r>
        <w:rPr>
          <w:rFonts w:ascii="Arial" w:cs="Arial" w:eastAsia="Arial" w:hAnsi="Arial"/>
          <w:sz w:val="19"/>
          <w:szCs w:val="19"/>
          <w:color w:val="auto"/>
        </w:rPr>
        <w:t>the Issuers or any Guarantor have paid or caused to be paid all sums payable by the Issuers under this Indenture; and</w:t>
      </w:r>
    </w:p>
    <w:p>
      <w:pPr>
        <w:spacing w:after="0" w:line="281" w:lineRule="exact"/>
        <w:rPr>
          <w:rFonts w:ascii="Arial" w:cs="Arial" w:eastAsia="Arial" w:hAnsi="Arial"/>
          <w:sz w:val="19"/>
          <w:szCs w:val="19"/>
          <w:color w:val="auto"/>
        </w:rPr>
      </w:pPr>
    </w:p>
    <w:p>
      <w:pPr>
        <w:ind w:firstLine="656"/>
        <w:spacing w:after="0" w:line="263" w:lineRule="auto"/>
        <w:tabs>
          <w:tab w:leader="none" w:pos="973"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the Issuers have delivered irrevocable instructions to the Trustee under this Indenture to apply the deposited money toward the payment of the Notes at maturity or the redemption date, as the case may be.</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addition, the Issuers must deliver an Officers’ Certificate and an Opinion of Counsel to the Trustee stating that all conditions precedent to satisfaction and discharge have been satisfied.</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Notwithstanding the satisfaction and discharge of this Indenture, if money has been deposited with the Trustee pursuant to subclause (2) of clause (a) of this Section, the provisions of Section 12.02 and Section 8.06 shall survive. In addition, nothing in this Section 12.01 shall be deemed to discharge those provisions of Section 7.06 hereof, that, by their terms, survive the satisfaction and discharge of this Indenture.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Section 12.02 Application of Trust Money.</w:t>
      </w:r>
    </w:p>
    <w:p>
      <w:pPr>
        <w:spacing w:after="0" w:line="2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Subject to the provisions of Section 8.06, all money deposited with the Trustee pursuant to Section 12.01 shall be held in trust and applied by it, in accordance with the provisions of the Notes and this Indenture, to the payment, either directly or through any Paying Agent (including the Issuers acting as their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spacing w:after="0" w:line="17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If the Trustee or Paying Agent is unable to apply any money or Government Securities in accordance with Section 12.01 by reason of any legal proceeding or by reason of any order or judgment of any court or governmental authority enjoining, restraining or otherwise prohibiting such application, the Issuers’ and any Guarantor’s obligations under this Indenture, the Notes and the Note Guarantees shall be revived and reinstated as though no deposit had occurred pursuant to Section 12.01; provided that if the Issuers have made any payment of principal of, premium, if any, or interest on any Notes because of the reinstatement of its obligations, the Issuers shall be subrogated to the rights of the Holders of such Notes to receive such payment from the money or Government Securities held by the Trustee or Paying Agent.</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240"/>
          </w:cols>
          <w:pgMar w:left="320" w:top="1427" w:right="339" w:bottom="1440" w:gutter="0" w:footer="0" w:header="0"/>
        </w:sectPr>
      </w:pPr>
    </w:p>
    <w:bookmarkStart w:id="134" w:name="page135"/>
    <w:bookmarkEnd w:id="134"/>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AND SEVERAL LIABILITY</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Section 13.01 Joint and Several Liability.</w:t>
      </w:r>
    </w:p>
    <w:p>
      <w:pPr>
        <w:spacing w:after="0" w:line="247" w:lineRule="exact"/>
        <w:rPr>
          <w:sz w:val="20"/>
          <w:szCs w:val="20"/>
          <w:color w:val="auto"/>
        </w:rPr>
      </w:pPr>
    </w:p>
    <w:p>
      <w:pPr>
        <w:jc w:val="both"/>
        <w:ind w:firstLine="656"/>
        <w:spacing w:after="0" w:line="248" w:lineRule="auto"/>
        <w:tabs>
          <w:tab w:leader="none" w:pos="974" w:val="left"/>
        </w:tabs>
        <w:numPr>
          <w:ilvl w:val="0"/>
          <w:numId w:val="164"/>
        </w:numPr>
        <w:rPr>
          <w:rFonts w:ascii="Arial" w:cs="Arial" w:eastAsia="Arial" w:hAnsi="Arial"/>
          <w:sz w:val="22"/>
          <w:szCs w:val="22"/>
          <w:color w:val="auto"/>
        </w:rPr>
      </w:pPr>
      <w:r>
        <w:rPr>
          <w:rFonts w:ascii="Arial" w:cs="Arial" w:eastAsia="Arial" w:hAnsi="Arial"/>
          <w:sz w:val="22"/>
          <w:szCs w:val="22"/>
          <w:color w:val="auto"/>
        </w:rPr>
        <w:t>Notwithstanding any contrary provision contained in this Indenture and the Notes, the covenants, agreements and obligations of the Issuers, and either of them, shall be deemed joint and several obligations of the Issuers. Any waiver including, without limitation, any suretyship waiver, made by either Issuer in this Indenture or the Notes shall be deemed to be made also by the other Issuer and references in any such waiver to either Issuer shall be deemed to include the other Issuer and each of them to the fullest extent permitted by applicable law.</w:t>
      </w:r>
    </w:p>
    <w:p>
      <w:pPr>
        <w:spacing w:after="0" w:line="218" w:lineRule="exact"/>
        <w:rPr>
          <w:rFonts w:ascii="Arial" w:cs="Arial" w:eastAsia="Arial" w:hAnsi="Arial"/>
          <w:sz w:val="22"/>
          <w:szCs w:val="22"/>
          <w:color w:val="auto"/>
        </w:rPr>
      </w:pPr>
    </w:p>
    <w:p>
      <w:pPr>
        <w:ind w:right="20" w:firstLine="656"/>
        <w:spacing w:after="0" w:line="263" w:lineRule="auto"/>
        <w:tabs>
          <w:tab w:leader="none" w:pos="968" w:val="left"/>
        </w:tabs>
        <w:numPr>
          <w:ilvl w:val="0"/>
          <w:numId w:val="164"/>
        </w:numPr>
        <w:rPr>
          <w:rFonts w:ascii="Arial" w:cs="Arial" w:eastAsia="Arial" w:hAnsi="Arial"/>
          <w:sz w:val="22"/>
          <w:szCs w:val="22"/>
          <w:color w:val="auto"/>
        </w:rPr>
      </w:pPr>
      <w:r>
        <w:rPr>
          <w:rFonts w:ascii="Arial" w:cs="Arial" w:eastAsia="Arial" w:hAnsi="Arial"/>
          <w:sz w:val="22"/>
          <w:szCs w:val="22"/>
          <w:color w:val="auto"/>
        </w:rPr>
        <w:t>Notwithstanding any contrary provision contained in this Indenture or the Notes, each such document to which both Issuers are party shall be deemed to include, without limitation, the following waivers:</w:t>
      </w:r>
    </w:p>
    <w:p>
      <w:pPr>
        <w:spacing w:after="0" w:line="20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Each of the Issuers hereby waives and relinquishes all rights and remedies accorded by applicable law to sureties or guarantors and agrees not to assert or take advantage of any such rights or remedies, including, without limitation, (i) any right to require the Trustee or any of the</w:t>
      </w:r>
    </w:p>
    <w:p>
      <w:pPr>
        <w:jc w:val="both"/>
        <w:spacing w:after="0" w:line="284" w:lineRule="auto"/>
        <w:rPr>
          <w:sz w:val="20"/>
          <w:szCs w:val="20"/>
          <w:color w:val="auto"/>
        </w:rPr>
      </w:pPr>
      <w:r>
        <w:rPr>
          <w:rFonts w:ascii="Arial" w:cs="Arial" w:eastAsia="Arial" w:hAnsi="Arial"/>
          <w:sz w:val="19"/>
          <w:szCs w:val="19"/>
          <w:color w:val="auto"/>
        </w:rPr>
        <w:t>Holders (each a “Beneficiary”) to proceed against either of the Issuers or any other Person or to proceed against or exhaust any security held by a Beneficiary at any time or to pursue any other remedy in the power of a Beneficiary before proceeding against such Issuer or other Person, (ii) the defense of the statute of limitations in any action hereunder or in any action for the collection or performance of the Obligations under this Indenture and the Notes (collectively, the “Note Obligations”), (iii) any defense that may arise by reason of the incapacity, lack of authority, death or disability of any Person or the failure of a Beneficiary to file or enforce a claim against the estate (in administration, bankruptcy or any other proceeding) of any Person, (iv) appraisal, valuation, stay, extension, marshaling of assets, redemption, exemption, demand, presentment, protest and notice of any kind, including, without limitation, notice of the existence, creation or incurring of any new or additional indebtedness or obligation or of any action or non-action on the part of a Beneficiary, any Issuer, any endorser, guarantor or creditor of either Issuer or on the part of any other Person under this or any other instrument or document in connection with any Obligation or evidence of Indebtedness held by a Beneficiary as collateral or in connection with the Note Obligations, (v) any defense based upon an election of remedies by a Beneficiary, including, without limitation, an election to proceed by non judicial rather than judicial foreclosure, which destroys or otherwise impairs the subrogation rights of either Issuer, the right of either Issuer to proceed against the other Issuer or any other Person for reimbursement, or both, (vi) any defense based upon any statute or rule of law which provides that the obligation of a surety must be neither larger in amount nor in other respects more burdensome than that of the principal, (vii) any duty on the part of a Beneficiary to disclose to either Issuer any facts a Beneficiary may now or hereafter know about either of the Issuers or any other Person, regardless of whether a Beneficiary has reason to believe that any such facts materially increase the risk beyond that which such Issuer intends to assume, or has reason to believe that such facts are unknown to such Issuer, or has a reasonable opportunity to communicate such facts to the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240"/>
          </w:cols>
          <w:pgMar w:left="320" w:top="1440" w:right="339" w:bottom="1440" w:gutter="0" w:footer="0" w:header="0"/>
        </w:sectPr>
      </w:pPr>
    </w:p>
    <w:bookmarkStart w:id="135" w:name="page136"/>
    <w:bookmarkEnd w:id="135"/>
    <w:p>
      <w:pPr>
        <w:jc w:val="both"/>
        <w:spacing w:after="0" w:line="284" w:lineRule="auto"/>
        <w:rPr>
          <w:sz w:val="20"/>
          <w:szCs w:val="20"/>
          <w:color w:val="auto"/>
        </w:rPr>
      </w:pPr>
      <w:r>
        <w:rPr>
          <w:rFonts w:ascii="Arial" w:cs="Arial" w:eastAsia="Arial" w:hAnsi="Arial"/>
          <w:sz w:val="19"/>
          <w:szCs w:val="19"/>
          <w:color w:val="auto"/>
        </w:rPr>
        <w:t>either Issuer, because each Issuer acknowledges that each Issuer is fully responsible for being and keeping informed of the financial condition of each of the Issuers or any other Person and of all circumstances bearing on the risk of nonpayment of any Note Obligations, (viii) any defense arising because of the election of a Beneficiary, in any proceeding instituted under the Bankruptcy Law, of the application of Section 1111(b)(2) of the Bankruptcy Law, (ix) any defense based upon any borrowing or grant of a security interest under Section 364 of the Bankruptcy Law, (x) any claim or other rights which it may now or hereafter acquire against the other Issuer or any other Person that arises from the existence of performance of each Issuer of its obligations under this Indenture or the Notes, including, without limitation, any right of subrogation, reimbursement, exoneration, contribution, indemnification, any right to participate in any claim or remedy by a Beneficiary against the other Issuer or any collateral which a Beneficiary now has or hereafter acquires, whether or not such claim, remedy or right arises in equity or under contract, statute or common law, by any payment made hereunder or otherwise, including, without limitation, the right to take or receive from either of the Issuers or any other Person, directly or indirectly, in cash or other property or by set off or in any other manner, payment or security on account of such claim or other rights, (xi) any rights which it may acquire by way of contribution under this Indenture or the Notes, by any payment made hereunder or otherwise, including, without limitation, the right to take or receive from any other Person, directly or indirectly, in cash or other property or by set off or in any other manner, payment or security on account of such contribution rights, and (xii) any defense based on one action laws and any other anti-deficiency protections granted to guarantors by applicable law. No failure or delay on the Trustee’s part in exercising any power, right or privilege under this indenture shall impair or waive one such power, right or privilege. Each of the Issuers acknowledges and agrees that any nonrecourse or exculpation provided for in this Indenture or the Notes, or any other provision of this Indenture or the Notes, limiting the Beneficiaries’ recourse to specific collateral, or limiting the Beneficiaries’ right to enforce a deficiency judgment against the Issuers, shall have absolutely no application to the Issuers’ liability under this Indenture or the Notes.</w:t>
      </w:r>
    </w:p>
    <w:p>
      <w:pPr>
        <w:spacing w:after="0" w:line="202" w:lineRule="exact"/>
        <w:rPr>
          <w:sz w:val="20"/>
          <w:szCs w:val="20"/>
          <w:color w:val="auto"/>
        </w:rPr>
      </w:pPr>
    </w:p>
    <w:p>
      <w:pPr>
        <w:ind w:firstLine="656"/>
        <w:spacing w:after="0" w:line="263" w:lineRule="auto"/>
        <w:tabs>
          <w:tab w:leader="none" w:pos="959" w:val="left"/>
        </w:tabs>
        <w:numPr>
          <w:ilvl w:val="0"/>
          <w:numId w:val="165"/>
        </w:numPr>
        <w:rPr>
          <w:rFonts w:ascii="Arial" w:cs="Arial" w:eastAsia="Arial" w:hAnsi="Arial"/>
          <w:sz w:val="22"/>
          <w:szCs w:val="22"/>
          <w:color w:val="auto"/>
        </w:rPr>
      </w:pPr>
      <w:r>
        <w:rPr>
          <w:rFonts w:ascii="Arial" w:cs="Arial" w:eastAsia="Arial" w:hAnsi="Arial"/>
          <w:sz w:val="22"/>
          <w:szCs w:val="22"/>
          <w:color w:val="auto"/>
        </w:rPr>
        <w:t>In the event of any inconsistency between the provisions of this Article 13 and the corresponding provisions of this Indenture or the Notes, the provisions of this Indenture shall govern.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Section 14.01 Notices.</w:t>
      </w:r>
    </w:p>
    <w:p>
      <w:pPr>
        <w:spacing w:after="0" w:line="24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Any notice or communication by the Issuers, any Guarantor or the Trustee to the others is duly given if in writing and delivered in Person or mailed by first class mail (registered or certified, return receipt requested), telex, fax, electronic transmission (with confirmation of receipt) or overnight air courier guaranteeing next day delivery, to the others’ address: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If to the Issuers and/or any Guarantor:</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c/o Wynn Resorts Finance, LLC</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1240"/>
          </w:cols>
          <w:pgMar w:left="320" w:top="1427" w:right="339" w:bottom="1440" w:gutter="0" w:footer="0" w:header="0"/>
        </w:sectPr>
      </w:pPr>
    </w:p>
    <w:bookmarkStart w:id="136" w:name="page137"/>
    <w:bookmarkEnd w:id="136"/>
    <w:p>
      <w:pPr>
        <w:spacing w:after="0"/>
        <w:rPr>
          <w:sz w:val="20"/>
          <w:szCs w:val="20"/>
          <w:color w:val="auto"/>
        </w:rPr>
      </w:pPr>
      <w:r>
        <w:rPr>
          <w:rFonts w:ascii="Arial" w:cs="Arial" w:eastAsia="Arial" w:hAnsi="Arial"/>
          <w:sz w:val="22"/>
          <w:szCs w:val="22"/>
          <w:color w:val="auto"/>
        </w:rPr>
        <w:t>3131 Las Vegas Boulevard South</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Las Vegas, Nevada 89109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No.: (702) 770-1518</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General Counsel – Wynn Resorts, Limited</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With a further copy to:</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Latham &amp; Watkins LLP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885 Third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10022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No.: (212) 751-4864</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Senet Bischoff</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Erika Weinberg</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If to the Trustee: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U.S. Bank National Association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EP-MN-WS3C 60 Livingston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St. Paul, MN 55107-2292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No.: (651) 495-8097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Corporate Trust Department – Wynn Administrator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Issuers, any Guarantor or the Trustee, by notice to the others may designate additional or different addresses for subsequent notices or communications.</w:t>
      </w:r>
    </w:p>
    <w:p>
      <w:pPr>
        <w:spacing w:after="0" w:line="20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All notices and communications (other than those sent to Holders) shall be deemed to have been duly given: at the time delivered by hand, if personally delivered; five Business Days after being deposited in the mail, postage prepaid, if mailed; when answered back, if telexed; when receipt acknowledged, if faxed; when receipt acknowledged, if electronically transmitted; and the next Business Day after timely delivery to the courier, if sent by overnight air courier guaranteeing next day delivery.</w:t>
      </w:r>
    </w:p>
    <w:p>
      <w:pPr>
        <w:spacing w:after="0" w:line="16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Any notice or communication to a Holder shall be mailed by first class mail, certified or registered, return receipt requested, or by overnight air courier guaranteeing next day delivery to its address shown on the register kept by the Registrar. Failure to mail a notice or communication to a Holder or any defect in it shall not affect its sufficiency with respect to other Holders.</w:t>
      </w:r>
    </w:p>
    <w:p>
      <w:pPr>
        <w:spacing w:after="0" w:line="3"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If a notice or communication is mailed in the manner provided above within the time prescribed, it is duly given, whether or not the addressee receives it.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If the Issuers mail a notice or communication to Holders, they shall mail a copy to the Trustee and each Agent at the same time.</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Section 14.02 Certificate and Opinion as to Conditions Precedent.</w:t>
      </w:r>
    </w:p>
    <w:p>
      <w:pPr>
        <w:spacing w:after="0" w:line="2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Upon any request or application by the Issuers to the Trustee to take any action under this Indenture, the Issuers shall furnish to the Trustee: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1240"/>
          </w:cols>
          <w:pgMar w:left="320" w:top="1427" w:right="339" w:bottom="1440" w:gutter="0" w:footer="0" w:header="0"/>
        </w:sectPr>
      </w:pPr>
    </w:p>
    <w:bookmarkStart w:id="137" w:name="page138"/>
    <w:bookmarkEnd w:id="137"/>
    <w:p>
      <w:pPr>
        <w:spacing w:after="0" w:line="231" w:lineRule="exact"/>
        <w:rPr>
          <w:sz w:val="20"/>
          <w:szCs w:val="20"/>
          <w:color w:val="auto"/>
        </w:rPr>
      </w:pPr>
    </w:p>
    <w:p>
      <w:pPr>
        <w:jc w:val="both"/>
        <w:ind w:firstLine="656"/>
        <w:spacing w:after="0" w:line="253" w:lineRule="auto"/>
        <w:tabs>
          <w:tab w:leader="none" w:pos="999" w:val="left"/>
        </w:tabs>
        <w:numPr>
          <w:ilvl w:val="0"/>
          <w:numId w:val="166"/>
        </w:numPr>
        <w:rPr>
          <w:rFonts w:ascii="Arial" w:cs="Arial" w:eastAsia="Arial" w:hAnsi="Arial"/>
          <w:sz w:val="22"/>
          <w:szCs w:val="22"/>
          <w:color w:val="auto"/>
        </w:rPr>
      </w:pPr>
      <w:r>
        <w:rPr>
          <w:rFonts w:ascii="Arial" w:cs="Arial" w:eastAsia="Arial" w:hAnsi="Arial"/>
          <w:sz w:val="22"/>
          <w:szCs w:val="22"/>
          <w:color w:val="auto"/>
        </w:rPr>
        <w:t>an Officers’ Certificate in form and substance reasonably satisfactory to the Trustee (which must include the statements set forth in Section 14.03 hereof) stating that, in the opinion of the signers, all conditions precedent and covenants, if any, provided for in this Indenture relating to the proposed action have been satisfied; and</w:t>
      </w:r>
    </w:p>
    <w:p>
      <w:pPr>
        <w:spacing w:after="0" w:line="212" w:lineRule="exact"/>
        <w:rPr>
          <w:rFonts w:ascii="Arial" w:cs="Arial" w:eastAsia="Arial" w:hAnsi="Arial"/>
          <w:sz w:val="22"/>
          <w:szCs w:val="22"/>
          <w:color w:val="auto"/>
        </w:rPr>
      </w:pPr>
    </w:p>
    <w:p>
      <w:pPr>
        <w:jc w:val="both"/>
        <w:ind w:firstLine="656"/>
        <w:spacing w:after="0" w:line="253" w:lineRule="auto"/>
        <w:tabs>
          <w:tab w:leader="none" w:pos="1009" w:val="left"/>
        </w:tabs>
        <w:numPr>
          <w:ilvl w:val="0"/>
          <w:numId w:val="166"/>
        </w:numPr>
        <w:rPr>
          <w:rFonts w:ascii="Arial" w:cs="Arial" w:eastAsia="Arial" w:hAnsi="Arial"/>
          <w:sz w:val="22"/>
          <w:szCs w:val="22"/>
          <w:color w:val="auto"/>
        </w:rPr>
      </w:pPr>
      <w:r>
        <w:rPr>
          <w:rFonts w:ascii="Arial" w:cs="Arial" w:eastAsia="Arial" w:hAnsi="Arial"/>
          <w:sz w:val="22"/>
          <w:szCs w:val="22"/>
          <w:color w:val="auto"/>
        </w:rPr>
        <w:t>an Opinion of Counsel in form and substance reasonably satisfactory to the Trustee (which must include the statements set forth in Section 14.03 hereof) stating that, in the opinion of such counsel, all such conditions precedent and covenants have been satisfied.</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Section 14.03 Statements Required in Certificate or Opinion.</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Each certificate or opinion with respect to compliance with a condition or covenant provided for in this Indenture must include:</w:t>
      </w:r>
    </w:p>
    <w:p>
      <w:pPr>
        <w:spacing w:after="0" w:line="281" w:lineRule="exact"/>
        <w:rPr>
          <w:sz w:val="20"/>
          <w:szCs w:val="20"/>
          <w:color w:val="auto"/>
        </w:rPr>
      </w:pPr>
    </w:p>
    <w:p>
      <w:pPr>
        <w:ind w:left="940" w:hanging="284"/>
        <w:spacing w:after="0"/>
        <w:tabs>
          <w:tab w:leader="none" w:pos="94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a statement that the Person making such certificate or opinion has read such covenant or condition;</w:t>
      </w:r>
    </w:p>
    <w:p>
      <w:pPr>
        <w:spacing w:after="0" w:line="246" w:lineRule="exact"/>
        <w:rPr>
          <w:rFonts w:ascii="Arial" w:cs="Arial" w:eastAsia="Arial" w:hAnsi="Arial"/>
          <w:sz w:val="22"/>
          <w:szCs w:val="22"/>
          <w:color w:val="auto"/>
        </w:rPr>
      </w:pPr>
    </w:p>
    <w:p>
      <w:pPr>
        <w:ind w:firstLine="656"/>
        <w:spacing w:after="0" w:line="263" w:lineRule="auto"/>
        <w:tabs>
          <w:tab w:leader="none" w:pos="959" w:val="left"/>
        </w:tabs>
        <w:numPr>
          <w:ilvl w:val="0"/>
          <w:numId w:val="167"/>
        </w:numPr>
        <w:rPr>
          <w:rFonts w:ascii="Arial" w:cs="Arial" w:eastAsia="Arial" w:hAnsi="Arial"/>
          <w:sz w:val="22"/>
          <w:szCs w:val="22"/>
          <w:color w:val="auto"/>
        </w:rPr>
      </w:pPr>
      <w:r>
        <w:rPr>
          <w:rFonts w:ascii="Arial" w:cs="Arial" w:eastAsia="Arial" w:hAnsi="Arial"/>
          <w:sz w:val="22"/>
          <w:szCs w:val="22"/>
          <w:color w:val="auto"/>
        </w:rPr>
        <w:t>a brief statement as to the nature and scope of the examination or investigation upon which the statements or opinions contained in such certificate or opinion are based;</w:t>
      </w:r>
    </w:p>
    <w:p>
      <w:pPr>
        <w:spacing w:after="0" w:line="201" w:lineRule="exact"/>
        <w:rPr>
          <w:rFonts w:ascii="Arial" w:cs="Arial" w:eastAsia="Arial" w:hAnsi="Arial"/>
          <w:sz w:val="22"/>
          <w:szCs w:val="22"/>
          <w:color w:val="auto"/>
        </w:rPr>
      </w:pPr>
    </w:p>
    <w:p>
      <w:pPr>
        <w:ind w:right="20" w:firstLine="656"/>
        <w:spacing w:after="0" w:line="343" w:lineRule="auto"/>
        <w:tabs>
          <w:tab w:leader="none" w:pos="942" w:val="left"/>
        </w:tabs>
        <w:numPr>
          <w:ilvl w:val="0"/>
          <w:numId w:val="167"/>
        </w:numPr>
        <w:rPr>
          <w:rFonts w:ascii="Arial" w:cs="Arial" w:eastAsia="Arial" w:hAnsi="Arial"/>
          <w:sz w:val="19"/>
          <w:szCs w:val="19"/>
          <w:color w:val="auto"/>
        </w:rPr>
      </w:pPr>
      <w:r>
        <w:rPr>
          <w:rFonts w:ascii="Arial" w:cs="Arial" w:eastAsia="Arial" w:hAnsi="Arial"/>
          <w:sz w:val="19"/>
          <w:szCs w:val="19"/>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131" w:lineRule="exact"/>
        <w:rPr>
          <w:rFonts w:ascii="Arial" w:cs="Arial" w:eastAsia="Arial" w:hAnsi="Arial"/>
          <w:sz w:val="19"/>
          <w:szCs w:val="19"/>
          <w:color w:val="auto"/>
        </w:rPr>
      </w:pPr>
    </w:p>
    <w:p>
      <w:pPr>
        <w:ind w:left="960" w:hanging="304"/>
        <w:spacing w:after="0"/>
        <w:tabs>
          <w:tab w:leader="none" w:pos="960" w:val="left"/>
        </w:tabs>
        <w:numPr>
          <w:ilvl w:val="0"/>
          <w:numId w:val="167"/>
        </w:numPr>
        <w:rPr>
          <w:rFonts w:ascii="Arial" w:cs="Arial" w:eastAsia="Arial" w:hAnsi="Arial"/>
          <w:sz w:val="21"/>
          <w:szCs w:val="21"/>
          <w:color w:val="auto"/>
        </w:rPr>
      </w:pPr>
      <w:r>
        <w:rPr>
          <w:rFonts w:ascii="Arial" w:cs="Arial" w:eastAsia="Arial" w:hAnsi="Arial"/>
          <w:sz w:val="21"/>
          <w:szCs w:val="21"/>
          <w:color w:val="auto"/>
        </w:rPr>
        <w:t>a statement as to whether or not, in the opinion of such Person, such condition or covenant has been satisfied.</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Section 14.04 Rules by Trustee and Agents.</w:t>
      </w:r>
    </w:p>
    <w:p>
      <w:pPr>
        <w:spacing w:after="0" w:line="24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Trustee may make reasonable rules for action by or at a meeting of Holders. The Registrar or Paying Agent may make reasonable rules and set reasonable requirements for its functions.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Section 14.05 No Personal Liability of Directors, Officers, Employees and Equity Holders.</w:t>
      </w:r>
    </w:p>
    <w:p>
      <w:pPr>
        <w:spacing w:after="0" w:line="2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No past, present or future director, officer, employee, incorporator, organizer, equity holder or member of either Issuer or any Guarantor, as such, shall have any liability for any obligations of either Issuer or any Guarantor under the Notes, the Note Guarantees or this Indenture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Section 14.06 Governing Law.</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2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INDENTURE, THE NOTES AND THE NOTE GUARANTEES SHALL BE GOVERNED BY AND CONSTRUED IN ACCORDANCE WITH THE LAWS OF THE STATE OF NEW YORK, INCLUDING, WITHOUT LIMITATION, SECTION 5-1401 OF THE NEW YORK OBLIGATIONS LAW.</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Section 14.07 No Adverse Interpretation of Other Agreements.</w:t>
      </w:r>
    </w:p>
    <w:p>
      <w:pPr>
        <w:spacing w:after="0" w:line="247"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This Indenture may not be used to interpret any other indenture, loan or debt agreement of the Issuers or their respective Subsidiaries or of any other Person. Any such indenture, loan or debt agreement may not be used to interpret this Indenture.</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auto"/>
        </w:rPr>
        <w:t>Section 14.08 Successors.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All agreements of the Issuers in this Indenture and the Notes shall bind their successors. All agreements of the Trustee in this Indenture shall bind its successors. All agreements of each Guarantor in this Indenture shall bind its successors, except as otherwise provided in Section 11.05.</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Section 14.09 Severability.</w:t>
      </w:r>
    </w:p>
    <w:p>
      <w:pPr>
        <w:spacing w:after="0" w:line="2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case any provision in this Indenture or in the Notes is invalid, illegal or unenforceable, the validity, legality and enforceability of the remaining provisions shall not in any way be affected or impaired thereby.</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Section 14.10 Counterpart Originals.</w:t>
      </w:r>
    </w:p>
    <w:p>
      <w:pPr>
        <w:spacing w:after="0" w:line="2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parties may sign any number of copies of this Indenture. Each signed copy shall be an original, but all of them together represent the same agreement.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Section 14.11 Table of Contents, Headings, etc.</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Pages Follow]</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240"/>
          </w:cols>
          <w:pgMar w:left="320" w:top="1440" w:right="339" w:bottom="1440" w:gutter="0" w:footer="0" w:header="0"/>
        </w:sectPr>
      </w:pPr>
    </w:p>
    <w:bookmarkStart w:id="139" w:name="page140"/>
    <w:bookmarkEnd w:id="139"/>
    <w:p>
      <w:pPr>
        <w:ind w:left="4900"/>
        <w:spacing w:after="0"/>
        <w:rPr>
          <w:sz w:val="20"/>
          <w:szCs w:val="20"/>
          <w:color w:val="auto"/>
        </w:rPr>
      </w:pPr>
      <w:r>
        <w:rPr>
          <w:rFonts w:ascii="Arial" w:cs="Arial" w:eastAsia="Arial" w:hAnsi="Arial"/>
          <w:sz w:val="22"/>
          <w:szCs w:val="22"/>
          <w:b w:val="1"/>
          <w:bCs w:val="1"/>
          <w:color w:val="auto"/>
        </w:rPr>
        <w:t>SIGNATURES</w:t>
      </w:r>
    </w:p>
    <w:p>
      <w:pPr>
        <w:spacing w:after="0" w:line="260" w:lineRule="exact"/>
        <w:rPr>
          <w:sz w:val="20"/>
          <w:szCs w:val="20"/>
          <w:color w:val="auto"/>
        </w:rPr>
      </w:pPr>
    </w:p>
    <w:p>
      <w:pPr>
        <w:spacing w:after="0"/>
        <w:tabs>
          <w:tab w:leader="none" w:pos="4400" w:val="left"/>
        </w:tabs>
        <w:rPr>
          <w:sz w:val="20"/>
          <w:szCs w:val="20"/>
          <w:color w:val="auto"/>
        </w:rPr>
      </w:pPr>
      <w:r>
        <w:rPr>
          <w:rFonts w:ascii="Arial" w:cs="Arial" w:eastAsia="Arial" w:hAnsi="Arial"/>
          <w:sz w:val="22"/>
          <w:szCs w:val="22"/>
          <w:color w:val="auto"/>
        </w:rPr>
        <w:t>Dated as of April 14, 2020</w:t>
      </w:r>
      <w:r>
        <w:rPr>
          <w:sz w:val="20"/>
          <w:szCs w:val="20"/>
          <w:color w:val="auto"/>
        </w:rPr>
        <w:tab/>
      </w:r>
      <w:r>
        <w:rPr>
          <w:rFonts w:ascii="Arial" w:cs="Arial" w:eastAsia="Arial" w:hAnsi="Arial"/>
          <w:sz w:val="19"/>
          <w:szCs w:val="19"/>
          <w:b w:val="1"/>
          <w:bCs w:val="1"/>
          <w:color w:val="auto"/>
        </w:rPr>
        <w:t>ISSUERS: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WYNN RESORTS FINANCE, LLC</w:t>
      </w:r>
    </w:p>
    <w:p>
      <w:pPr>
        <w:spacing w:after="0" w:line="253" w:lineRule="exact"/>
        <w:rPr>
          <w:sz w:val="20"/>
          <w:szCs w:val="20"/>
          <w:color w:val="auto"/>
        </w:rPr>
      </w:pPr>
    </w:p>
    <w:p>
      <w:pPr>
        <w:ind w:left="3880"/>
        <w:spacing w:after="0"/>
        <w:rPr>
          <w:sz w:val="20"/>
          <w:szCs w:val="20"/>
          <w:color w:val="auto"/>
        </w:rPr>
      </w:pPr>
      <w:r>
        <w:rPr>
          <w:rFonts w:ascii="Arial" w:cs="Arial" w:eastAsia="Arial" w:hAnsi="Arial"/>
          <w:sz w:val="21"/>
          <w:szCs w:val="21"/>
          <w:color w:val="auto"/>
        </w:rPr>
        <w:t>By: Wynn Resorts Holdings, LLC, its sole member</w:t>
      </w:r>
    </w:p>
    <w:p>
      <w:pPr>
        <w:spacing w:after="0" w:line="258"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By: Wynn Resorts, Limited, its sole member</w:t>
      </w:r>
    </w:p>
    <w:p>
      <w:pPr>
        <w:spacing w:after="0" w:line="200" w:lineRule="exact"/>
        <w:rPr>
          <w:sz w:val="20"/>
          <w:szCs w:val="20"/>
          <w:color w:val="auto"/>
        </w:rPr>
      </w:pPr>
    </w:p>
    <w:p>
      <w:pPr>
        <w:spacing w:after="0" w:line="290"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9"/>
          <w:szCs w:val="19"/>
          <w:u w:val="single" w:color="auto"/>
          <w:color w:val="auto"/>
        </w:rPr>
        <w:t>/s/ Craig S. Billings</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Name: Craig S. Billings</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19"/>
          <w:szCs w:val="19"/>
          <w:color w:val="auto"/>
        </w:rPr>
        <w:t>Title: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WYNN RESORTS CAPITAL CORP.</w:t>
      </w:r>
    </w:p>
    <w:p>
      <w:pPr>
        <w:spacing w:after="0" w:line="200" w:lineRule="exact"/>
        <w:rPr>
          <w:sz w:val="20"/>
          <w:szCs w:val="20"/>
          <w:color w:val="auto"/>
        </w:rPr>
      </w:pPr>
    </w:p>
    <w:p>
      <w:pPr>
        <w:spacing w:after="0" w:line="296"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9"/>
          <w:szCs w:val="19"/>
          <w:u w:val="single" w:color="auto"/>
          <w:color w:val="auto"/>
        </w:rPr>
        <w:t>/s/ Craig S. Billings</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Name: Craig S. Billings</w:t>
      </w:r>
    </w:p>
    <w:p>
      <w:pPr>
        <w:spacing w:after="0" w:line="13"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Title: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[Signature Page to Indenture]</w:t>
      </w:r>
    </w:p>
    <w:p>
      <w:pPr>
        <w:sectPr>
          <w:pgSz w:w="11900" w:h="16838" w:orient="portrait"/>
          <w:cols w:equalWidth="0" w:num="1">
            <w:col w:w="10119"/>
          </w:cols>
          <w:pgMar w:left="340" w:top="1421" w:right="1440" w:bottom="1440" w:gutter="0" w:footer="0" w:header="0"/>
        </w:sectPr>
      </w:pPr>
    </w:p>
    <w:bookmarkStart w:id="140" w:name="page141"/>
    <w:bookmarkEnd w:id="140"/>
    <w:p>
      <w:pPr>
        <w:spacing w:after="0" w:line="225" w:lineRule="exact"/>
        <w:rPr>
          <w:sz w:val="20"/>
          <w:szCs w:val="20"/>
          <w:color w:val="auto"/>
        </w:rPr>
      </w:pPr>
    </w:p>
    <w:p>
      <w:pPr>
        <w:ind w:left="2300"/>
        <w:spacing w:after="0"/>
        <w:rPr>
          <w:sz w:val="20"/>
          <w:szCs w:val="20"/>
          <w:color w:val="auto"/>
        </w:rPr>
      </w:pPr>
      <w:r>
        <w:rPr>
          <w:rFonts w:ascii="Arial" w:cs="Arial" w:eastAsia="Arial" w:hAnsi="Arial"/>
          <w:sz w:val="22"/>
          <w:szCs w:val="22"/>
          <w:b w:val="1"/>
          <w:bCs w:val="1"/>
          <w:color w:val="auto"/>
        </w:rPr>
        <w:t>GUARANTORS:</w:t>
      </w:r>
    </w:p>
    <w:p>
      <w:pPr>
        <w:spacing w:after="0" w:line="238"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EBH HOLDINGS, LLC</w:t>
      </w:r>
    </w:p>
    <w:p>
      <w:pPr>
        <w:spacing w:after="0" w:line="24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Wynn MA, LLC, its sole member</w:t>
      </w:r>
    </w:p>
    <w:p>
      <w:pPr>
        <w:spacing w:after="0" w:line="24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Wynn America Group, LLC, its sole member</w:t>
      </w:r>
    </w:p>
    <w:p>
      <w:pPr>
        <w:spacing w:after="0" w:line="243"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Finance, LLC, its sole member</w:t>
      </w:r>
    </w:p>
    <w:p>
      <w:pPr>
        <w:spacing w:after="0" w:line="254"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Holdings, LLC, its sole member</w:t>
      </w:r>
    </w:p>
    <w:p>
      <w:pPr>
        <w:spacing w:after="0" w:line="25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By: Wynn Resorts, Limited, its sole member</w:t>
      </w:r>
    </w:p>
    <w:p>
      <w:pPr>
        <w:spacing w:after="0" w:line="200" w:lineRule="exact"/>
        <w:rPr>
          <w:sz w:val="20"/>
          <w:szCs w:val="20"/>
          <w:color w:val="auto"/>
        </w:rPr>
      </w:pPr>
    </w:p>
    <w:p>
      <w:pPr>
        <w:spacing w:after="0" w:line="28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Craig S. Billings</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Craig S. Billings</w:t>
      </w:r>
    </w:p>
    <w:p>
      <w:pPr>
        <w:jc w:val="right"/>
        <w:ind w:right="1959"/>
        <w:spacing w:after="0"/>
        <w:rPr>
          <w:sz w:val="20"/>
          <w:szCs w:val="20"/>
          <w:color w:val="auto"/>
        </w:rPr>
      </w:pPr>
      <w:r>
        <w:rPr>
          <w:rFonts w:ascii="Arial" w:cs="Arial" w:eastAsia="Arial" w:hAnsi="Arial"/>
          <w:sz w:val="20"/>
          <w:szCs w:val="20"/>
          <w:color w:val="auto"/>
        </w:rPr>
        <w:t>Title: President, Chief Financial Officer and Treasurer</w:t>
      </w:r>
    </w:p>
    <w:p>
      <w:pPr>
        <w:spacing w:after="0" w:line="200" w:lineRule="exact"/>
        <w:rPr>
          <w:sz w:val="20"/>
          <w:szCs w:val="20"/>
          <w:color w:val="auto"/>
        </w:rPr>
      </w:pPr>
    </w:p>
    <w:p>
      <w:pPr>
        <w:spacing w:after="0" w:line="237"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EBH MA PROPERTY, LLC</w:t>
      </w:r>
    </w:p>
    <w:p>
      <w:pPr>
        <w:spacing w:after="0" w:line="24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Wynn MA, LLC, its managing member</w:t>
      </w:r>
    </w:p>
    <w:p>
      <w:pPr>
        <w:spacing w:after="0" w:line="24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Wynn America Group, LLC, its sole member</w:t>
      </w:r>
    </w:p>
    <w:p>
      <w:pPr>
        <w:spacing w:after="0" w:line="243"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Finance, LLC, its sole member</w:t>
      </w:r>
    </w:p>
    <w:p>
      <w:pPr>
        <w:spacing w:after="0" w:line="254"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Holdings, LLC, its sole member</w:t>
      </w:r>
    </w:p>
    <w:p>
      <w:pPr>
        <w:spacing w:after="0" w:line="25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By: Wynn Resorts, Limited, its sole member</w:t>
      </w:r>
    </w:p>
    <w:p>
      <w:pPr>
        <w:spacing w:after="0" w:line="200" w:lineRule="exact"/>
        <w:rPr>
          <w:sz w:val="20"/>
          <w:szCs w:val="20"/>
          <w:color w:val="auto"/>
        </w:rPr>
      </w:pPr>
    </w:p>
    <w:p>
      <w:pPr>
        <w:spacing w:after="0" w:line="28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Craig S. Billings</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Craig S. Billings</w:t>
      </w:r>
    </w:p>
    <w:p>
      <w:pPr>
        <w:jc w:val="right"/>
        <w:ind w:right="1959"/>
        <w:spacing w:after="0"/>
        <w:rPr>
          <w:sz w:val="20"/>
          <w:szCs w:val="20"/>
          <w:color w:val="auto"/>
        </w:rPr>
      </w:pPr>
      <w:r>
        <w:rPr>
          <w:rFonts w:ascii="Arial" w:cs="Arial" w:eastAsia="Arial" w:hAnsi="Arial"/>
          <w:sz w:val="20"/>
          <w:szCs w:val="20"/>
          <w:color w:val="auto"/>
        </w:rPr>
        <w:t>Title: President, Chief Financial Officer and Treasurer</w:t>
      </w:r>
    </w:p>
    <w:p>
      <w:pPr>
        <w:spacing w:after="0" w:line="200" w:lineRule="exact"/>
        <w:rPr>
          <w:sz w:val="20"/>
          <w:szCs w:val="20"/>
          <w:color w:val="auto"/>
        </w:rPr>
      </w:pPr>
    </w:p>
    <w:p>
      <w:pPr>
        <w:spacing w:after="0" w:line="264"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WYNN GROUP ASIA, INC.</w:t>
      </w:r>
    </w:p>
    <w:p>
      <w:pPr>
        <w:spacing w:after="0" w:line="200" w:lineRule="exact"/>
        <w:rPr>
          <w:sz w:val="20"/>
          <w:szCs w:val="20"/>
          <w:color w:val="auto"/>
        </w:rPr>
      </w:pPr>
    </w:p>
    <w:p>
      <w:pPr>
        <w:spacing w:after="0" w:line="29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Craig S. Billings</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Craig S. Billings</w:t>
      </w:r>
    </w:p>
    <w:p>
      <w:pPr>
        <w:ind w:left="278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Indenture]</w:t>
      </w:r>
    </w:p>
    <w:p>
      <w:pPr>
        <w:sectPr>
          <w:pgSz w:w="11900" w:h="16838" w:orient="portrait"/>
          <w:cols w:equalWidth="0" w:num="1">
            <w:col w:w="9019"/>
          </w:cols>
          <w:pgMar w:left="1440" w:top="1440" w:right="1440" w:bottom="1440" w:gutter="0" w:footer="0" w:header="0"/>
        </w:sectPr>
      </w:pPr>
    </w:p>
    <w:bookmarkStart w:id="141" w:name="page142"/>
    <w:bookmarkEnd w:id="141"/>
    <w:p>
      <w:pPr>
        <w:ind w:left="2780"/>
        <w:spacing w:after="0"/>
        <w:rPr>
          <w:sz w:val="20"/>
          <w:szCs w:val="20"/>
          <w:color w:val="auto"/>
        </w:rPr>
      </w:pPr>
      <w:r>
        <w:rPr>
          <w:rFonts w:ascii="Arial" w:cs="Arial" w:eastAsia="Arial" w:hAnsi="Arial"/>
          <w:sz w:val="20"/>
          <w:szCs w:val="20"/>
          <w:b w:val="1"/>
          <w:bCs w:val="1"/>
          <w:color w:val="auto"/>
        </w:rPr>
        <w:t>EVERETT PROPERTY, LLC</w:t>
      </w:r>
    </w:p>
    <w:p>
      <w:pPr>
        <w:spacing w:after="0" w:line="24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Wynn America Group, LLC, its sole member</w:t>
      </w:r>
    </w:p>
    <w:p>
      <w:pPr>
        <w:spacing w:after="0" w:line="243"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Finance, LLC, its sole member</w:t>
      </w:r>
    </w:p>
    <w:p>
      <w:pPr>
        <w:spacing w:after="0" w:line="254"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Holdings, LLC, its sole member</w:t>
      </w:r>
    </w:p>
    <w:p>
      <w:pPr>
        <w:spacing w:after="0" w:line="25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30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Craig S. Billings</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Craig S. Billings</w:t>
      </w:r>
    </w:p>
    <w:p>
      <w:pPr>
        <w:ind w:left="2780"/>
        <w:spacing w:after="0"/>
        <w:rPr>
          <w:sz w:val="20"/>
          <w:szCs w:val="20"/>
          <w:color w:val="auto"/>
        </w:rPr>
      </w:pPr>
      <w:r>
        <w:rPr>
          <w:rFonts w:ascii="Arial" w:cs="Arial" w:eastAsia="Arial" w:hAnsi="Arial"/>
          <w:sz w:val="18"/>
          <w:szCs w:val="18"/>
          <w:color w:val="auto"/>
        </w:rPr>
        <w:t>Title: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WYNN AMERICA GROUP, LLC</w:t>
      </w:r>
    </w:p>
    <w:p>
      <w:pPr>
        <w:spacing w:after="0" w:line="249"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Finance, LLC, its sole member</w:t>
      </w:r>
    </w:p>
    <w:p>
      <w:pPr>
        <w:spacing w:after="0" w:line="254"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Holdings, LLC, its sole member</w:t>
      </w:r>
    </w:p>
    <w:p>
      <w:pPr>
        <w:spacing w:after="0" w:line="25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30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Craig S. Billings</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Craig S. Billings</w:t>
      </w:r>
    </w:p>
    <w:p>
      <w:pPr>
        <w:ind w:left="2780"/>
        <w:spacing w:after="0"/>
        <w:rPr>
          <w:sz w:val="20"/>
          <w:szCs w:val="20"/>
          <w:color w:val="auto"/>
        </w:rPr>
      </w:pPr>
      <w:r>
        <w:rPr>
          <w:rFonts w:ascii="Arial" w:cs="Arial" w:eastAsia="Arial" w:hAnsi="Arial"/>
          <w:sz w:val="18"/>
          <w:szCs w:val="18"/>
          <w:color w:val="auto"/>
        </w:rPr>
        <w:t>Title: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WYNN LAS VEGAS HOLDINGS, LLC</w:t>
      </w:r>
    </w:p>
    <w:p>
      <w:pPr>
        <w:spacing w:after="0" w:line="249"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Finance, LLC, its sole member</w:t>
      </w:r>
    </w:p>
    <w:p>
      <w:pPr>
        <w:spacing w:after="0" w:line="254"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Holdings, LLC, its sole member</w:t>
      </w:r>
    </w:p>
    <w:p>
      <w:pPr>
        <w:spacing w:after="0" w:line="25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30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Craig S. Billings</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Craig S. Billings</w:t>
      </w:r>
    </w:p>
    <w:p>
      <w:pPr>
        <w:ind w:left="2780"/>
        <w:spacing w:after="0"/>
        <w:rPr>
          <w:sz w:val="20"/>
          <w:szCs w:val="20"/>
          <w:color w:val="auto"/>
        </w:rPr>
      </w:pPr>
      <w:r>
        <w:rPr>
          <w:rFonts w:ascii="Arial" w:cs="Arial" w:eastAsia="Arial" w:hAnsi="Arial"/>
          <w:sz w:val="18"/>
          <w:szCs w:val="18"/>
          <w:color w:val="auto"/>
        </w:rPr>
        <w:t>Title: President, Chief Financial Officer and Treasurer</w:t>
      </w:r>
    </w:p>
    <w:p>
      <w:pPr>
        <w:sectPr>
          <w:pgSz w:w="11900" w:h="16838" w:orient="portrait"/>
          <w:cols w:equalWidth="0" w:num="1">
            <w:col w:w="9019"/>
          </w:cols>
          <w:pgMar w:left="1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Indenture]</w:t>
      </w:r>
    </w:p>
    <w:p>
      <w:pPr>
        <w:sectPr>
          <w:pgSz w:w="11900" w:h="16838" w:orient="portrait"/>
          <w:cols w:equalWidth="0" w:num="1">
            <w:col w:w="9019"/>
          </w:cols>
          <w:pgMar w:left="1440" w:top="1413" w:right="1440" w:bottom="1440" w:gutter="0" w:footer="0" w:header="0"/>
          <w:type w:val="continuous"/>
        </w:sectPr>
      </w:pPr>
    </w:p>
    <w:bookmarkStart w:id="142" w:name="page143"/>
    <w:bookmarkEnd w:id="1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WYNN LAS VEGAS, LLC</w:t>
      </w:r>
    </w:p>
    <w:p>
      <w:pPr>
        <w:spacing w:after="0" w:line="24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By: Wynn Las Vegas Holdings, LLC, its sole member</w:t>
      </w:r>
    </w:p>
    <w:p>
      <w:pPr>
        <w:spacing w:after="0" w:line="266"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Finance, LLC, its sole member</w:t>
      </w:r>
    </w:p>
    <w:p>
      <w:pPr>
        <w:spacing w:after="0" w:line="254"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Holdings, LLC, its sole member</w:t>
      </w:r>
    </w:p>
    <w:p>
      <w:pPr>
        <w:spacing w:after="0" w:line="25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30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Craig S. Billings</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Craig S. Billings</w:t>
      </w:r>
    </w:p>
    <w:p>
      <w:pPr>
        <w:ind w:left="2780"/>
        <w:spacing w:after="0"/>
        <w:rPr>
          <w:sz w:val="20"/>
          <w:szCs w:val="20"/>
          <w:color w:val="auto"/>
        </w:rPr>
      </w:pPr>
      <w:r>
        <w:rPr>
          <w:rFonts w:ascii="Arial" w:cs="Arial" w:eastAsia="Arial" w:hAnsi="Arial"/>
          <w:sz w:val="18"/>
          <w:szCs w:val="18"/>
          <w:color w:val="auto"/>
        </w:rPr>
        <w:t>Title: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WYNN MA, LLC</w:t>
      </w:r>
    </w:p>
    <w:p>
      <w:pPr>
        <w:spacing w:after="0" w:line="24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Wynn America Group, LLC, its sole member</w:t>
      </w:r>
    </w:p>
    <w:p>
      <w:pPr>
        <w:spacing w:after="0" w:line="243"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Finance, LLC, its sole member</w:t>
      </w:r>
    </w:p>
    <w:p>
      <w:pPr>
        <w:spacing w:after="0" w:line="254"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Holdings, LLC, its sole member</w:t>
      </w:r>
    </w:p>
    <w:p>
      <w:pPr>
        <w:spacing w:after="0" w:line="25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30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Craig S. Billings</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Craig S. Billings</w:t>
      </w:r>
    </w:p>
    <w:p>
      <w:pPr>
        <w:ind w:left="2780"/>
        <w:spacing w:after="0"/>
        <w:rPr>
          <w:sz w:val="20"/>
          <w:szCs w:val="20"/>
          <w:color w:val="auto"/>
        </w:rPr>
      </w:pPr>
      <w:r>
        <w:rPr>
          <w:rFonts w:ascii="Arial" w:cs="Arial" w:eastAsia="Arial" w:hAnsi="Arial"/>
          <w:sz w:val="18"/>
          <w:szCs w:val="18"/>
          <w:color w:val="auto"/>
        </w:rPr>
        <w:t>Title: President, Chief Financial Officer and Treasurer</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Indenture]</w:t>
      </w:r>
    </w:p>
    <w:p>
      <w:pPr>
        <w:sectPr>
          <w:pgSz w:w="11900" w:h="16838" w:orient="portrait"/>
          <w:cols w:equalWidth="0" w:num="1">
            <w:col w:w="9019"/>
          </w:cols>
          <w:pgMar w:left="1440" w:top="1440" w:right="1440" w:bottom="1440" w:gutter="0" w:footer="0" w:header="0"/>
          <w:type w:val="continuous"/>
        </w:sectPr>
      </w:pPr>
    </w:p>
    <w:bookmarkStart w:id="143" w:name="page144"/>
    <w:bookmarkEnd w:id="143"/>
    <w:p>
      <w:pPr>
        <w:ind w:left="2780"/>
        <w:spacing w:after="0"/>
        <w:rPr>
          <w:sz w:val="20"/>
          <w:szCs w:val="20"/>
          <w:color w:val="auto"/>
        </w:rPr>
      </w:pPr>
      <w:r>
        <w:rPr>
          <w:rFonts w:ascii="Arial" w:cs="Arial" w:eastAsia="Arial" w:hAnsi="Arial"/>
          <w:sz w:val="20"/>
          <w:szCs w:val="20"/>
          <w:b w:val="1"/>
          <w:bCs w:val="1"/>
          <w:color w:val="auto"/>
        </w:rPr>
        <w:t>WYNN SUNRISE, LLC</w:t>
      </w:r>
    </w:p>
    <w:p>
      <w:pPr>
        <w:spacing w:after="0" w:line="24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Wynn Las Vegas, LLC its sole member</w:t>
      </w:r>
    </w:p>
    <w:p>
      <w:pPr>
        <w:spacing w:after="0" w:line="24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By: Wynn Las Vegas Holdings, LLC, its sole member</w:t>
      </w:r>
    </w:p>
    <w:p>
      <w:pPr>
        <w:spacing w:after="0" w:line="266"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Finance, LLC, its sole member</w:t>
      </w:r>
    </w:p>
    <w:p>
      <w:pPr>
        <w:spacing w:after="0" w:line="254"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Holdings, LLC, its sole member</w:t>
      </w:r>
    </w:p>
    <w:p>
      <w:pPr>
        <w:spacing w:after="0" w:line="25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30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Craig S. Billings</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Craig S. Billings</w:t>
      </w:r>
    </w:p>
    <w:p>
      <w:pPr>
        <w:ind w:left="2780"/>
        <w:spacing w:after="0"/>
        <w:rPr>
          <w:sz w:val="20"/>
          <w:szCs w:val="20"/>
          <w:color w:val="auto"/>
        </w:rPr>
      </w:pPr>
      <w:r>
        <w:rPr>
          <w:rFonts w:ascii="Arial" w:cs="Arial" w:eastAsia="Arial" w:hAnsi="Arial"/>
          <w:sz w:val="18"/>
          <w:szCs w:val="18"/>
          <w:color w:val="auto"/>
        </w:rPr>
        <w:t>Title: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Indenture]</w:t>
      </w:r>
    </w:p>
    <w:p>
      <w:pPr>
        <w:sectPr>
          <w:pgSz w:w="11900" w:h="16838" w:orient="portrait"/>
          <w:cols w:equalWidth="0" w:num="1">
            <w:col w:w="9019"/>
          </w:cols>
          <w:pgMar w:left="1440" w:top="1413" w:right="1440" w:bottom="1440" w:gutter="0" w:footer="0" w:header="0"/>
        </w:sectPr>
      </w:pPr>
    </w:p>
    <w:bookmarkStart w:id="144" w:name="page145"/>
    <w:bookmarkEnd w:id="144"/>
    <w:p>
      <w:pPr>
        <w:jc w:val="center"/>
        <w:ind w:right="99"/>
        <w:spacing w:after="0"/>
        <w:rPr>
          <w:sz w:val="20"/>
          <w:szCs w:val="20"/>
          <w:color w:val="auto"/>
        </w:rPr>
      </w:pPr>
      <w:r>
        <w:rPr>
          <w:rFonts w:ascii="Arial" w:cs="Arial" w:eastAsia="Arial" w:hAnsi="Arial"/>
          <w:sz w:val="19"/>
          <w:szCs w:val="19"/>
          <w:b w:val="1"/>
          <w:bCs w:val="1"/>
          <w:color w:val="auto"/>
        </w:rPr>
        <w:t>WYNN LAS VEGAS CAPITAL CORP.</w:t>
      </w:r>
    </w:p>
    <w:p>
      <w:pPr>
        <w:spacing w:after="0" w:line="200" w:lineRule="exact"/>
        <w:rPr>
          <w:sz w:val="20"/>
          <w:szCs w:val="20"/>
          <w:color w:val="auto"/>
        </w:rPr>
      </w:pPr>
    </w:p>
    <w:p>
      <w:pPr>
        <w:spacing w:after="0" w:line="30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Craig S. Billings</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Craig S. Billings</w:t>
      </w:r>
    </w:p>
    <w:p>
      <w:pPr>
        <w:ind w:left="2780"/>
        <w:spacing w:after="0"/>
        <w:rPr>
          <w:sz w:val="20"/>
          <w:szCs w:val="20"/>
          <w:color w:val="auto"/>
        </w:rPr>
      </w:pPr>
      <w:r>
        <w:rPr>
          <w:rFonts w:ascii="Arial" w:cs="Arial" w:eastAsia="Arial" w:hAnsi="Arial"/>
          <w:sz w:val="18"/>
          <w:szCs w:val="18"/>
          <w:color w:val="auto"/>
        </w:rPr>
        <w:t>Title: Treasurer and Chief Financial Officer</w:t>
      </w:r>
    </w:p>
    <w:p>
      <w:pPr>
        <w:sectPr>
          <w:pgSz w:w="11900" w:h="16838" w:orient="portrait"/>
          <w:cols w:equalWidth="0" w:num="1">
            <w:col w:w="9019"/>
          </w:cols>
          <w:pgMar w:left="1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Indenture]</w:t>
      </w:r>
    </w:p>
    <w:p>
      <w:pPr>
        <w:sectPr>
          <w:pgSz w:w="11900" w:h="16838" w:orient="portrait"/>
          <w:cols w:equalWidth="0" w:num="1">
            <w:col w:w="9019"/>
          </w:cols>
          <w:pgMar w:left="1440" w:top="1413" w:right="1440" w:bottom="1440" w:gutter="0" w:footer="0" w:header="0"/>
          <w:type w:val="continuous"/>
        </w:sectPr>
      </w:pPr>
    </w:p>
    <w:bookmarkStart w:id="145" w:name="page146"/>
    <w:bookmarkEnd w:id="145"/>
    <w:p>
      <w:pPr>
        <w:ind w:left="2300"/>
        <w:spacing w:after="0"/>
        <w:rPr>
          <w:sz w:val="20"/>
          <w:szCs w:val="20"/>
          <w:color w:val="auto"/>
        </w:rPr>
      </w:pPr>
      <w:r>
        <w:rPr>
          <w:rFonts w:ascii="Arial" w:cs="Arial" w:eastAsia="Arial" w:hAnsi="Arial"/>
          <w:sz w:val="22"/>
          <w:szCs w:val="22"/>
          <w:b w:val="1"/>
          <w:bCs w:val="1"/>
          <w:color w:val="auto"/>
        </w:rPr>
        <w:t>U.S. BANK NATIONAL ASSOCIATION</w:t>
      </w:r>
      <w:r>
        <w:rPr>
          <w:rFonts w:ascii="Arial" w:cs="Arial" w:eastAsia="Arial" w:hAnsi="Arial"/>
          <w:sz w:val="22"/>
          <w:szCs w:val="22"/>
          <w:color w:val="auto"/>
        </w:rPr>
        <w:t>,</w:t>
      </w:r>
    </w:p>
    <w:p>
      <w:pPr>
        <w:spacing w:after="0" w:line="27" w:lineRule="exact"/>
        <w:rPr>
          <w:sz w:val="20"/>
          <w:szCs w:val="20"/>
          <w:color w:val="auto"/>
        </w:rPr>
      </w:pPr>
    </w:p>
    <w:p>
      <w:pPr>
        <w:ind w:left="2300"/>
        <w:spacing w:after="0"/>
        <w:rPr>
          <w:sz w:val="20"/>
          <w:szCs w:val="20"/>
          <w:color w:val="auto"/>
        </w:rPr>
      </w:pPr>
      <w:r>
        <w:rPr>
          <w:rFonts w:ascii="Arial" w:cs="Arial" w:eastAsia="Arial" w:hAnsi="Arial"/>
          <w:sz w:val="19"/>
          <w:szCs w:val="19"/>
          <w:color w:val="auto"/>
        </w:rPr>
        <w:t>not in its individual capacity but solely as Trustee</w:t>
      </w:r>
    </w:p>
    <w:p>
      <w:pPr>
        <w:spacing w:after="0" w:line="263"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Joshua A. Hahn</w:t>
      </w:r>
    </w:p>
    <w:p>
      <w:pPr>
        <w:spacing w:after="0" w:line="21"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Name: Joshua A. Hahn</w:t>
      </w:r>
    </w:p>
    <w:p>
      <w:pPr>
        <w:spacing w:after="0" w:line="4"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Indenture]</w:t>
      </w:r>
    </w:p>
    <w:p>
      <w:pPr>
        <w:sectPr>
          <w:pgSz w:w="11900" w:h="16838" w:orient="portrait"/>
          <w:cols w:equalWidth="0" w:num="1">
            <w:col w:w="9019"/>
          </w:cols>
          <w:pgMar w:left="1440" w:top="1421" w:right="1440" w:bottom="1440" w:gutter="0" w:footer="0" w:header="0"/>
        </w:sectPr>
      </w:pPr>
    </w:p>
    <w:bookmarkStart w:id="146" w:name="page147"/>
    <w:bookmarkEnd w:id="146"/>
    <w:p>
      <w:pPr>
        <w:ind w:left="9920"/>
        <w:spacing w:after="0"/>
        <w:rPr>
          <w:sz w:val="20"/>
          <w:szCs w:val="20"/>
          <w:color w:val="auto"/>
        </w:rPr>
      </w:pPr>
      <w:r>
        <w:rPr>
          <w:rFonts w:ascii="Arial" w:cs="Arial" w:eastAsia="Arial" w:hAnsi="Arial"/>
          <w:sz w:val="22"/>
          <w:szCs w:val="22"/>
          <w:b w:val="1"/>
          <w:bCs w:val="1"/>
          <w:color w:val="auto"/>
        </w:rPr>
        <w:t>EXHIBIT A-1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[Face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69862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CUSIP/ISIN 983133 AB5/US983133AB53</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7.750% Senior Notes due 2025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No. ___ $____________</w:t>
      </w:r>
    </w:p>
    <w:p>
      <w:pPr>
        <w:spacing w:after="0" w:line="19"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WYNN RESORTS FINANCE, LLC</w:t>
      </w:r>
    </w:p>
    <w:p>
      <w:pPr>
        <w:spacing w:after="0" w:line="5"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WYNN RESORTS CAPITAL CORP.</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promise to pay to ______________________ or registered assigns,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principal sum of</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DOLLARS on April 15, 2025.</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Interest Payment Dates: April 15 and October 15</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Record Dates: April 1 and October 1</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Dated: April 14, 2020</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A-1-1</w:t>
      </w:r>
    </w:p>
    <w:p>
      <w:pPr>
        <w:sectPr>
          <w:pgSz w:w="11900" w:h="16838" w:orient="portrait"/>
          <w:cols w:equalWidth="0" w:num="1">
            <w:col w:w="11240"/>
          </w:cols>
          <w:pgMar w:left="320" w:top="125" w:right="339" w:bottom="1440" w:gutter="0" w:footer="0" w:header="0"/>
        </w:sectPr>
      </w:pPr>
    </w:p>
    <w:bookmarkStart w:id="147" w:name="page148"/>
    <w:bookmarkEnd w:id="147"/>
    <w:p>
      <w:pPr>
        <w:ind w:left="2780"/>
        <w:spacing w:after="0"/>
        <w:rPr>
          <w:sz w:val="20"/>
          <w:szCs w:val="20"/>
          <w:color w:val="auto"/>
        </w:rPr>
      </w:pPr>
      <w:r>
        <w:rPr>
          <w:rFonts w:ascii="Arial" w:cs="Arial" w:eastAsia="Arial" w:hAnsi="Arial"/>
          <w:sz w:val="20"/>
          <w:szCs w:val="20"/>
          <w:b w:val="1"/>
          <w:bCs w:val="1"/>
          <w:color w:val="auto"/>
        </w:rPr>
        <w:t>WYNN RESORTS FINANCE, LLC</w:t>
      </w:r>
    </w:p>
    <w:p>
      <w:pPr>
        <w:spacing w:after="0" w:line="249"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Holdings, LLC, its sole member</w:t>
      </w:r>
    </w:p>
    <w:p>
      <w:pPr>
        <w:spacing w:after="0" w:line="25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30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1568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15684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 Craig S. Billings</w:t>
      </w:r>
    </w:p>
    <w:p>
      <w:pPr>
        <w:ind w:left="2780"/>
        <w:spacing w:after="0"/>
        <w:rPr>
          <w:sz w:val="20"/>
          <w:szCs w:val="20"/>
          <w:color w:val="auto"/>
        </w:rPr>
      </w:pPr>
      <w:r>
        <w:rPr>
          <w:rFonts w:ascii="Arial" w:cs="Arial" w:eastAsia="Arial" w:hAnsi="Arial"/>
          <w:sz w:val="18"/>
          <w:szCs w:val="18"/>
          <w:color w:val="auto"/>
        </w:rPr>
        <w:t>Title: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99"/>
        <w:spacing w:after="0"/>
        <w:rPr>
          <w:sz w:val="20"/>
          <w:szCs w:val="20"/>
          <w:color w:val="auto"/>
        </w:rPr>
      </w:pPr>
      <w:r>
        <w:rPr>
          <w:rFonts w:ascii="Arial" w:cs="Arial" w:eastAsia="Arial" w:hAnsi="Arial"/>
          <w:sz w:val="19"/>
          <w:szCs w:val="19"/>
          <w:b w:val="1"/>
          <w:bCs w:val="1"/>
          <w:color w:val="auto"/>
        </w:rPr>
        <w:t>WYNN RESORTS CAPITAL CORP.</w:t>
      </w:r>
    </w:p>
    <w:p>
      <w:pPr>
        <w:spacing w:after="0" w:line="200" w:lineRule="exact"/>
        <w:rPr>
          <w:sz w:val="20"/>
          <w:szCs w:val="20"/>
          <w:color w:val="auto"/>
        </w:rPr>
      </w:pPr>
    </w:p>
    <w:p>
      <w:pPr>
        <w:spacing w:after="0" w:line="30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1568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15684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 Craig S. Billings</w:t>
      </w:r>
    </w:p>
    <w:p>
      <w:pPr>
        <w:ind w:left="2780"/>
        <w:spacing w:after="0"/>
        <w:rPr>
          <w:sz w:val="20"/>
          <w:szCs w:val="20"/>
          <w:color w:val="auto"/>
        </w:rPr>
      </w:pPr>
      <w:r>
        <w:rPr>
          <w:rFonts w:ascii="Arial" w:cs="Arial" w:eastAsia="Arial" w:hAnsi="Arial"/>
          <w:sz w:val="20"/>
          <w:szCs w:val="20"/>
          <w:color w:val="auto"/>
        </w:rPr>
        <w:t>Title: President and Treasurer</w:t>
      </w:r>
    </w:p>
    <w:p>
      <w:pPr>
        <w:sectPr>
          <w:pgSz w:w="11900" w:h="16838" w:orient="portrait"/>
          <w:cols w:equalWidth="0" w:num="1">
            <w:col w:w="9019"/>
          </w:cols>
          <w:pgMar w:left="1440" w:top="1413" w:right="1440" w:bottom="1440" w:gutter="0" w:footer="0" w:header="0"/>
        </w:sectPr>
      </w:pPr>
    </w:p>
    <w:bookmarkStart w:id="148" w:name="page149"/>
    <w:bookmarkEnd w:id="148"/>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This is one of the Notes referred to</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 the within-mentioned Indenture:</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BANK NATIONAL ASSOCIATION</w:t>
      </w:r>
      <w:r>
        <w:rPr>
          <w:rFonts w:ascii="Arial" w:cs="Arial" w:eastAsia="Arial" w:hAnsi="Arial"/>
          <w:sz w:val="16"/>
          <w:szCs w:val="16"/>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as Trustee</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Authorized Signatory</w:t>
      </w:r>
    </w:p>
    <w:p>
      <w:pPr>
        <w:spacing w:after="0" w:line="22"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[Back of Note]7.750% Senior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9862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9" w:name="page150"/>
    <w:bookmarkEnd w:id="149"/>
    <w:p>
      <w:pPr>
        <w:ind w:right="2620"/>
        <w:spacing w:after="0" w:line="51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Insert the Private Placement Legend, if applicable, pursuant to Section 2.06(f)(1) of the Indenture</w:t>
      </w:r>
      <w:r>
        <w:rPr>
          <w:rFonts w:ascii="Arial" w:cs="Arial" w:eastAsia="Arial" w:hAnsi="Arial"/>
          <w:sz w:val="19"/>
          <w:szCs w:val="19"/>
          <w:color w:val="auto"/>
        </w:rPr>
        <w:t>] [</w:t>
      </w:r>
      <w:r>
        <w:rPr>
          <w:rFonts w:ascii="Arial" w:cs="Arial" w:eastAsia="Arial" w:hAnsi="Arial"/>
          <w:sz w:val="19"/>
          <w:szCs w:val="19"/>
          <w:i w:val="1"/>
          <w:iCs w:val="1"/>
          <w:color w:val="auto"/>
        </w:rPr>
        <w:t>Insert the Global Notes Legend, if applicable, pursuant to Section 2.06(f)(2) of the Indenture</w:t>
      </w:r>
      <w:r>
        <w:rPr>
          <w:rFonts w:ascii="Arial" w:cs="Arial" w:eastAsia="Arial" w:hAnsi="Arial"/>
          <w:sz w:val="19"/>
          <w:szCs w:val="19"/>
          <w:color w:val="auto"/>
        </w:rPr>
        <w:t>]</w:t>
      </w:r>
    </w:p>
    <w:p>
      <w:pPr>
        <w:ind w:firstLine="648"/>
        <w:spacing w:after="0" w:line="263" w:lineRule="auto"/>
        <w:rPr>
          <w:sz w:val="20"/>
          <w:szCs w:val="20"/>
          <w:color w:val="auto"/>
        </w:rPr>
      </w:pPr>
      <w:r>
        <w:rPr>
          <w:rFonts w:ascii="Arial" w:cs="Arial" w:eastAsia="Arial" w:hAnsi="Arial"/>
          <w:sz w:val="22"/>
          <w:szCs w:val="22"/>
          <w:color w:val="auto"/>
        </w:rPr>
        <w:t>Capitalized terms used herein have the meanings assigned to them in the Indenture referred to below unless otherwise indicated.</w:t>
      </w:r>
    </w:p>
    <w:p>
      <w:pPr>
        <w:spacing w:after="0" w:line="175" w:lineRule="exact"/>
        <w:rPr>
          <w:sz w:val="20"/>
          <w:szCs w:val="20"/>
          <w:color w:val="auto"/>
        </w:rPr>
      </w:pPr>
    </w:p>
    <w:p>
      <w:pPr>
        <w:jc w:val="both"/>
        <w:ind w:firstLine="1304"/>
        <w:spacing w:after="0" w:line="286" w:lineRule="auto"/>
        <w:tabs>
          <w:tab w:leader="none" w:pos="1944" w:val="left"/>
        </w:tabs>
        <w:numPr>
          <w:ilvl w:val="0"/>
          <w:numId w:val="168"/>
        </w:numPr>
        <w:rPr>
          <w:rFonts w:ascii="Arial" w:cs="Arial" w:eastAsia="Arial" w:hAnsi="Arial"/>
          <w:sz w:val="19"/>
          <w:szCs w:val="19"/>
          <w:color w:val="auto"/>
        </w:rPr>
      </w:pPr>
      <w:r>
        <w:rPr>
          <w:rFonts w:ascii="Arial" w:cs="Arial" w:eastAsia="Arial" w:hAnsi="Arial"/>
          <w:sz w:val="19"/>
          <w:szCs w:val="19"/>
          <w:i w:val="1"/>
          <w:iCs w:val="1"/>
          <w:color w:val="auto"/>
        </w:rPr>
        <w:t>Interest</w:t>
      </w:r>
      <w:r>
        <w:rPr>
          <w:rFonts w:ascii="Arial" w:cs="Arial" w:eastAsia="Arial" w:hAnsi="Arial"/>
          <w:sz w:val="19"/>
          <w:szCs w:val="19"/>
          <w:color w:val="auto"/>
        </w:rPr>
        <w:t>. Wynn Resorts Finance, LLC, a Nevada limited liability company (“</w:t>
      </w:r>
      <w:r>
        <w:rPr>
          <w:rFonts w:ascii="Arial" w:cs="Arial" w:eastAsia="Arial" w:hAnsi="Arial"/>
          <w:sz w:val="19"/>
          <w:szCs w:val="19"/>
          <w:i w:val="1"/>
          <w:iCs w:val="1"/>
          <w:u w:val="single" w:color="auto"/>
          <w:color w:val="auto"/>
        </w:rPr>
        <w:t>Wynn Resorts Finance</w:t>
      </w:r>
      <w:r>
        <w:rPr>
          <w:rFonts w:ascii="Arial" w:cs="Arial" w:eastAsia="Arial" w:hAnsi="Arial"/>
          <w:sz w:val="19"/>
          <w:szCs w:val="19"/>
          <w:color w:val="auto"/>
        </w:rPr>
        <w:t>” ) and</w:t>
      </w:r>
      <w:r>
        <w:rPr>
          <w:rFonts w:ascii="Arial" w:cs="Arial" w:eastAsia="Arial" w:hAnsi="Arial"/>
          <w:sz w:val="19"/>
          <w:szCs w:val="19"/>
          <w:i w:val="1"/>
          <w:iCs w:val="1"/>
          <w:color w:val="auto"/>
        </w:rPr>
        <w:t xml:space="preserve"> </w:t>
      </w:r>
      <w:r>
        <w:rPr>
          <w:rFonts w:ascii="Arial" w:cs="Arial" w:eastAsia="Arial" w:hAnsi="Arial"/>
          <w:sz w:val="19"/>
          <w:szCs w:val="19"/>
          <w:color w:val="auto"/>
        </w:rPr>
        <w:t>Wynn Resorts Capital Corp., a Nevada corporation (“Wynn Resorts Capital,” and together with Wynn Resorts Finance, the “</w:t>
      </w:r>
      <w:r>
        <w:rPr>
          <w:rFonts w:ascii="Arial" w:cs="Arial" w:eastAsia="Arial" w:hAnsi="Arial"/>
          <w:sz w:val="19"/>
          <w:szCs w:val="19"/>
          <w:i w:val="1"/>
          <w:iCs w:val="1"/>
          <w:u w:val="single" w:color="auto"/>
          <w:color w:val="auto"/>
        </w:rPr>
        <w:t>Issuers</w:t>
      </w:r>
      <w:r>
        <w:rPr>
          <w:rFonts w:ascii="Arial" w:cs="Arial" w:eastAsia="Arial" w:hAnsi="Arial"/>
          <w:sz w:val="19"/>
          <w:szCs w:val="19"/>
          <w:color w:val="auto"/>
        </w:rPr>
        <w:t>”), as joint and several obligors, promise to pay interest on the principal amount of this Note at 7.750% per annum from April 14, 2020 until maturity. The Issuers shall pay interest semi-annually in arrears on April 15 and October 15 of each year, or if any such day is not a Business Day, on the next succeeding Business Day (each, an “</w:t>
      </w:r>
      <w:r>
        <w:rPr>
          <w:rFonts w:ascii="Arial" w:cs="Arial" w:eastAsia="Arial" w:hAnsi="Arial"/>
          <w:sz w:val="19"/>
          <w:szCs w:val="19"/>
          <w:i w:val="1"/>
          <w:iCs w:val="1"/>
          <w:u w:val="single" w:color="auto"/>
          <w:color w:val="auto"/>
        </w:rPr>
        <w:t>Interest Payment Date</w:t>
      </w:r>
      <w:r>
        <w:rPr>
          <w:rFonts w:ascii="Arial" w:cs="Arial" w:eastAsia="Arial" w:hAnsi="Arial"/>
          <w:sz w:val="19"/>
          <w:szCs w:val="19"/>
          <w:color w:val="auto"/>
        </w:rPr>
        <w:t xml:space="preserve">”). Interest on the Notes shall accrue from the most recent date to which interest has been paid or, if no interest has been paid, from the date of issuance;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the first Interest Payment Date shall be October 15, 2020. The Issuers shall pay interest (including post-petition interest in any proceeding under any Bankruptcy Law) on overdue principal and premium, if any, from time to time on demand at a rate that is 1% per annum in excess of the rate then in effect;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firstLine="1304"/>
        <w:spacing w:after="0" w:line="288" w:lineRule="auto"/>
        <w:tabs>
          <w:tab w:leader="none" w:pos="1944" w:val="left"/>
        </w:tabs>
        <w:numPr>
          <w:ilvl w:val="0"/>
          <w:numId w:val="168"/>
        </w:numPr>
        <w:rPr>
          <w:rFonts w:ascii="Arial" w:cs="Arial" w:eastAsia="Arial" w:hAnsi="Arial"/>
          <w:sz w:val="19"/>
          <w:szCs w:val="19"/>
          <w:color w:val="auto"/>
        </w:rPr>
      </w:pPr>
      <w:r>
        <w:rPr>
          <w:rFonts w:ascii="Arial" w:cs="Arial" w:eastAsia="Arial" w:hAnsi="Arial"/>
          <w:sz w:val="19"/>
          <w:szCs w:val="19"/>
          <w:i w:val="1"/>
          <w:iCs w:val="1"/>
          <w:color w:val="auto"/>
        </w:rPr>
        <w:t>Method of Payment</w:t>
      </w:r>
      <w:r>
        <w:rPr>
          <w:rFonts w:ascii="Arial" w:cs="Arial" w:eastAsia="Arial" w:hAnsi="Arial"/>
          <w:sz w:val="19"/>
          <w:szCs w:val="19"/>
          <w:color w:val="auto"/>
        </w:rPr>
        <w:t>. The Issuers shall pay interest on the Notes (except defaulted interest) to the Persons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who are registered Holders of Notes at the close of business on the April 1 and October 1 next preceding the Interest Payment Date, even if such Notes are canceled after such record date and on or before such Interest Payment Date, except as provided in Section 2.12 of the Indenture with respect to defaulted interest. The Notes shall be payable as to principal, premium, if any, and interest at the office or agency of the Issuers maintained for such purpose within or without the City and State of New York, or, at the option of the Issuers, payment of interest, if any, may be made by check mailed to the Holders at their addresses set forth in the register of Holders;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payment by wire transfer of immediately available funds shall be required with respect to principal of and interest, premium, if any, on, all Global Notes and all other Notes the Holders of which shall have provided wire transfer instructions to the Issuers or the Paying Agent. Such payment shall be in such coin or currency of the United States of America as at the time of payment is legal tender for payment of public and private debts.</w:t>
      </w:r>
    </w:p>
    <w:p>
      <w:pPr>
        <w:spacing w:after="0" w:line="159" w:lineRule="exact"/>
        <w:rPr>
          <w:rFonts w:ascii="Arial" w:cs="Arial" w:eastAsia="Arial" w:hAnsi="Arial"/>
          <w:sz w:val="19"/>
          <w:szCs w:val="19"/>
          <w:color w:val="auto"/>
        </w:rPr>
      </w:pPr>
    </w:p>
    <w:p>
      <w:pPr>
        <w:ind w:firstLine="1304"/>
        <w:spacing w:after="0" w:line="263" w:lineRule="auto"/>
        <w:tabs>
          <w:tab w:leader="none" w:pos="1944" w:val="left"/>
        </w:tabs>
        <w:numPr>
          <w:ilvl w:val="0"/>
          <w:numId w:val="168"/>
        </w:numPr>
        <w:rPr>
          <w:rFonts w:ascii="Arial" w:cs="Arial" w:eastAsia="Arial" w:hAnsi="Arial"/>
          <w:sz w:val="22"/>
          <w:szCs w:val="22"/>
          <w:color w:val="auto"/>
        </w:rPr>
      </w:pPr>
      <w:r>
        <w:rPr>
          <w:rFonts w:ascii="Arial" w:cs="Arial" w:eastAsia="Arial" w:hAnsi="Arial"/>
          <w:sz w:val="22"/>
          <w:szCs w:val="22"/>
          <w:i w:val="1"/>
          <w:iCs w:val="1"/>
          <w:color w:val="auto"/>
        </w:rPr>
        <w:t>Paying Agent and Registrar</w:t>
      </w:r>
      <w:r>
        <w:rPr>
          <w:rFonts w:ascii="Arial" w:cs="Arial" w:eastAsia="Arial" w:hAnsi="Arial"/>
          <w:sz w:val="22"/>
          <w:szCs w:val="22"/>
          <w:color w:val="auto"/>
        </w:rPr>
        <w:t>. Initially, U.S. Bank National Association, the Trustee under the Indenture,</w:t>
      </w:r>
      <w:r>
        <w:rPr>
          <w:rFonts w:ascii="Arial" w:cs="Arial" w:eastAsia="Arial" w:hAnsi="Arial"/>
          <w:sz w:val="22"/>
          <w:szCs w:val="22"/>
          <w:i w:val="1"/>
          <w:iCs w:val="1"/>
          <w:color w:val="auto"/>
        </w:rPr>
        <w:t xml:space="preserve"> </w:t>
      </w:r>
      <w:r>
        <w:rPr>
          <w:rFonts w:ascii="Arial" w:cs="Arial" w:eastAsia="Arial" w:hAnsi="Arial"/>
          <w:sz w:val="22"/>
          <w:szCs w:val="22"/>
          <w:color w:val="auto"/>
        </w:rPr>
        <w:t>shall act as Paying Agent and Registrar. The Issuers may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A-1-4</w:t>
      </w:r>
    </w:p>
    <w:p>
      <w:pPr>
        <w:sectPr>
          <w:pgSz w:w="11900" w:h="16838" w:orient="portrait"/>
          <w:cols w:equalWidth="0" w:num="1">
            <w:col w:w="11240"/>
          </w:cols>
          <w:pgMar w:left="320" w:top="1427" w:right="339" w:bottom="1440" w:gutter="0" w:footer="0" w:header="0"/>
        </w:sectPr>
      </w:pPr>
    </w:p>
    <w:bookmarkStart w:id="150" w:name="page151"/>
    <w:bookmarkEnd w:id="150"/>
    <w:p>
      <w:pPr>
        <w:spacing w:after="0"/>
        <w:rPr>
          <w:sz w:val="20"/>
          <w:szCs w:val="20"/>
          <w:color w:val="auto"/>
        </w:rPr>
      </w:pPr>
      <w:r>
        <w:rPr>
          <w:rFonts w:ascii="Arial" w:cs="Arial" w:eastAsia="Arial" w:hAnsi="Arial"/>
          <w:sz w:val="19"/>
          <w:szCs w:val="19"/>
          <w:color w:val="auto"/>
        </w:rPr>
        <w:t>change any Paying Agent or Registrar without notice to any Holder. Either Issuer or any Guarantor may act in any such capacity.</w:t>
      </w:r>
    </w:p>
    <w:p>
      <w:pPr>
        <w:spacing w:after="0" w:line="254" w:lineRule="exact"/>
        <w:rPr>
          <w:sz w:val="20"/>
          <w:szCs w:val="20"/>
          <w:color w:val="auto"/>
        </w:rPr>
      </w:pPr>
    </w:p>
    <w:p>
      <w:pPr>
        <w:jc w:val="both"/>
        <w:ind w:firstLine="1304"/>
        <w:spacing w:after="0" w:line="292" w:lineRule="auto"/>
        <w:tabs>
          <w:tab w:leader="none" w:pos="1944" w:val="left"/>
        </w:tabs>
        <w:numPr>
          <w:ilvl w:val="0"/>
          <w:numId w:val="169"/>
        </w:numPr>
        <w:rPr>
          <w:rFonts w:ascii="Arial" w:cs="Arial" w:eastAsia="Arial" w:hAnsi="Arial"/>
          <w:sz w:val="19"/>
          <w:szCs w:val="19"/>
          <w:color w:val="auto"/>
        </w:rPr>
      </w:pPr>
      <w:r>
        <w:rPr>
          <w:rFonts w:ascii="Arial" w:cs="Arial" w:eastAsia="Arial" w:hAnsi="Arial"/>
          <w:sz w:val="19"/>
          <w:szCs w:val="19"/>
          <w:i w:val="1"/>
          <w:iCs w:val="1"/>
          <w:color w:val="auto"/>
        </w:rPr>
        <w:t>Indenture</w:t>
      </w:r>
      <w:r>
        <w:rPr>
          <w:rFonts w:ascii="Arial" w:cs="Arial" w:eastAsia="Arial" w:hAnsi="Arial"/>
          <w:sz w:val="19"/>
          <w:szCs w:val="19"/>
          <w:color w:val="auto"/>
        </w:rPr>
        <w:t>. The Issuers issued the Notes under an Indenture dated as of April 14, 2020 (the “</w:t>
      </w:r>
      <w:r>
        <w:rPr>
          <w:rFonts w:ascii="Arial" w:cs="Arial" w:eastAsia="Arial" w:hAnsi="Arial"/>
          <w:sz w:val="19"/>
          <w:szCs w:val="19"/>
          <w:i w:val="1"/>
          <w:iCs w:val="1"/>
          <w:u w:val="single" w:color="auto"/>
          <w:color w:val="auto"/>
        </w:rPr>
        <w:t>Indenture</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among the Issuers, the Guarantors and the Trustee.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unsecured obligations of the Issuers. The Indenture does not limit the aggregate principal amount of Notes that may be issued thereunder. Notes issued after the date of the Indenture in compliance with the applicable requirements of the Indenture are referred to as “</w:t>
      </w:r>
      <w:r>
        <w:rPr>
          <w:rFonts w:ascii="Arial" w:cs="Arial" w:eastAsia="Arial" w:hAnsi="Arial"/>
          <w:sz w:val="19"/>
          <w:szCs w:val="19"/>
          <w:i w:val="1"/>
          <w:iCs w:val="1"/>
          <w:u w:val="single" w:color="auto"/>
          <w:color w:val="auto"/>
        </w:rPr>
        <w:t>Additional Notes</w:t>
      </w:r>
      <w:r>
        <w:rPr>
          <w:rFonts w:ascii="Arial" w:cs="Arial" w:eastAsia="Arial" w:hAnsi="Arial"/>
          <w:sz w:val="19"/>
          <w:szCs w:val="19"/>
          <w:color w:val="auto"/>
        </w:rPr>
        <w:t>.” The term “</w:t>
      </w:r>
      <w:r>
        <w:rPr>
          <w:rFonts w:ascii="Arial" w:cs="Arial" w:eastAsia="Arial" w:hAnsi="Arial"/>
          <w:sz w:val="19"/>
          <w:szCs w:val="19"/>
          <w:i w:val="1"/>
          <w:iCs w:val="1"/>
          <w:u w:val="single" w:color="auto"/>
          <w:color w:val="auto"/>
        </w:rPr>
        <w:t>Notes</w:t>
      </w:r>
      <w:r>
        <w:rPr>
          <w:rFonts w:ascii="Arial" w:cs="Arial" w:eastAsia="Arial" w:hAnsi="Arial"/>
          <w:sz w:val="19"/>
          <w:szCs w:val="19"/>
          <w:color w:val="auto"/>
        </w:rPr>
        <w:t>” includes any Additional Notes hereafter issued.</w:t>
      </w:r>
    </w:p>
    <w:p>
      <w:pPr>
        <w:spacing w:after="0" w:line="150" w:lineRule="exact"/>
        <w:rPr>
          <w:rFonts w:ascii="Arial" w:cs="Arial" w:eastAsia="Arial" w:hAnsi="Arial"/>
          <w:sz w:val="19"/>
          <w:szCs w:val="19"/>
          <w:color w:val="auto"/>
        </w:rPr>
      </w:pPr>
    </w:p>
    <w:p>
      <w:pPr>
        <w:ind w:left="1960" w:hanging="656"/>
        <w:spacing w:after="0"/>
        <w:tabs>
          <w:tab w:leader="none" w:pos="1960" w:val="left"/>
        </w:tabs>
        <w:numPr>
          <w:ilvl w:val="0"/>
          <w:numId w:val="169"/>
        </w:numPr>
        <w:rPr>
          <w:rFonts w:ascii="Arial" w:cs="Arial" w:eastAsia="Arial" w:hAnsi="Arial"/>
          <w:sz w:val="22"/>
          <w:szCs w:val="22"/>
          <w:color w:val="auto"/>
        </w:rPr>
      </w:pPr>
      <w:r>
        <w:rPr>
          <w:rFonts w:ascii="Arial" w:cs="Arial" w:eastAsia="Arial" w:hAnsi="Arial"/>
          <w:sz w:val="22"/>
          <w:szCs w:val="22"/>
          <w:i w:val="1"/>
          <w:iCs w:val="1"/>
          <w:color w:val="auto"/>
        </w:rPr>
        <w:t>Optional Redemption</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jc w:val="both"/>
        <w:ind w:firstLine="1952"/>
        <w:spacing w:after="0" w:line="216" w:lineRule="auto"/>
        <w:tabs>
          <w:tab w:leader="none" w:pos="2592" w:val="left"/>
        </w:tabs>
        <w:numPr>
          <w:ilvl w:val="1"/>
          <w:numId w:val="169"/>
        </w:numPr>
        <w:rPr>
          <w:rFonts w:ascii="Arial" w:cs="Arial" w:eastAsia="Arial" w:hAnsi="Arial"/>
          <w:sz w:val="22"/>
          <w:szCs w:val="22"/>
          <w:color w:val="auto"/>
        </w:rPr>
      </w:pPr>
      <w:r>
        <w:rPr>
          <w:rFonts w:ascii="Arial" w:cs="Arial" w:eastAsia="Arial" w:hAnsi="Arial"/>
          <w:sz w:val="22"/>
          <w:szCs w:val="22"/>
          <w:color w:val="auto"/>
        </w:rPr>
        <w:t>The Notes are redeemable at the Issuers’ election, in whole or in part at any time prior to their Stated Maturity. The redemption price for the Notes that are redeemed before April 15, 2022 will be equal to 100% of the aggregate principal amount of the Notes plus the Applicable Premium, plus accrued and unpaid interest to, but not including, the redemption date (subject to the right of Holders of record on the relevant record date to receive interest due on an interest payment date falling on or prior to such redemption date).</w:t>
      </w:r>
    </w:p>
    <w:p>
      <w:pPr>
        <w:spacing w:after="0" w:line="157" w:lineRule="exact"/>
        <w:rPr>
          <w:rFonts w:ascii="Arial" w:cs="Arial" w:eastAsia="Arial" w:hAnsi="Arial"/>
          <w:sz w:val="22"/>
          <w:szCs w:val="22"/>
          <w:color w:val="auto"/>
        </w:rPr>
      </w:pPr>
    </w:p>
    <w:p>
      <w:pPr>
        <w:jc w:val="both"/>
        <w:ind w:firstLine="1952"/>
        <w:spacing w:after="0" w:line="252" w:lineRule="auto"/>
        <w:tabs>
          <w:tab w:leader="none" w:pos="2592" w:val="left"/>
        </w:tabs>
        <w:numPr>
          <w:ilvl w:val="1"/>
          <w:numId w:val="169"/>
        </w:numPr>
        <w:rPr>
          <w:rFonts w:ascii="Arial" w:cs="Arial" w:eastAsia="Arial" w:hAnsi="Arial"/>
          <w:sz w:val="19"/>
          <w:szCs w:val="19"/>
          <w:color w:val="auto"/>
        </w:rPr>
      </w:pPr>
      <w:r>
        <w:rPr>
          <w:rFonts w:ascii="Arial" w:cs="Arial" w:eastAsia="Arial" w:hAnsi="Arial"/>
          <w:sz w:val="19"/>
          <w:szCs w:val="19"/>
          <w:color w:val="auto"/>
        </w:rPr>
        <w:t>The redemption price for Notes that are redeemed on or after April 15, 2022 will be the redemption prices (expressed as a percentage of principal amount of the Notes to be redeemed) set forth below, plus accrued and unpaid interest on the Notes, if any, to, but not including, the applicable date of redemption (subject to the right of Holders of record on the relevant record date to receive interest due on an interest payment date falling on or prior to such redemption date), if redeemed during the 12-month period beginning on April 15 of each of the years indicated below:</w:t>
      </w:r>
    </w:p>
    <w:p>
      <w:pPr>
        <w:spacing w:after="0" w:line="187" w:lineRule="exact"/>
        <w:rPr>
          <w:sz w:val="20"/>
          <w:szCs w:val="20"/>
          <w:color w:val="auto"/>
        </w:rPr>
      </w:pPr>
    </w:p>
    <w:tbl>
      <w:tblPr>
        <w:tblLayout w:type="fixed"/>
        <w:tblInd w:w="1720" w:type="dxa"/>
        <w:tblCellMar>
          <w:top w:w="0" w:type="dxa"/>
          <w:left w:w="0" w:type="dxa"/>
          <w:bottom w:w="0" w:type="dxa"/>
          <w:right w:w="0" w:type="dxa"/>
        </w:tblCellMar>
      </w:tblPr>
      <w:tr>
        <w:trPr>
          <w:trHeight w:val="253"/>
        </w:trPr>
        <w:tc>
          <w:tcPr>
            <w:tcW w:w="620" w:type="dxa"/>
            <w:vAlign w:val="bottom"/>
          </w:tcPr>
          <w:p>
            <w:pPr>
              <w:spacing w:after="0"/>
              <w:rPr>
                <w:sz w:val="21"/>
                <w:szCs w:val="21"/>
                <w:color w:val="auto"/>
              </w:rPr>
            </w:pPr>
          </w:p>
        </w:tc>
        <w:tc>
          <w:tcPr>
            <w:tcW w:w="5200" w:type="dxa"/>
            <w:vAlign w:val="bottom"/>
            <w:gridSpan w:val="2"/>
          </w:tcPr>
          <w:p>
            <w:pPr>
              <w:jc w:val="center"/>
              <w:ind w:right="4780"/>
              <w:spacing w:after="0"/>
              <w:rPr>
                <w:sz w:val="20"/>
                <w:szCs w:val="20"/>
                <w:color w:val="auto"/>
              </w:rPr>
            </w:pPr>
            <w:r>
              <w:rPr>
                <w:rFonts w:ascii="Arial" w:cs="Arial" w:eastAsia="Arial" w:hAnsi="Arial"/>
                <w:sz w:val="22"/>
                <w:szCs w:val="22"/>
                <w:b w:val="1"/>
                <w:bCs w:val="1"/>
                <w:color w:val="auto"/>
                <w:w w:val="87"/>
              </w:rPr>
              <w:t>Year</w:t>
            </w: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84"/>
              </w:rPr>
              <w:t>Percentage</w:t>
            </w:r>
          </w:p>
        </w:tc>
      </w:tr>
      <w:tr>
        <w:trPr>
          <w:trHeight w:val="20"/>
        </w:trPr>
        <w:tc>
          <w:tcPr>
            <w:tcW w:w="6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328"/>
        </w:trPr>
        <w:tc>
          <w:tcPr>
            <w:tcW w:w="5820" w:type="dxa"/>
            <w:vAlign w:val="bottom"/>
            <w:gridSpan w:val="3"/>
          </w:tcPr>
          <w:p>
            <w:pPr>
              <w:jc w:val="center"/>
              <w:ind w:right="4160"/>
              <w:spacing w:after="0"/>
              <w:rPr>
                <w:sz w:val="20"/>
                <w:szCs w:val="20"/>
                <w:color w:val="auto"/>
              </w:rPr>
            </w:pPr>
            <w:r>
              <w:rPr>
                <w:rFonts w:ascii="Arial" w:cs="Arial" w:eastAsia="Arial" w:hAnsi="Arial"/>
                <w:sz w:val="22"/>
                <w:szCs w:val="22"/>
                <w:color w:val="auto"/>
                <w:w w:val="85"/>
              </w:rPr>
              <w:t>2022</w:t>
            </w:r>
          </w:p>
        </w:tc>
        <w:tc>
          <w:tcPr>
            <w:tcW w:w="1000" w:type="dxa"/>
            <w:vAlign w:val="bottom"/>
          </w:tcPr>
          <w:p>
            <w:pPr>
              <w:jc w:val="center"/>
              <w:spacing w:after="0"/>
              <w:rPr>
                <w:sz w:val="20"/>
                <w:szCs w:val="20"/>
                <w:color w:val="auto"/>
              </w:rPr>
            </w:pPr>
            <w:r>
              <w:rPr>
                <w:rFonts w:ascii="Arial" w:cs="Arial" w:eastAsia="Arial" w:hAnsi="Arial"/>
                <w:sz w:val="22"/>
                <w:szCs w:val="22"/>
                <w:color w:val="auto"/>
                <w:w w:val="88"/>
              </w:rPr>
              <w:t>103.875%</w:t>
            </w:r>
          </w:p>
        </w:tc>
      </w:tr>
      <w:tr>
        <w:trPr>
          <w:trHeight w:val="297"/>
        </w:trPr>
        <w:tc>
          <w:tcPr>
            <w:tcW w:w="5820" w:type="dxa"/>
            <w:vAlign w:val="bottom"/>
            <w:gridSpan w:val="3"/>
          </w:tcPr>
          <w:p>
            <w:pPr>
              <w:jc w:val="center"/>
              <w:ind w:right="4160"/>
              <w:spacing w:after="0"/>
              <w:rPr>
                <w:sz w:val="20"/>
                <w:szCs w:val="20"/>
                <w:color w:val="auto"/>
              </w:rPr>
            </w:pPr>
            <w:r>
              <w:rPr>
                <w:rFonts w:ascii="Arial" w:cs="Arial" w:eastAsia="Arial" w:hAnsi="Arial"/>
                <w:sz w:val="22"/>
                <w:szCs w:val="22"/>
                <w:color w:val="auto"/>
                <w:w w:val="85"/>
              </w:rPr>
              <w:t>2023</w:t>
            </w:r>
          </w:p>
        </w:tc>
        <w:tc>
          <w:tcPr>
            <w:tcW w:w="1000" w:type="dxa"/>
            <w:vAlign w:val="bottom"/>
          </w:tcPr>
          <w:p>
            <w:pPr>
              <w:jc w:val="center"/>
              <w:spacing w:after="0"/>
              <w:rPr>
                <w:sz w:val="20"/>
                <w:szCs w:val="20"/>
                <w:color w:val="auto"/>
              </w:rPr>
            </w:pPr>
            <w:r>
              <w:rPr>
                <w:rFonts w:ascii="Arial" w:cs="Arial" w:eastAsia="Arial" w:hAnsi="Arial"/>
                <w:sz w:val="22"/>
                <w:szCs w:val="22"/>
                <w:color w:val="auto"/>
                <w:w w:val="88"/>
              </w:rPr>
              <w:t>101.938%</w:t>
            </w:r>
          </w:p>
        </w:tc>
      </w:tr>
      <w:tr>
        <w:trPr>
          <w:trHeight w:val="297"/>
        </w:trPr>
        <w:tc>
          <w:tcPr>
            <w:tcW w:w="5820" w:type="dxa"/>
            <w:vAlign w:val="bottom"/>
            <w:gridSpan w:val="3"/>
          </w:tcPr>
          <w:p>
            <w:pPr>
              <w:jc w:val="center"/>
              <w:ind w:right="4140"/>
              <w:spacing w:after="0"/>
              <w:rPr>
                <w:sz w:val="20"/>
                <w:szCs w:val="20"/>
                <w:color w:val="auto"/>
              </w:rPr>
            </w:pPr>
            <w:r>
              <w:rPr>
                <w:rFonts w:ascii="Arial" w:cs="Arial" w:eastAsia="Arial" w:hAnsi="Arial"/>
                <w:sz w:val="22"/>
                <w:szCs w:val="22"/>
                <w:color w:val="auto"/>
                <w:w w:val="87"/>
              </w:rPr>
              <w:t>2024 and thereafter</w:t>
            </w:r>
          </w:p>
        </w:tc>
        <w:tc>
          <w:tcPr>
            <w:tcW w:w="1000" w:type="dxa"/>
            <w:vAlign w:val="bottom"/>
          </w:tcPr>
          <w:p>
            <w:pPr>
              <w:jc w:val="center"/>
              <w:spacing w:after="0"/>
              <w:rPr>
                <w:sz w:val="20"/>
                <w:szCs w:val="20"/>
                <w:color w:val="auto"/>
              </w:rPr>
            </w:pPr>
            <w:r>
              <w:rPr>
                <w:rFonts w:ascii="Arial" w:cs="Arial" w:eastAsia="Arial" w:hAnsi="Arial"/>
                <w:sz w:val="22"/>
                <w:szCs w:val="22"/>
                <w:color w:val="auto"/>
                <w:w w:val="88"/>
              </w:rPr>
              <w:t>100.000%</w:t>
            </w:r>
          </w:p>
        </w:tc>
      </w:tr>
    </w:tbl>
    <w:p>
      <w:pPr>
        <w:spacing w:after="0" w:line="333" w:lineRule="exact"/>
        <w:rPr>
          <w:sz w:val="20"/>
          <w:szCs w:val="20"/>
          <w:color w:val="auto"/>
        </w:rPr>
      </w:pPr>
    </w:p>
    <w:p>
      <w:pPr>
        <w:jc w:val="both"/>
        <w:ind w:firstLine="1952"/>
        <w:spacing w:after="0" w:line="214" w:lineRule="auto"/>
        <w:tabs>
          <w:tab w:leader="none" w:pos="2592" w:val="left"/>
        </w:tabs>
        <w:numPr>
          <w:ilvl w:val="0"/>
          <w:numId w:val="170"/>
        </w:numPr>
        <w:rPr>
          <w:rFonts w:ascii="Arial" w:cs="Arial" w:eastAsia="Arial" w:hAnsi="Arial"/>
          <w:sz w:val="22"/>
          <w:szCs w:val="22"/>
          <w:color w:val="auto"/>
        </w:rPr>
      </w:pPr>
      <w:r>
        <w:rPr>
          <w:rFonts w:ascii="Arial" w:cs="Arial" w:eastAsia="Arial" w:hAnsi="Arial"/>
          <w:sz w:val="22"/>
          <w:szCs w:val="22"/>
          <w:color w:val="auto"/>
        </w:rPr>
        <w:t xml:space="preserve">Prior to April 15, 2022, the Issuers may also, on any one or more occasions, redeem up to 35% of the original aggregate principal amount of the Notes (calculated after giving effect to any issuance of Additional Notes issued under the Indenture) with the proceeds of one or more Equity Offerings at a redemption price equal to 107.750% of the aggregate principal amount thereof, plus accrued and unpaid interest, if any, to, but not including, the applicable redemption date (subject to the right of Holders of record on the relevant record date to receive interest due on an interest payment date falling on or prior to such redemption date);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w:t>
      </w:r>
    </w:p>
    <w:p>
      <w:pPr>
        <w:spacing w:after="0" w:line="158" w:lineRule="exact"/>
        <w:rPr>
          <w:rFonts w:ascii="Arial" w:cs="Arial" w:eastAsia="Arial" w:hAnsi="Arial"/>
          <w:sz w:val="22"/>
          <w:szCs w:val="22"/>
          <w:color w:val="auto"/>
        </w:rPr>
      </w:pPr>
    </w:p>
    <w:p>
      <w:pPr>
        <w:ind w:left="1960" w:firstLine="640"/>
        <w:spacing w:after="0" w:line="298" w:lineRule="auto"/>
        <w:tabs>
          <w:tab w:leader="none" w:pos="3256" w:val="left"/>
        </w:tabs>
        <w:numPr>
          <w:ilvl w:val="1"/>
          <w:numId w:val="170"/>
        </w:numPr>
        <w:rPr>
          <w:rFonts w:ascii="Arial" w:cs="Arial" w:eastAsia="Arial" w:hAnsi="Arial"/>
          <w:sz w:val="19"/>
          <w:szCs w:val="19"/>
          <w:color w:val="auto"/>
        </w:rPr>
      </w:pPr>
      <w:r>
        <w:rPr>
          <w:rFonts w:ascii="Arial" w:cs="Arial" w:eastAsia="Arial" w:hAnsi="Arial"/>
          <w:sz w:val="19"/>
          <w:szCs w:val="19"/>
          <w:color w:val="auto"/>
        </w:rPr>
        <w:t>at least 65% of the original aggregate principal amount of the Notes (calculated after giving effect to any issuance of Additional Notes issued under the Indenture) remains outstanding after each such</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A-1-5</w:t>
      </w:r>
    </w:p>
    <w:p>
      <w:pPr>
        <w:sectPr>
          <w:pgSz w:w="11900" w:h="16838" w:orient="portrait"/>
          <w:cols w:equalWidth="0" w:num="1">
            <w:col w:w="11240"/>
          </w:cols>
          <w:pgMar w:left="320" w:top="1427" w:right="339" w:bottom="1440" w:gutter="0" w:footer="0" w:header="0"/>
        </w:sectPr>
      </w:pPr>
    </w:p>
    <w:bookmarkStart w:id="151" w:name="page152"/>
    <w:bookmarkEnd w:id="151"/>
    <w:p>
      <w:pPr>
        <w:ind w:left="1960"/>
        <w:spacing w:after="0" w:line="232" w:lineRule="auto"/>
        <w:rPr>
          <w:sz w:val="20"/>
          <w:szCs w:val="20"/>
          <w:color w:val="auto"/>
        </w:rPr>
      </w:pPr>
      <w:r>
        <w:rPr>
          <w:rFonts w:ascii="Arial" w:cs="Arial" w:eastAsia="Arial" w:hAnsi="Arial"/>
          <w:sz w:val="22"/>
          <w:szCs w:val="22"/>
          <w:color w:val="auto"/>
        </w:rPr>
        <w:t>redemption (unless all Notes are otherwise repurchased or redeemed substantially concurrently with the corresponding redemption); and</w:t>
      </w:r>
    </w:p>
    <w:p>
      <w:pPr>
        <w:spacing w:after="0" w:line="159" w:lineRule="exact"/>
        <w:rPr>
          <w:sz w:val="20"/>
          <w:szCs w:val="20"/>
          <w:color w:val="auto"/>
        </w:rPr>
      </w:pPr>
    </w:p>
    <w:p>
      <w:pPr>
        <w:ind w:left="3240" w:hanging="640"/>
        <w:spacing w:after="0"/>
        <w:tabs>
          <w:tab w:leader="none" w:pos="324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such redemption occurs within 120 days after the closing of such Equity Offering.</w:t>
      </w:r>
    </w:p>
    <w:p>
      <w:pPr>
        <w:spacing w:after="0" w:line="20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Any such redemption may, at the discretion of the Issuers, be subject to one or more conditions precedent, including a Change of Control. In addition, if such redemption is subject to the satisfaction of one or more conditions precedent, the related notice shall describe each such condition, and if applicable, shall state that, in the discretion of the Issuers, the date of redemption may be delayed until such time as any or all such conditions shall be satisfied or waived (provided that in no event shall such date of redemption be delayed to a date later than 60 days after the date on which such notice was delivered), or such redemption may not occur and such notice may be rescinded in the event that any or all such conditions shall not have been satisfied or waived by the date of redemption, or by the date of redemption as so delayed.</w:t>
      </w:r>
    </w:p>
    <w:p>
      <w:pPr>
        <w:spacing w:after="0" w:line="15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Unless the Issuers default in the payment of the redemption price, interest will cease to accrue on the Notes or portions thereof called for redemption on the applicable redemption date.</w:t>
      </w:r>
    </w:p>
    <w:p>
      <w:pPr>
        <w:spacing w:after="0" w:line="175" w:lineRule="exact"/>
        <w:rPr>
          <w:sz w:val="20"/>
          <w:szCs w:val="20"/>
          <w:color w:val="auto"/>
        </w:rPr>
      </w:pPr>
    </w:p>
    <w:p>
      <w:pPr>
        <w:ind w:firstLine="1304"/>
        <w:spacing w:after="0" w:line="263" w:lineRule="auto"/>
        <w:tabs>
          <w:tab w:leader="none" w:pos="1944" w:val="left"/>
        </w:tabs>
        <w:numPr>
          <w:ilvl w:val="0"/>
          <w:numId w:val="172"/>
        </w:numPr>
        <w:rPr>
          <w:rFonts w:ascii="Arial" w:cs="Arial" w:eastAsia="Arial" w:hAnsi="Arial"/>
          <w:sz w:val="22"/>
          <w:szCs w:val="22"/>
          <w:color w:val="auto"/>
        </w:rPr>
      </w:pPr>
      <w:r>
        <w:rPr>
          <w:rFonts w:ascii="Arial" w:cs="Arial" w:eastAsia="Arial" w:hAnsi="Arial"/>
          <w:sz w:val="22"/>
          <w:szCs w:val="22"/>
          <w:i w:val="1"/>
          <w:iCs w:val="1"/>
          <w:color w:val="auto"/>
        </w:rPr>
        <w:t>Mandatory Redemption</w:t>
      </w:r>
      <w:r>
        <w:rPr>
          <w:rFonts w:ascii="Arial" w:cs="Arial" w:eastAsia="Arial" w:hAnsi="Arial"/>
          <w:sz w:val="22"/>
          <w:szCs w:val="22"/>
          <w:color w:val="auto"/>
        </w:rPr>
        <w:t>. Other than as set forth in Paragraph 7 below, the Issuers shall not be required to</w:t>
      </w:r>
      <w:r>
        <w:rPr>
          <w:rFonts w:ascii="Arial" w:cs="Arial" w:eastAsia="Arial" w:hAnsi="Arial"/>
          <w:sz w:val="22"/>
          <w:szCs w:val="22"/>
          <w:i w:val="1"/>
          <w:iCs w:val="1"/>
          <w:color w:val="auto"/>
        </w:rPr>
        <w:t xml:space="preserve"> </w:t>
      </w:r>
      <w:r>
        <w:rPr>
          <w:rFonts w:ascii="Arial" w:cs="Arial" w:eastAsia="Arial" w:hAnsi="Arial"/>
          <w:sz w:val="22"/>
          <w:szCs w:val="22"/>
          <w:color w:val="auto"/>
        </w:rPr>
        <w:t>make mandatory redemption or sinking fund payments with respect to the Notes.</w:t>
      </w:r>
    </w:p>
    <w:p>
      <w:pPr>
        <w:spacing w:after="0" w:line="174" w:lineRule="exact"/>
        <w:rPr>
          <w:rFonts w:ascii="Arial" w:cs="Arial" w:eastAsia="Arial" w:hAnsi="Arial"/>
          <w:sz w:val="22"/>
          <w:szCs w:val="22"/>
          <w:color w:val="auto"/>
        </w:rPr>
      </w:pPr>
    </w:p>
    <w:p>
      <w:pPr>
        <w:jc w:val="both"/>
        <w:ind w:firstLine="1304"/>
        <w:spacing w:after="0" w:line="256" w:lineRule="auto"/>
        <w:tabs>
          <w:tab w:leader="none" w:pos="1944" w:val="left"/>
        </w:tabs>
        <w:numPr>
          <w:ilvl w:val="0"/>
          <w:numId w:val="172"/>
        </w:numPr>
        <w:rPr>
          <w:rFonts w:ascii="Arial" w:cs="Arial" w:eastAsia="Arial" w:hAnsi="Arial"/>
          <w:sz w:val="21"/>
          <w:szCs w:val="21"/>
          <w:color w:val="auto"/>
        </w:rPr>
      </w:pPr>
      <w:r>
        <w:rPr>
          <w:rFonts w:ascii="Arial" w:cs="Arial" w:eastAsia="Arial" w:hAnsi="Arial"/>
          <w:sz w:val="21"/>
          <w:szCs w:val="21"/>
          <w:i w:val="1"/>
          <w:iCs w:val="1"/>
          <w:color w:val="auto"/>
        </w:rPr>
        <w:t>Mandatory Disposition or Redemption Pursuant to Gaming Laws</w:t>
      </w:r>
      <w:r>
        <w:rPr>
          <w:rFonts w:ascii="Arial" w:cs="Arial" w:eastAsia="Arial" w:hAnsi="Arial"/>
          <w:sz w:val="21"/>
          <w:szCs w:val="21"/>
          <w:color w:val="auto"/>
        </w:rPr>
        <w:t>. Notwithstanding any other provision of</w:t>
      </w:r>
      <w:r>
        <w:rPr>
          <w:rFonts w:ascii="Arial" w:cs="Arial" w:eastAsia="Arial" w:hAnsi="Arial"/>
          <w:sz w:val="21"/>
          <w:szCs w:val="21"/>
          <w:i w:val="1"/>
          <w:iCs w:val="1"/>
          <w:color w:val="auto"/>
        </w:rPr>
        <w:t xml:space="preserve"> </w:t>
      </w:r>
      <w:r>
        <w:rPr>
          <w:rFonts w:ascii="Arial" w:cs="Arial" w:eastAsia="Arial" w:hAnsi="Arial"/>
          <w:sz w:val="21"/>
          <w:szCs w:val="21"/>
          <w:color w:val="auto"/>
        </w:rPr>
        <w:t>the Indenture or this Note, each Holder, by accepting this Note, shall be deemed to have agreed that, if any Gaming Authority requires a Holder or Beneficial Owner of Notes to be registered, licensed, qualified or found suitable under any applicable Gaming Law, such Holder or Beneficial Owner, as the case may be, shall apply for a license, qualification or a finding of suitability in accordance with such Gaming Law and shall cooperate with the requests of any Gaming Authority for information, documentation, and/or testimony. If such Holder or Beneficial Owner (a) fails to apply for a license, qualification or finding of suitability within 30 days after being requested to do so (or such lesser period as required by the Gaming Authority), or (b) is notified by a Gaming Authority that it shall not be licensed, qualified or found suitable, then the Issuers shall have the right, at their option, to: (1) require the Holder or Beneficial Owner to dispose of its Notes within 30 days (or such lesser period as required by the Gaming Authority) following the earlier of: (a) the termination of the period described above for the Holder or Beneficial Owner to apply for a license, qualification or finding of suitability if the Holder fails to apply for a license, qualification or finding of suitability during such period, or (b) the receipt of the notice from the Gaming Authority that the Holder or Beneficial Owner shall not be licensed, qualified or found suitable by the Gaming Authority; or (2) redeem the Notes of the Holder or Beneficial Owner at a redemption price equal to: (a) the price required by applicable law or by order of any Gaming Authority, or (b) the lesser of: (i) the principal amount of the Notes, and (ii) the price that the Holder or Beneficial Owner paid for the Notes, in either case, together with accrued and unpaid interest, if any, on the Notes to, but not including, the earlier of (A) the date of redemption or such earlier date as is required by the Gaming Authority or (B) the date of the finding of unsuitability by the Gaming</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A-1-6</w:t>
      </w:r>
    </w:p>
    <w:p>
      <w:pPr>
        <w:sectPr>
          <w:pgSz w:w="11900" w:h="16838" w:orient="portrait"/>
          <w:cols w:equalWidth="0" w:num="1">
            <w:col w:w="11240"/>
          </w:cols>
          <w:pgMar w:left="320" w:top="1400" w:right="339" w:bottom="1440" w:gutter="0" w:footer="0" w:header="0"/>
        </w:sectPr>
      </w:pPr>
    </w:p>
    <w:bookmarkStart w:id="152" w:name="page153"/>
    <w:bookmarkEnd w:id="152"/>
    <w:p>
      <w:pPr>
        <w:jc w:val="both"/>
        <w:spacing w:after="0" w:line="263" w:lineRule="auto"/>
        <w:rPr>
          <w:sz w:val="20"/>
          <w:szCs w:val="20"/>
          <w:color w:val="auto"/>
        </w:rPr>
      </w:pPr>
      <w:r>
        <w:rPr>
          <w:rFonts w:ascii="Arial" w:cs="Arial" w:eastAsia="Arial" w:hAnsi="Arial"/>
          <w:sz w:val="22"/>
          <w:szCs w:val="22"/>
          <w:color w:val="auto"/>
        </w:rPr>
        <w:t>Authority, which may be less than 30 days following the notice of redemption. The Issuers shall notify the Trustee in writing of any redemption pursuant to this Section 7 as soon as practicable.</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Immediately upon a determination by a Gaming Authority that a Holder or Beneficial Owner of Notes shall not be licensed, qualified or found suitable, the Holder or Beneficial Owner shall not have any further rights with respect to the Notes to: (a) exercise, directly or indirectly, through any Person, any right conferred by the Notes; or (b) receive any interest or any other distribution or payment with respect to the Notes, or any remuneration in any form from the Issuers for services rendered or otherwise, except the redemption price of the Notes.</w:t>
      </w:r>
    </w:p>
    <w:p>
      <w:pPr>
        <w:spacing w:after="0" w:line="16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Neither the Issuers nor the Trustee shall be responsible for any costs or expenses any Holder or Beneficial Owner may incur in connection with its registration, application for a license, qualification or a finding of suitability, or any renewal or continuation of the foregoing or compliance with any other requirement of a Gaming Authority. Those costs and expenses will be the obligations of the Holder or Beneficial Owner, as applicable. In addition, any Holder or Beneficial Owner, as applicable, required to be licensed, qualified or found suitable under applicable Gaming Laws must pay all investigative fees and costs of any Gaming Authority in connection with such license, qualification, finding of suitability or application therefor.</w:t>
      </w:r>
    </w:p>
    <w:p>
      <w:pPr>
        <w:spacing w:after="0" w:line="179" w:lineRule="exact"/>
        <w:rPr>
          <w:sz w:val="20"/>
          <w:szCs w:val="20"/>
          <w:color w:val="auto"/>
        </w:rPr>
      </w:pPr>
    </w:p>
    <w:p>
      <w:pPr>
        <w:jc w:val="both"/>
        <w:ind w:firstLine="1304"/>
        <w:spacing w:after="0" w:line="261" w:lineRule="auto"/>
        <w:tabs>
          <w:tab w:leader="none" w:pos="1944" w:val="left"/>
        </w:tabs>
        <w:numPr>
          <w:ilvl w:val="0"/>
          <w:numId w:val="173"/>
        </w:numPr>
        <w:rPr>
          <w:rFonts w:ascii="Arial" w:cs="Arial" w:eastAsia="Arial" w:hAnsi="Arial"/>
          <w:sz w:val="21"/>
          <w:szCs w:val="21"/>
          <w:color w:val="auto"/>
        </w:rPr>
      </w:pPr>
      <w:r>
        <w:rPr>
          <w:rFonts w:ascii="Arial" w:cs="Arial" w:eastAsia="Arial" w:hAnsi="Arial"/>
          <w:sz w:val="21"/>
          <w:szCs w:val="21"/>
          <w:i w:val="1"/>
          <w:iCs w:val="1"/>
          <w:color w:val="auto"/>
        </w:rPr>
        <w:t>Repurchase at Option of Holder</w:t>
      </w:r>
      <w:r>
        <w:rPr>
          <w:rFonts w:ascii="Arial" w:cs="Arial" w:eastAsia="Arial" w:hAnsi="Arial"/>
          <w:sz w:val="21"/>
          <w:szCs w:val="21"/>
          <w:color w:val="auto"/>
        </w:rPr>
        <w:t>. If a Change of Control Triggering Event occurs, the Issuers shall make an</w:t>
      </w:r>
      <w:r>
        <w:rPr>
          <w:rFonts w:ascii="Arial" w:cs="Arial" w:eastAsia="Arial" w:hAnsi="Arial"/>
          <w:sz w:val="21"/>
          <w:szCs w:val="21"/>
          <w:i w:val="1"/>
          <w:iCs w:val="1"/>
          <w:color w:val="auto"/>
        </w:rPr>
        <w:t xml:space="preserve"> </w:t>
      </w:r>
      <w:r>
        <w:rPr>
          <w:rFonts w:ascii="Arial" w:cs="Arial" w:eastAsia="Arial" w:hAnsi="Arial"/>
          <w:sz w:val="21"/>
          <w:szCs w:val="21"/>
          <w:color w:val="auto"/>
        </w:rPr>
        <w:t>offer (a “</w:t>
      </w:r>
      <w:r>
        <w:rPr>
          <w:rFonts w:ascii="Arial" w:cs="Arial" w:eastAsia="Arial" w:hAnsi="Arial"/>
          <w:sz w:val="21"/>
          <w:szCs w:val="21"/>
          <w:i w:val="1"/>
          <w:iCs w:val="1"/>
          <w:u w:val="single" w:color="auto"/>
          <w:color w:val="auto"/>
        </w:rPr>
        <w:t>Change of Control Offer</w:t>
      </w:r>
      <w:r>
        <w:rPr>
          <w:rFonts w:ascii="Arial" w:cs="Arial" w:eastAsia="Arial" w:hAnsi="Arial"/>
          <w:sz w:val="21"/>
          <w:szCs w:val="21"/>
          <w:color w:val="auto"/>
        </w:rPr>
        <w:t>”) to repurchase all or any part (equal to $2,000 or an integral multiple of $1,000 in excess of $2,000) of each Holder’s Notes at a purchase price equal to 101% of the aggregate principal amount thereof plus accrued and unpaid interest, if any, to, but not including, the date of purchase (the “</w:t>
      </w:r>
      <w:r>
        <w:rPr>
          <w:rFonts w:ascii="Arial" w:cs="Arial" w:eastAsia="Arial" w:hAnsi="Arial"/>
          <w:sz w:val="21"/>
          <w:szCs w:val="21"/>
          <w:i w:val="1"/>
          <w:iCs w:val="1"/>
          <w:u w:val="single" w:color="auto"/>
          <w:color w:val="auto"/>
        </w:rPr>
        <w:t>Change of Control Payment</w:t>
      </w:r>
      <w:r>
        <w:rPr>
          <w:rFonts w:ascii="Arial" w:cs="Arial" w:eastAsia="Arial" w:hAnsi="Arial"/>
          <w:sz w:val="21"/>
          <w:szCs w:val="21"/>
          <w:color w:val="auto"/>
        </w:rPr>
        <w:t>”). Within 10 days following any Change of Control Triggering Event, the Issuers shall mail a notice to each Holder setting forth the procedures governing the Change of Control Offer as required by the Indenture.</w:t>
      </w:r>
    </w:p>
    <w:p>
      <w:pPr>
        <w:spacing w:after="0" w:line="179" w:lineRule="exact"/>
        <w:rPr>
          <w:rFonts w:ascii="Arial" w:cs="Arial" w:eastAsia="Arial" w:hAnsi="Arial"/>
          <w:sz w:val="21"/>
          <w:szCs w:val="21"/>
          <w:color w:val="auto"/>
        </w:rPr>
      </w:pPr>
    </w:p>
    <w:p>
      <w:pPr>
        <w:jc w:val="both"/>
        <w:ind w:firstLine="1304"/>
        <w:spacing w:after="0" w:line="294" w:lineRule="auto"/>
        <w:tabs>
          <w:tab w:leader="none" w:pos="1944" w:val="left"/>
        </w:tabs>
        <w:numPr>
          <w:ilvl w:val="0"/>
          <w:numId w:val="173"/>
        </w:numPr>
        <w:rPr>
          <w:rFonts w:ascii="Arial" w:cs="Arial" w:eastAsia="Arial" w:hAnsi="Arial"/>
          <w:sz w:val="19"/>
          <w:szCs w:val="19"/>
          <w:color w:val="auto"/>
        </w:rPr>
      </w:pPr>
      <w:r>
        <w:rPr>
          <w:rFonts w:ascii="Arial" w:cs="Arial" w:eastAsia="Arial" w:hAnsi="Arial"/>
          <w:sz w:val="19"/>
          <w:szCs w:val="19"/>
          <w:i w:val="1"/>
          <w:iCs w:val="1"/>
          <w:color w:val="auto"/>
        </w:rPr>
        <w:t>Notice of Redemption</w:t>
      </w:r>
      <w:r>
        <w:rPr>
          <w:rFonts w:ascii="Arial" w:cs="Arial" w:eastAsia="Arial" w:hAnsi="Arial"/>
          <w:sz w:val="19"/>
          <w:szCs w:val="19"/>
          <w:color w:val="auto"/>
        </w:rPr>
        <w:t>. Notice of redemption shall be delivered at least 15 days but not more than 60 days</w:t>
      </w:r>
      <w:r>
        <w:rPr>
          <w:rFonts w:ascii="Arial" w:cs="Arial" w:eastAsia="Arial" w:hAnsi="Arial"/>
          <w:sz w:val="19"/>
          <w:szCs w:val="19"/>
          <w:i w:val="1"/>
          <w:iCs w:val="1"/>
          <w:color w:val="auto"/>
        </w:rPr>
        <w:t xml:space="preserve"> </w:t>
      </w:r>
      <w:r>
        <w:rPr>
          <w:rFonts w:ascii="Arial" w:cs="Arial" w:eastAsia="Arial" w:hAnsi="Arial"/>
          <w:sz w:val="19"/>
          <w:szCs w:val="19"/>
          <w:color w:val="auto"/>
        </w:rPr>
        <w:t>before the redemption date to each Holder whose Notes are to be redeemed at its registered address, except that redemption notices may be delivered more than 60 days prior to a redemption date if the notice is issued in connection with a defeasance of the Notes or a satisfaction and discharge of the Indenture. Notes in denominations larger than $2,000 may be redeemed in part but only in whole multiples of $1,000 in excess of $2,000, unless all of the Notes held by a Holder are to be redeemed. On and after the redemption date interest ceases to accrue on Notes or portions thereof called for redemption.</w:t>
      </w:r>
    </w:p>
    <w:p>
      <w:pPr>
        <w:spacing w:after="0" w:line="149" w:lineRule="exact"/>
        <w:rPr>
          <w:rFonts w:ascii="Arial" w:cs="Arial" w:eastAsia="Arial" w:hAnsi="Arial"/>
          <w:sz w:val="19"/>
          <w:szCs w:val="19"/>
          <w:color w:val="auto"/>
        </w:rPr>
      </w:pPr>
    </w:p>
    <w:p>
      <w:pPr>
        <w:jc w:val="both"/>
        <w:ind w:firstLine="1304"/>
        <w:spacing w:after="0" w:line="292" w:lineRule="auto"/>
        <w:tabs>
          <w:tab w:leader="none" w:pos="1944" w:val="left"/>
        </w:tabs>
        <w:numPr>
          <w:ilvl w:val="0"/>
          <w:numId w:val="173"/>
        </w:numPr>
        <w:rPr>
          <w:rFonts w:ascii="Arial" w:cs="Arial" w:eastAsia="Arial" w:hAnsi="Arial"/>
          <w:sz w:val="19"/>
          <w:szCs w:val="19"/>
          <w:color w:val="auto"/>
        </w:rPr>
      </w:pPr>
      <w:r>
        <w:rPr>
          <w:rFonts w:ascii="Arial" w:cs="Arial" w:eastAsia="Arial" w:hAnsi="Arial"/>
          <w:sz w:val="19"/>
          <w:szCs w:val="19"/>
          <w:i w:val="1"/>
          <w:iCs w:val="1"/>
          <w:color w:val="auto"/>
        </w:rPr>
        <w:t>Denominations, Transfer, Exchange</w:t>
      </w:r>
      <w:r>
        <w:rPr>
          <w:rFonts w:ascii="Arial" w:cs="Arial" w:eastAsia="Arial" w:hAnsi="Arial"/>
          <w:sz w:val="19"/>
          <w:szCs w:val="19"/>
          <w:color w:val="auto"/>
        </w:rPr>
        <w:t>. The Notes are in registered form without coupons in denominations of</w:t>
      </w:r>
      <w:r>
        <w:rPr>
          <w:rFonts w:ascii="Arial" w:cs="Arial" w:eastAsia="Arial" w:hAnsi="Arial"/>
          <w:sz w:val="19"/>
          <w:szCs w:val="19"/>
          <w:i w:val="1"/>
          <w:iCs w:val="1"/>
          <w:color w:val="auto"/>
        </w:rPr>
        <w:t xml:space="preserve"> </w:t>
      </w:r>
      <w:r>
        <w:rPr>
          <w:rFonts w:ascii="Arial" w:cs="Arial" w:eastAsia="Arial" w:hAnsi="Arial"/>
          <w:sz w:val="19"/>
          <w:szCs w:val="19"/>
          <w:color w:val="auto"/>
        </w:rPr>
        <w:t>$2,000 and integral multiples of $1,000 in excess of $2,000.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and fees required by law or permitted by the Indenture. The Issuers need not exchange or register the transfer of any Note or portion of a Note selected for redemption, except for the unredeemed portion of any Note being redeemed in part. Also, the Issuers need not exchange or register the transfer of any Notes for a period of 15 days before a selection of Notes to be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A-1-7</w:t>
      </w:r>
    </w:p>
    <w:p>
      <w:pPr>
        <w:sectPr>
          <w:pgSz w:w="11900" w:h="16838" w:orient="portrait"/>
          <w:cols w:equalWidth="0" w:num="1">
            <w:col w:w="11240"/>
          </w:cols>
          <w:pgMar w:left="320" w:top="1428" w:right="339" w:bottom="1440" w:gutter="0" w:footer="0" w:header="0"/>
        </w:sectPr>
      </w:pPr>
    </w:p>
    <w:bookmarkStart w:id="153" w:name="page154"/>
    <w:bookmarkEnd w:id="153"/>
    <w:p>
      <w:pPr>
        <w:spacing w:after="0"/>
        <w:rPr>
          <w:sz w:val="20"/>
          <w:szCs w:val="20"/>
          <w:color w:val="auto"/>
        </w:rPr>
      </w:pPr>
      <w:r>
        <w:rPr>
          <w:rFonts w:ascii="Arial" w:cs="Arial" w:eastAsia="Arial" w:hAnsi="Arial"/>
          <w:sz w:val="22"/>
          <w:szCs w:val="22"/>
          <w:color w:val="auto"/>
        </w:rPr>
        <w:t>redeemed or during the period between a record date and the corresponding Interest Payment Date.</w:t>
      </w:r>
    </w:p>
    <w:p>
      <w:pPr>
        <w:spacing w:after="0" w:line="220" w:lineRule="exact"/>
        <w:rPr>
          <w:sz w:val="20"/>
          <w:szCs w:val="20"/>
          <w:color w:val="auto"/>
        </w:rPr>
      </w:pPr>
    </w:p>
    <w:p>
      <w:pPr>
        <w:ind w:left="1960" w:hanging="656"/>
        <w:spacing w:after="0"/>
        <w:tabs>
          <w:tab w:leader="none" w:pos="1960" w:val="left"/>
        </w:tabs>
        <w:numPr>
          <w:ilvl w:val="0"/>
          <w:numId w:val="174"/>
        </w:numPr>
        <w:rPr>
          <w:rFonts w:ascii="Arial" w:cs="Arial" w:eastAsia="Arial" w:hAnsi="Arial"/>
          <w:sz w:val="19"/>
          <w:szCs w:val="19"/>
          <w:color w:val="auto"/>
        </w:rPr>
      </w:pPr>
      <w:r>
        <w:rPr>
          <w:rFonts w:ascii="Arial" w:cs="Arial" w:eastAsia="Arial" w:hAnsi="Arial"/>
          <w:sz w:val="19"/>
          <w:szCs w:val="19"/>
          <w:i w:val="1"/>
          <w:iCs w:val="1"/>
          <w:color w:val="auto"/>
        </w:rPr>
        <w:t>Persons Deemed Owners</w:t>
      </w:r>
      <w:r>
        <w:rPr>
          <w:rFonts w:ascii="Arial" w:cs="Arial" w:eastAsia="Arial" w:hAnsi="Arial"/>
          <w:sz w:val="19"/>
          <w:szCs w:val="19"/>
          <w:color w:val="auto"/>
        </w:rPr>
        <w:t>. The registered Holder of a Note may be treated as its owner for all purposes.</w:t>
      </w:r>
    </w:p>
    <w:p>
      <w:pPr>
        <w:spacing w:after="0" w:line="254" w:lineRule="exact"/>
        <w:rPr>
          <w:rFonts w:ascii="Arial" w:cs="Arial" w:eastAsia="Arial" w:hAnsi="Arial"/>
          <w:sz w:val="19"/>
          <w:szCs w:val="19"/>
          <w:color w:val="auto"/>
        </w:rPr>
      </w:pPr>
    </w:p>
    <w:p>
      <w:pPr>
        <w:ind w:left="1960" w:hanging="656"/>
        <w:spacing w:after="0"/>
        <w:tabs>
          <w:tab w:leader="none" w:pos="1960" w:val="left"/>
        </w:tabs>
        <w:numPr>
          <w:ilvl w:val="0"/>
          <w:numId w:val="174"/>
        </w:numPr>
        <w:rPr>
          <w:rFonts w:ascii="Arial" w:cs="Arial" w:eastAsia="Arial" w:hAnsi="Arial"/>
          <w:sz w:val="22"/>
          <w:szCs w:val="22"/>
          <w:color w:val="auto"/>
        </w:rPr>
      </w:pPr>
      <w:r>
        <w:rPr>
          <w:rFonts w:ascii="Arial" w:cs="Arial" w:eastAsia="Arial" w:hAnsi="Arial"/>
          <w:sz w:val="22"/>
          <w:szCs w:val="22"/>
          <w:i w:val="1"/>
          <w:iCs w:val="1"/>
          <w:color w:val="auto"/>
        </w:rPr>
        <w:t>Amendment, Supplement and Waiver</w:t>
      </w:r>
      <w:r>
        <w:rPr>
          <w:rFonts w:ascii="Arial" w:cs="Arial" w:eastAsia="Arial" w:hAnsi="Arial"/>
          <w:sz w:val="22"/>
          <w:szCs w:val="22"/>
          <w:color w:val="auto"/>
        </w:rPr>
        <w:t>.</w:t>
      </w:r>
    </w:p>
    <w:p>
      <w:pPr>
        <w:spacing w:after="0" w:line="220" w:lineRule="exact"/>
        <w:rPr>
          <w:sz w:val="20"/>
          <w:szCs w:val="20"/>
          <w:color w:val="auto"/>
        </w:rPr>
      </w:pPr>
    </w:p>
    <w:p>
      <w:pPr>
        <w:jc w:val="both"/>
        <w:ind w:firstLine="1830"/>
        <w:spacing w:after="0" w:line="248" w:lineRule="auto"/>
        <w:rPr>
          <w:sz w:val="20"/>
          <w:szCs w:val="20"/>
          <w:color w:val="auto"/>
        </w:rPr>
      </w:pPr>
      <w:r>
        <w:rPr>
          <w:rFonts w:ascii="Arial" w:cs="Arial" w:eastAsia="Arial" w:hAnsi="Arial"/>
          <w:sz w:val="22"/>
          <w:szCs w:val="22"/>
          <w:color w:val="auto"/>
        </w:rPr>
        <w:t>i.Subject to certain exceptions, the Indenture, the Notes and the Note Guarantees may be amended or supplemented with the consent of the Holders of at least a majority in principal amount of the then outstanding Notes, voting as a single class, and any existing Default or Event of Default or compliance with any provision of the Indenture, the Notes or the Note Guarantees may be waived with the consent of the Holders of a majority in principal amount of the then outstanding Notes, voting as a single class.</w:t>
      </w:r>
    </w:p>
    <w:p>
      <w:pPr>
        <w:spacing w:after="0" w:line="192" w:lineRule="exact"/>
        <w:rPr>
          <w:sz w:val="20"/>
          <w:szCs w:val="20"/>
          <w:color w:val="auto"/>
        </w:rPr>
      </w:pPr>
    </w:p>
    <w:p>
      <w:pPr>
        <w:jc w:val="both"/>
        <w:ind w:firstLine="1770"/>
        <w:spacing w:after="0" w:line="286" w:lineRule="auto"/>
        <w:rPr>
          <w:sz w:val="20"/>
          <w:szCs w:val="20"/>
          <w:color w:val="auto"/>
        </w:rPr>
      </w:pPr>
      <w:r>
        <w:rPr>
          <w:rFonts w:ascii="Arial" w:cs="Arial" w:eastAsia="Arial" w:hAnsi="Arial"/>
          <w:sz w:val="19"/>
          <w:szCs w:val="19"/>
          <w:color w:val="auto"/>
        </w:rPr>
        <w:t>ii.Without the consent of each Holder of Notes affected, an amendment, supplement or waiver may not (with respect to any Notes held by a non-consenting Holder) (i) reduce the principal amount of Notes whose Holders must consent to an amendment, supplement or waiver, (ii) reduce the principal of or change the fixed maturity of any Note or alter or waive any of the provisions with respect to the redemption of the Notes (other than Section 4.11 of the Indenture), (iii) reduce the rate of or change the time for payment of interest, including default interest, on any Note; (iv) waive a Default or Event of Default in the payment of principal of, or interest, premium, if any, on, the Notes (except a rescission of acceleration of the Notes by the Holders of at least a majority in aggregate principal amount of the then outstanding Notes and a waiver of the payment default that resulted from such acceleration), (v) make any Note payable in money other than that stated herein, (vi) make any change in Section 6.04 of the Indenture or the rights of Holders of Notes to receive payments of principal of, or interest, premium, if any, on, the Notes, (vii) waive a redemption payment with respect to any Note (other than a payment required by Section 4.11 of the Indenture), (viii) amend or modify any Note Guarantee in a manner that would adversely affect the Holders of the Notes or release any Guarantor from any of its obligations under its Note Guarantee or the Indenture (except in accordance with the terms of the Indenture) or (ix) make any change in the preceding amendment and waiver provisions.</w:t>
      </w:r>
    </w:p>
    <w:p>
      <w:pPr>
        <w:spacing w:after="0" w:line="166" w:lineRule="exact"/>
        <w:rPr>
          <w:sz w:val="20"/>
          <w:szCs w:val="20"/>
          <w:color w:val="auto"/>
        </w:rPr>
      </w:pPr>
    </w:p>
    <w:p>
      <w:pPr>
        <w:jc w:val="both"/>
        <w:ind w:firstLine="1710"/>
        <w:spacing w:after="0" w:line="288" w:lineRule="auto"/>
        <w:rPr>
          <w:sz w:val="20"/>
          <w:szCs w:val="20"/>
          <w:color w:val="auto"/>
        </w:rPr>
      </w:pPr>
      <w:r>
        <w:rPr>
          <w:rFonts w:ascii="Arial" w:cs="Arial" w:eastAsia="Arial" w:hAnsi="Arial"/>
          <w:sz w:val="19"/>
          <w:szCs w:val="19"/>
          <w:color w:val="auto"/>
        </w:rPr>
        <w:t>iii.Without the consent of any Holder of a Note, the Issuers, the Guarantors and the Trustee may amend or supplement the Indenture, the Notes or the Note Guarantees to (i) cure any ambiguity, defect or inconsistency, (ii) provide for uncertificated Notes in addition to or in place of certificated Notes, (iii) provide for the assumption of the either Issuers’ or any Guarantor’s obligations to the Holders of the Notes and Note Guarantees by a successor to the Issuers or such Guarantor, as the case may be, in the case of a merger or consolidation or sale of all or substantially all of the Wynn Resorts Finance’s or such Guarantor’s assets pursuant to Article 5 or Article 11 of the Indenture, (iv) make any change that would provide any additional rights or benefits to the Holders of the Notes or that does not adversely affect the legal rights of any such Holder under the Indenture, (v) to conform the text of the Indenture, the Notes or the Note Guarantees to any provision of the “Description of the Notes” in the Issuers’ Offering Memorandum, dated as of April 7, 2020, relating to the offering of the Initial Notes, to the extent that such provision in the “Description of the Notes” was intended to be a verbatim recitation of</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A-1-8</w:t>
      </w:r>
    </w:p>
    <w:p>
      <w:pPr>
        <w:sectPr>
          <w:pgSz w:w="11900" w:h="16838" w:orient="portrait"/>
          <w:cols w:equalWidth="0" w:num="1">
            <w:col w:w="11240"/>
          </w:cols>
          <w:pgMar w:left="320" w:top="1428" w:right="339" w:bottom="1440" w:gutter="0" w:footer="0" w:header="0"/>
        </w:sectPr>
      </w:pPr>
    </w:p>
    <w:bookmarkStart w:id="154" w:name="page155"/>
    <w:bookmarkEnd w:id="154"/>
    <w:p>
      <w:pPr>
        <w:jc w:val="both"/>
        <w:spacing w:after="0" w:line="259" w:lineRule="auto"/>
        <w:rPr>
          <w:sz w:val="20"/>
          <w:szCs w:val="20"/>
          <w:color w:val="auto"/>
        </w:rPr>
      </w:pPr>
      <w:r>
        <w:rPr>
          <w:rFonts w:ascii="Arial" w:cs="Arial" w:eastAsia="Arial" w:hAnsi="Arial"/>
          <w:sz w:val="21"/>
          <w:szCs w:val="21"/>
          <w:color w:val="auto"/>
        </w:rPr>
        <w:t>a provision of the Indenture, the Notes or the Note Guarantees, which intent may be evidenced by an Officers’ Certificate to that effect, (vi) to release the Note Guarantee of a Guarantor in accordance with the terms of the Indenture, (vii) provide for the issuance of Additional Notes in accordance with the limitations set forth in the Indenture as of the date of the Indenture, (viii) allow any Guarantor to execute a supplemental indenture to the Indenture and/or a Note Guarantee with respect to the Notes, (ix) to comply with requirements of the SEC in order to effect or maintain the qualification of the Indenture under the Trust Indenture Act, if then applicable, (x) to comply with requirements of applicable Gaming Laws or to provide for requirements imposed by applicable Gaming Authorities; (xi) to provide for the acceptance or appointment of a successor trustee or (xii) provide for the Notes to be secured.</w:t>
      </w:r>
    </w:p>
    <w:p>
      <w:pPr>
        <w:spacing w:after="0" w:line="183" w:lineRule="exact"/>
        <w:rPr>
          <w:sz w:val="20"/>
          <w:szCs w:val="20"/>
          <w:color w:val="auto"/>
        </w:rPr>
      </w:pPr>
    </w:p>
    <w:p>
      <w:pPr>
        <w:jc w:val="both"/>
        <w:ind w:firstLine="1304"/>
        <w:spacing w:after="0" w:line="288" w:lineRule="auto"/>
        <w:tabs>
          <w:tab w:leader="none" w:pos="1944" w:val="left"/>
        </w:tabs>
        <w:numPr>
          <w:ilvl w:val="1"/>
          <w:numId w:val="175"/>
        </w:numPr>
        <w:rPr>
          <w:rFonts w:ascii="Arial" w:cs="Arial" w:eastAsia="Arial" w:hAnsi="Arial"/>
          <w:sz w:val="19"/>
          <w:szCs w:val="19"/>
          <w:color w:val="auto"/>
        </w:rPr>
      </w:pPr>
      <w:r>
        <w:rPr>
          <w:rFonts w:ascii="Arial" w:cs="Arial" w:eastAsia="Arial" w:hAnsi="Arial"/>
          <w:sz w:val="19"/>
          <w:szCs w:val="19"/>
          <w:i w:val="1"/>
          <w:iCs w:val="1"/>
          <w:color w:val="auto"/>
        </w:rPr>
        <w:t>Defaults and Remedies</w:t>
      </w:r>
      <w:r>
        <w:rPr>
          <w:rFonts w:ascii="Arial" w:cs="Arial" w:eastAsia="Arial" w:hAnsi="Arial"/>
          <w:sz w:val="19"/>
          <w:szCs w:val="19"/>
          <w:color w:val="auto"/>
        </w:rPr>
        <w:t>. Events of Default include: (i) default for 30 days in the payment when due of</w:t>
      </w:r>
      <w:r>
        <w:rPr>
          <w:rFonts w:ascii="Arial" w:cs="Arial" w:eastAsia="Arial" w:hAnsi="Arial"/>
          <w:sz w:val="19"/>
          <w:szCs w:val="19"/>
          <w:i w:val="1"/>
          <w:iCs w:val="1"/>
          <w:color w:val="auto"/>
        </w:rPr>
        <w:t xml:space="preserve"> </w:t>
      </w:r>
      <w:r>
        <w:rPr>
          <w:rFonts w:ascii="Arial" w:cs="Arial" w:eastAsia="Arial" w:hAnsi="Arial"/>
          <w:sz w:val="19"/>
          <w:szCs w:val="19"/>
          <w:color w:val="auto"/>
        </w:rPr>
        <w:t>interest, if any, with respect to the Notes; (ii) default in payment when due of principal of, or premium, if any, on the Notes when the same becomes due and payable at maturity, upon redemption (including in connection with an offer to purchase) or otherwise,</w:t>
      </w:r>
    </w:p>
    <w:p>
      <w:pPr>
        <w:jc w:val="both"/>
        <w:ind w:firstLine="8"/>
        <w:spacing w:after="0" w:line="283" w:lineRule="auto"/>
        <w:tabs>
          <w:tab w:leader="none" w:pos="395" w:val="left"/>
        </w:tabs>
        <w:numPr>
          <w:ilvl w:val="0"/>
          <w:numId w:val="176"/>
        </w:numPr>
        <w:rPr>
          <w:rFonts w:ascii="Arial" w:cs="Arial" w:eastAsia="Arial" w:hAnsi="Arial"/>
          <w:sz w:val="19"/>
          <w:szCs w:val="19"/>
          <w:color w:val="auto"/>
        </w:rPr>
      </w:pPr>
      <w:r>
        <w:rPr>
          <w:rFonts w:ascii="Arial" w:cs="Arial" w:eastAsia="Arial" w:hAnsi="Arial"/>
          <w:sz w:val="19"/>
          <w:szCs w:val="19"/>
          <w:color w:val="auto"/>
        </w:rPr>
        <w:t xml:space="preserve">failure by Wynn Resorts Capital, Wynn Resorts Finance or any of Guarantors to comply with Sections 4.11 or 5.01 of the Indenture; (iv) failure by Wynn Resorts Capital, Wynn Resorts Finance or any Guarantor for 60 days after written notice from the Trustee or Holders of at least 25% in aggregate principal amount of the Notes then outstanding voting as a single class to comply with any of the other agreements in the Indenture or the Notes, not set forth in clause (iii) above; (v) default under any mortgage, indenture or instrument under which there may be issued or by which there may be secured or evidenced any Indebtedness for money borrowed by Wynn Resorts Finance or any Guarantor (or the payment of which is guaranteed by Wynn Resorts Finance or any of the Guarantors) whether such Indebtedness or guarantee now exists, or is created after the date of the Indenture, if that default results in the acceleration of such Indebtedness prior to its express maturity, and, in each case, the principal amount of any such Indebtedness, together with the principal amount of any other such Indebtedness the maturity of which has been so accelerated, aggregates $125.0 million or more, if such acceleration is not annulled within 30 days after written notice as provided in the Indenture; (vi) failure by Wynn Resorts Capital, Wynn Resorts Finance or any of the Guarantors to pay final non-appealable judgments (not paid or covered by insurance as to which the relevant insurance company has not denied responsibility) aggregating in excess of $125.0 million, which judgments are not paid, bonded, discharged or stayed for a period of 60 days; or (vii) certain events of bankruptcy or insolvency described in the Indenture with respect to (a) either Issuer or (b) any Guarantor;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if a Default for a failure to report or failure to deliver a required certificate in connection with another default (the “</w:t>
      </w:r>
      <w:r>
        <w:rPr>
          <w:rFonts w:ascii="Arial" w:cs="Arial" w:eastAsia="Arial" w:hAnsi="Arial"/>
          <w:sz w:val="19"/>
          <w:szCs w:val="19"/>
          <w:i w:val="1"/>
          <w:iCs w:val="1"/>
          <w:color w:val="auto"/>
        </w:rPr>
        <w:t>Initial Default</w:t>
      </w:r>
      <w:r>
        <w:rPr>
          <w:rFonts w:ascii="Arial" w:cs="Arial" w:eastAsia="Arial" w:hAnsi="Arial"/>
          <w:sz w:val="19"/>
          <w:szCs w:val="19"/>
          <w:color w:val="auto"/>
        </w:rPr>
        <w:t>”) occurs, then at the time such Initial Default is cured, such Default for a failure to report or failure to deliver a required certificate in connection with another default that resulted solely because of that Initial Default will also be cured without any further action and (ii) any Default or Event of Default for the failure to comply with the time periods prescribed in Section 4.03 or otherwise to deliver any notice or certificate pursuant to any other provision of the Indenture shall be deemed to be cured upon the delivery of any such report required by such covenant or such notice or certificate, as applicable, even though such delivery is not within the prescribed period specified in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A-1-9</w:t>
      </w:r>
    </w:p>
    <w:p>
      <w:pPr>
        <w:sectPr>
          <w:pgSz w:w="11900" w:h="16838" w:orient="portrait"/>
          <w:cols w:equalWidth="0" w:num="1">
            <w:col w:w="11240"/>
          </w:cols>
          <w:pgMar w:left="320" w:top="1428" w:right="339" w:bottom="1440" w:gutter="0" w:footer="0" w:header="0"/>
        </w:sectPr>
      </w:pPr>
    </w:p>
    <w:bookmarkStart w:id="155" w:name="page156"/>
    <w:bookmarkEnd w:id="155"/>
    <w:p>
      <w:pPr>
        <w:jc w:val="both"/>
        <w:ind w:firstLine="648"/>
        <w:spacing w:after="0" w:line="257" w:lineRule="auto"/>
        <w:rPr>
          <w:sz w:val="20"/>
          <w:szCs w:val="20"/>
          <w:color w:val="auto"/>
        </w:rPr>
      </w:pPr>
      <w:r>
        <w:rPr>
          <w:rFonts w:ascii="Arial" w:cs="Arial" w:eastAsia="Arial" w:hAnsi="Arial"/>
          <w:sz w:val="21"/>
          <w:szCs w:val="21"/>
          <w:color w:val="auto"/>
        </w:rPr>
        <w:t>In the case of an Event of Default arising from certain events of bankruptcy or insolvency with respect to (a) either Issuer or (b) any Guarantor, all outstanding Notes shall become due and payable immediately without further action or notice. If any other Event of Default occurs and is continuing, the Trustee or the Holders of at least 25% in principal amount of the then outstanding Notes may declare all the Notes to be due and payable immediately. Holders of the Notes may not enforce the Indenture or the Notes except as provided in the Indenture. Subject to certain limitations, Holders of a majority in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 or premium, if any. The Holders of a majority in aggregate principal amount of the then outstanding Notes by notice to the Trustee may, on behalf of the Holders of all of the Notes, waive any existing Default or Event of Default and its consequences under the Indenture, except a continuing Default or Event of Default in the payment of interest or premium, if any, on, or the principal of, the Notes. The Issuers are required to deliver to the Trustee annually a statement regarding compliance with the Indenture. Upon becoming aware of any Default or Event of Default, the Issuers are required to deliver to the Trustee a statement specifying such Default or Event of Default.</w:t>
      </w:r>
    </w:p>
    <w:p>
      <w:pPr>
        <w:spacing w:after="0" w:line="187" w:lineRule="exact"/>
        <w:rPr>
          <w:sz w:val="20"/>
          <w:szCs w:val="20"/>
          <w:color w:val="auto"/>
        </w:rPr>
      </w:pPr>
    </w:p>
    <w:p>
      <w:pPr>
        <w:ind w:left="1960" w:hanging="656"/>
        <w:spacing w:after="0"/>
        <w:tabs>
          <w:tab w:leader="none" w:pos="1960" w:val="left"/>
        </w:tabs>
        <w:numPr>
          <w:ilvl w:val="0"/>
          <w:numId w:val="177"/>
        </w:numPr>
        <w:rPr>
          <w:rFonts w:ascii="Arial" w:cs="Arial" w:eastAsia="Arial" w:hAnsi="Arial"/>
          <w:sz w:val="22"/>
          <w:szCs w:val="22"/>
          <w:color w:val="auto"/>
        </w:rPr>
      </w:pPr>
      <w:r>
        <w:rPr>
          <w:rFonts w:ascii="Arial" w:cs="Arial" w:eastAsia="Arial" w:hAnsi="Arial"/>
          <w:sz w:val="22"/>
          <w:szCs w:val="22"/>
          <w:i w:val="1"/>
          <w:iCs w:val="1"/>
          <w:color w:val="auto"/>
        </w:rPr>
        <w:t>[Reserved]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302" w:lineRule="auto"/>
        <w:tabs>
          <w:tab w:leader="none" w:pos="1944" w:val="left"/>
        </w:tabs>
        <w:numPr>
          <w:ilvl w:val="0"/>
          <w:numId w:val="177"/>
        </w:numPr>
        <w:rPr>
          <w:rFonts w:ascii="Arial" w:cs="Arial" w:eastAsia="Arial" w:hAnsi="Arial"/>
          <w:sz w:val="19"/>
          <w:szCs w:val="19"/>
          <w:color w:val="auto"/>
        </w:rPr>
      </w:pPr>
      <w:r>
        <w:rPr>
          <w:rFonts w:ascii="Arial" w:cs="Arial" w:eastAsia="Arial" w:hAnsi="Arial"/>
          <w:sz w:val="19"/>
          <w:szCs w:val="19"/>
          <w:i w:val="1"/>
          <w:iCs w:val="1"/>
          <w:color w:val="auto"/>
        </w:rPr>
        <w:t>Trustee Dealings with Issuers</w:t>
      </w:r>
      <w:r>
        <w:rPr>
          <w:rFonts w:ascii="Arial" w:cs="Arial" w:eastAsia="Arial" w:hAnsi="Arial"/>
          <w:sz w:val="19"/>
          <w:szCs w:val="19"/>
          <w:color w:val="auto"/>
        </w:rPr>
        <w:t>. The Trustee, in its individual or any other capacity, may become the owner</w:t>
      </w:r>
      <w:r>
        <w:rPr>
          <w:rFonts w:ascii="Arial" w:cs="Arial" w:eastAsia="Arial" w:hAnsi="Arial"/>
          <w:sz w:val="19"/>
          <w:szCs w:val="19"/>
          <w:i w:val="1"/>
          <w:iCs w:val="1"/>
          <w:color w:val="auto"/>
        </w:rPr>
        <w:t xml:space="preserve"> </w:t>
      </w:r>
      <w:r>
        <w:rPr>
          <w:rFonts w:ascii="Arial" w:cs="Arial" w:eastAsia="Arial" w:hAnsi="Arial"/>
          <w:sz w:val="19"/>
          <w:szCs w:val="19"/>
          <w:color w:val="auto"/>
        </w:rPr>
        <w:t>or pledgee of Notes and may otherwise deal with the Issuers or any Affiliate of the Issuers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and duties.</w:t>
      </w:r>
    </w:p>
    <w:p>
      <w:pPr>
        <w:spacing w:after="0" w:line="142" w:lineRule="exact"/>
        <w:rPr>
          <w:rFonts w:ascii="Arial" w:cs="Arial" w:eastAsia="Arial" w:hAnsi="Arial"/>
          <w:sz w:val="19"/>
          <w:szCs w:val="19"/>
          <w:color w:val="auto"/>
        </w:rPr>
      </w:pPr>
    </w:p>
    <w:p>
      <w:pPr>
        <w:jc w:val="both"/>
        <w:ind w:firstLine="1304"/>
        <w:spacing w:after="0" w:line="247" w:lineRule="auto"/>
        <w:tabs>
          <w:tab w:leader="none" w:pos="1936" w:val="left"/>
        </w:tabs>
        <w:numPr>
          <w:ilvl w:val="0"/>
          <w:numId w:val="177"/>
        </w:numPr>
        <w:rPr>
          <w:rFonts w:ascii="Arial" w:cs="Arial" w:eastAsia="Arial" w:hAnsi="Arial"/>
          <w:sz w:val="22"/>
          <w:szCs w:val="22"/>
          <w:color w:val="auto"/>
        </w:rPr>
      </w:pPr>
      <w:r>
        <w:rPr>
          <w:rFonts w:ascii="Arial" w:cs="Arial" w:eastAsia="Arial" w:hAnsi="Arial"/>
          <w:sz w:val="22"/>
          <w:szCs w:val="22"/>
          <w:i w:val="1"/>
          <w:iCs w:val="1"/>
          <w:color w:val="auto"/>
        </w:rPr>
        <w:t>No Recourse Against Others</w:t>
      </w:r>
      <w:r>
        <w:rPr>
          <w:rFonts w:ascii="Arial" w:cs="Arial" w:eastAsia="Arial" w:hAnsi="Arial"/>
          <w:sz w:val="22"/>
          <w:szCs w:val="22"/>
          <w:color w:val="auto"/>
        </w:rPr>
        <w:t>. No past, present or future director, officer, employee, incorporator, organizer,</w:t>
      </w:r>
      <w:r>
        <w:rPr>
          <w:rFonts w:ascii="Arial" w:cs="Arial" w:eastAsia="Arial" w:hAnsi="Arial"/>
          <w:sz w:val="22"/>
          <w:szCs w:val="22"/>
          <w:i w:val="1"/>
          <w:iCs w:val="1"/>
          <w:color w:val="auto"/>
        </w:rPr>
        <w:t xml:space="preserve"> </w:t>
      </w:r>
      <w:r>
        <w:rPr>
          <w:rFonts w:ascii="Arial" w:cs="Arial" w:eastAsia="Arial" w:hAnsi="Arial"/>
          <w:sz w:val="22"/>
          <w:szCs w:val="22"/>
          <w:color w:val="auto"/>
        </w:rPr>
        <w:t>equity holder or member of either Issuer or any Guarantor, as such, shall have any liability for any obligations of either Issuer or any Guarantor under the Notes, the Note Guarantees, the Indenture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92" w:lineRule="exact"/>
        <w:rPr>
          <w:rFonts w:ascii="Arial" w:cs="Arial" w:eastAsia="Arial" w:hAnsi="Arial"/>
          <w:sz w:val="22"/>
          <w:szCs w:val="22"/>
          <w:color w:val="auto"/>
        </w:rPr>
      </w:pPr>
    </w:p>
    <w:p>
      <w:pPr>
        <w:ind w:right="20" w:firstLine="1304"/>
        <w:spacing w:after="0" w:line="263" w:lineRule="auto"/>
        <w:tabs>
          <w:tab w:leader="none" w:pos="1944" w:val="left"/>
        </w:tabs>
        <w:numPr>
          <w:ilvl w:val="0"/>
          <w:numId w:val="177"/>
        </w:numPr>
        <w:rPr>
          <w:rFonts w:ascii="Arial" w:cs="Arial" w:eastAsia="Arial" w:hAnsi="Arial"/>
          <w:sz w:val="22"/>
          <w:szCs w:val="22"/>
          <w:color w:val="auto"/>
        </w:rPr>
      </w:pPr>
      <w:r>
        <w:rPr>
          <w:rFonts w:ascii="Arial" w:cs="Arial" w:eastAsia="Arial" w:hAnsi="Arial"/>
          <w:sz w:val="22"/>
          <w:szCs w:val="22"/>
          <w:i w:val="1"/>
          <w:iCs w:val="1"/>
          <w:color w:val="auto"/>
        </w:rPr>
        <w:t>Authentication</w:t>
      </w:r>
      <w:r>
        <w:rPr>
          <w:rFonts w:ascii="Arial" w:cs="Arial" w:eastAsia="Arial" w:hAnsi="Arial"/>
          <w:sz w:val="22"/>
          <w:szCs w:val="22"/>
          <w:color w:val="auto"/>
        </w:rPr>
        <w:t>. This Note shall not be valid until authenticated by the manual signature of the Trustee or</w:t>
      </w:r>
      <w:r>
        <w:rPr>
          <w:rFonts w:ascii="Arial" w:cs="Arial" w:eastAsia="Arial" w:hAnsi="Arial"/>
          <w:sz w:val="22"/>
          <w:szCs w:val="22"/>
          <w:i w:val="1"/>
          <w:iCs w:val="1"/>
          <w:color w:val="auto"/>
        </w:rPr>
        <w:t xml:space="preserve"> </w:t>
      </w:r>
      <w:r>
        <w:rPr>
          <w:rFonts w:ascii="Arial" w:cs="Arial" w:eastAsia="Arial" w:hAnsi="Arial"/>
          <w:sz w:val="22"/>
          <w:szCs w:val="22"/>
          <w:color w:val="auto"/>
        </w:rPr>
        <w:t>an authenticating agent.</w:t>
      </w:r>
    </w:p>
    <w:p>
      <w:pPr>
        <w:spacing w:after="0" w:line="174" w:lineRule="exact"/>
        <w:rPr>
          <w:rFonts w:ascii="Arial" w:cs="Arial" w:eastAsia="Arial" w:hAnsi="Arial"/>
          <w:sz w:val="22"/>
          <w:szCs w:val="22"/>
          <w:color w:val="auto"/>
        </w:rPr>
      </w:pPr>
    </w:p>
    <w:p>
      <w:pPr>
        <w:jc w:val="both"/>
        <w:ind w:firstLine="1304"/>
        <w:spacing w:after="0" w:line="271" w:lineRule="auto"/>
        <w:tabs>
          <w:tab w:leader="none" w:pos="1944" w:val="left"/>
        </w:tabs>
        <w:numPr>
          <w:ilvl w:val="0"/>
          <w:numId w:val="177"/>
        </w:numPr>
        <w:rPr>
          <w:rFonts w:ascii="Arial" w:cs="Arial" w:eastAsia="Arial" w:hAnsi="Arial"/>
          <w:sz w:val="21"/>
          <w:szCs w:val="21"/>
          <w:color w:val="auto"/>
        </w:rPr>
      </w:pPr>
      <w:r>
        <w:rPr>
          <w:rFonts w:ascii="Arial" w:cs="Arial" w:eastAsia="Arial" w:hAnsi="Arial"/>
          <w:sz w:val="21"/>
          <w:szCs w:val="21"/>
          <w:i w:val="1"/>
          <w:iCs w:val="1"/>
          <w:color w:val="auto"/>
        </w:rPr>
        <w:t>Abbreviations</w:t>
      </w:r>
      <w:r>
        <w:rPr>
          <w:rFonts w:ascii="Arial" w:cs="Arial" w:eastAsia="Arial" w:hAnsi="Arial"/>
          <w:sz w:val="21"/>
          <w:szCs w:val="21"/>
          <w:color w:val="auto"/>
        </w:rPr>
        <w:t>. Customary abbreviations may be used in the name of a Holder or an assignee, such as: TEN</w:t>
      </w:r>
      <w:r>
        <w:rPr>
          <w:rFonts w:ascii="Arial" w:cs="Arial" w:eastAsia="Arial" w:hAnsi="Arial"/>
          <w:sz w:val="21"/>
          <w:szCs w:val="21"/>
          <w:i w:val="1"/>
          <w:iCs w:val="1"/>
          <w:color w:val="auto"/>
        </w:rPr>
        <w:t xml:space="preserve"> </w:t>
      </w:r>
      <w:r>
        <w:rPr>
          <w:rFonts w:ascii="Arial" w:cs="Arial" w:eastAsia="Arial" w:hAnsi="Arial"/>
          <w:sz w:val="21"/>
          <w:szCs w:val="21"/>
          <w:color w:val="auto"/>
        </w:rPr>
        <w:t>COM (= tenants in common), TEN ENT (= tenants by the entireties), JT TEN (= joint tenants with right of survivorship and not as tenants in common), CUST (= Custodian), and U/G/M/A (= Uniform Gifts to Minors Act).</w:t>
      </w:r>
    </w:p>
    <w:p>
      <w:pPr>
        <w:spacing w:after="0" w:line="167" w:lineRule="exact"/>
        <w:rPr>
          <w:rFonts w:ascii="Arial" w:cs="Arial" w:eastAsia="Arial" w:hAnsi="Arial"/>
          <w:sz w:val="21"/>
          <w:szCs w:val="21"/>
          <w:color w:val="auto"/>
        </w:rPr>
      </w:pPr>
    </w:p>
    <w:p>
      <w:pPr>
        <w:ind w:firstLine="1304"/>
        <w:spacing w:after="0" w:line="263" w:lineRule="auto"/>
        <w:tabs>
          <w:tab w:leader="none" w:pos="1944" w:val="left"/>
        </w:tabs>
        <w:numPr>
          <w:ilvl w:val="0"/>
          <w:numId w:val="177"/>
        </w:numPr>
        <w:rPr>
          <w:rFonts w:ascii="Arial" w:cs="Arial" w:eastAsia="Arial" w:hAnsi="Arial"/>
          <w:sz w:val="22"/>
          <w:szCs w:val="22"/>
          <w:color w:val="auto"/>
        </w:rPr>
      </w:pPr>
      <w:r>
        <w:rPr>
          <w:rFonts w:ascii="Arial" w:cs="Arial" w:eastAsia="Arial" w:hAnsi="Arial"/>
          <w:sz w:val="22"/>
          <w:szCs w:val="22"/>
          <w:i w:val="1"/>
          <w:iCs w:val="1"/>
          <w:color w:val="auto"/>
        </w:rPr>
        <w:t>Governing Law</w:t>
      </w:r>
      <w:r>
        <w:rPr>
          <w:rFonts w:ascii="Arial" w:cs="Arial" w:eastAsia="Arial" w:hAnsi="Arial"/>
          <w:sz w:val="22"/>
          <w:szCs w:val="22"/>
          <w:color w:val="auto"/>
        </w:rPr>
        <w:t>. THE INDENTURE, THIS NOTE AND THE NOTE GUARANTEES 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GOVERNED BY AND CONSTRUED IN ACCORDANCE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A-1-10</w:t>
      </w:r>
    </w:p>
    <w:p>
      <w:pPr>
        <w:sectPr>
          <w:pgSz w:w="11900" w:h="16838" w:orient="portrait"/>
          <w:cols w:equalWidth="0" w:num="1">
            <w:col w:w="11240"/>
          </w:cols>
          <w:pgMar w:left="320" w:top="1428" w:right="339" w:bottom="1440" w:gutter="0" w:footer="0" w:header="0"/>
        </w:sectPr>
      </w:pPr>
    </w:p>
    <w:bookmarkStart w:id="156" w:name="page157"/>
    <w:bookmarkEnd w:id="156"/>
    <w:p>
      <w:pPr>
        <w:spacing w:after="0" w:line="263" w:lineRule="auto"/>
        <w:rPr>
          <w:sz w:val="20"/>
          <w:szCs w:val="20"/>
          <w:color w:val="auto"/>
        </w:rPr>
      </w:pPr>
      <w:r>
        <w:rPr>
          <w:rFonts w:ascii="Arial" w:cs="Arial" w:eastAsia="Arial" w:hAnsi="Arial"/>
          <w:sz w:val="22"/>
          <w:szCs w:val="22"/>
          <w:color w:val="auto"/>
        </w:rPr>
        <w:t>WITH THE LAWS OF THE STATE OF NEW YORK, INCLUDING, WITHOUT LIMITATION, SECTION 4-1401 OF THE NEW YORK OBLIGATIONS LAW.</w:t>
      </w:r>
    </w:p>
    <w:p>
      <w:pPr>
        <w:spacing w:after="0" w:line="175" w:lineRule="exact"/>
        <w:rPr>
          <w:sz w:val="20"/>
          <w:szCs w:val="20"/>
          <w:color w:val="auto"/>
        </w:rPr>
      </w:pPr>
    </w:p>
    <w:p>
      <w:pPr>
        <w:jc w:val="both"/>
        <w:ind w:firstLine="1304"/>
        <w:spacing w:after="0" w:line="248" w:lineRule="auto"/>
        <w:tabs>
          <w:tab w:leader="none" w:pos="1944" w:val="left"/>
        </w:tabs>
        <w:numPr>
          <w:ilvl w:val="0"/>
          <w:numId w:val="178"/>
        </w:numPr>
        <w:rPr>
          <w:rFonts w:ascii="Arial" w:cs="Arial" w:eastAsia="Arial" w:hAnsi="Arial"/>
          <w:sz w:val="22"/>
          <w:szCs w:val="22"/>
          <w:color w:val="auto"/>
        </w:rPr>
      </w:pPr>
      <w:r>
        <w:rPr>
          <w:rFonts w:ascii="Arial" w:cs="Arial" w:eastAsia="Arial" w:hAnsi="Arial"/>
          <w:sz w:val="22"/>
          <w:szCs w:val="22"/>
          <w:i w:val="1"/>
          <w:iCs w:val="1"/>
          <w:color w:val="auto"/>
        </w:rPr>
        <w:t>CUSIP Numbers</w:t>
      </w:r>
      <w:r>
        <w:rPr>
          <w:rFonts w:ascii="Arial" w:cs="Arial" w:eastAsia="Arial" w:hAnsi="Arial"/>
          <w:sz w:val="22"/>
          <w:szCs w:val="22"/>
          <w:color w:val="auto"/>
        </w:rPr>
        <w:t>. Pursuant to a recommendation promulgated by the Committee on Uniform Security</w:t>
      </w:r>
      <w:r>
        <w:rPr>
          <w:rFonts w:ascii="Arial" w:cs="Arial" w:eastAsia="Arial" w:hAnsi="Arial"/>
          <w:sz w:val="22"/>
          <w:szCs w:val="22"/>
          <w:i w:val="1"/>
          <w:iCs w:val="1"/>
          <w:color w:val="auto"/>
        </w:rPr>
        <w:t xml:space="preserve"> </w:t>
      </w:r>
      <w:r>
        <w:rPr>
          <w:rFonts w:ascii="Arial" w:cs="Arial" w:eastAsia="Arial" w:hAnsi="Arial"/>
          <w:sz w:val="22"/>
          <w:szCs w:val="22"/>
          <w:color w:val="auto"/>
        </w:rPr>
        <w:t>Identification Procedures, the Issuers have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9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Issuers shall furnish to any Holder upon written request and without charge a copy of the Indenture. Requests may be made to:</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Wynn Resorts Finance, LLC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3131 Las Vegas Boulevard, South</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Las Vegas, NV 89109</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Fax No.: (702) 770-1520</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General Counsel – Wynn Resorts, Limited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A-1-11</w:t>
      </w:r>
    </w:p>
    <w:p>
      <w:pPr>
        <w:sectPr>
          <w:pgSz w:w="11900" w:h="16838" w:orient="portrait"/>
          <w:cols w:equalWidth="0" w:num="1">
            <w:col w:w="11240"/>
          </w:cols>
          <w:pgMar w:left="320" w:top="1428" w:right="3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22"/>
          <w:szCs w:val="22"/>
          <w:color w:val="auto"/>
        </w:rPr>
        <w:t>Assignment Form</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assign this Note, fill in the form below:</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(I) or (we) assign and transfer this Note to:</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(Insert assignee’s legal name)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(Insert assignee’s soc. sec. or tax I.D.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(Print or type assignee’s name, address and zip code)</w:t>
      </w:r>
    </w:p>
    <w:p>
      <w:pPr>
        <w:spacing w:after="0" w:line="228" w:lineRule="exact"/>
        <w:rPr>
          <w:sz w:val="20"/>
          <w:szCs w:val="20"/>
          <w:color w:val="auto"/>
        </w:rPr>
      </w:pPr>
    </w:p>
    <w:p>
      <w:pPr>
        <w:ind w:right="780"/>
        <w:spacing w:after="0" w:line="448" w:lineRule="auto"/>
        <w:rPr>
          <w:sz w:val="20"/>
          <w:szCs w:val="20"/>
          <w:color w:val="auto"/>
        </w:rPr>
      </w:pPr>
      <w:r>
        <w:rPr>
          <w:rFonts w:ascii="Arial" w:cs="Arial" w:eastAsia="Arial" w:hAnsi="Arial"/>
          <w:sz w:val="22"/>
          <w:szCs w:val="22"/>
          <w:color w:val="auto"/>
        </w:rPr>
        <w:t>and irrevocably appoint to transfer this Note on the books of the Issuers. The agent may substitute another to act for him. Date: _______________</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Your Signature: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(Sign exactly as your name appears on the face of this Note)</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 _________________________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 Participant in a recognized Signature Guarantee Medallion Program (or other signature guarantor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A-1-12</w:t>
      </w:r>
    </w:p>
    <w:p>
      <w:pPr>
        <w:sectPr>
          <w:pgSz w:w="11900" w:h="16838" w:orient="portrait"/>
          <w:cols w:equalWidth="0" w:num="1">
            <w:col w:w="11240"/>
          </w:cols>
          <w:pgMar w:left="320" w:top="1428" w:right="339" w:bottom="1440" w:gutter="0" w:footer="0" w:header="0"/>
        </w:sectPr>
      </w:pPr>
    </w:p>
    <w:bookmarkStart w:id="158" w:name="page159"/>
    <w:bookmarkEnd w:id="158"/>
    <w:p>
      <w:pPr>
        <w:ind w:left="4100"/>
        <w:spacing w:after="0"/>
        <w:rPr>
          <w:sz w:val="20"/>
          <w:szCs w:val="20"/>
          <w:color w:val="auto"/>
        </w:rPr>
      </w:pPr>
      <w:r>
        <w:rPr>
          <w:rFonts w:ascii="Arial" w:cs="Arial" w:eastAsia="Arial" w:hAnsi="Arial"/>
          <w:sz w:val="22"/>
          <w:szCs w:val="22"/>
          <w:color w:val="auto"/>
        </w:rPr>
        <w:t>Option of Holder to Elect Purchase</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9"/>
          <w:szCs w:val="19"/>
          <w:color w:val="auto"/>
        </w:rPr>
        <w:t>If you want to elect to have this Note purchased by the Issuers pursuant to Section 4.11 of the Indenture, check the appropriate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box below:</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4.11</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If you want to elect to have only part of the Note purchased by the Issuers pursuant to Section 4.11 of the Indenture, state the amount you elect to have purchased:</w:t>
      </w:r>
    </w:p>
    <w:p>
      <w:pPr>
        <w:spacing w:after="0" w:line="175"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_______________</w:t>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Your Signature: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(Sign exactly as your name appears on the face of this Note)</w:t>
      </w:r>
    </w:p>
    <w:p>
      <w:pPr>
        <w:spacing w:after="0" w:line="21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Tax Identification No.:</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 _________________________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 Participant in a recognized Signature Guarantee Medallion Program (or other signature guarantor acceptable to the Trustee).</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A-1-13</w:t>
      </w:r>
    </w:p>
    <w:p>
      <w:pPr>
        <w:sectPr>
          <w:pgSz w:w="11900" w:h="16838" w:orient="portrait"/>
          <w:cols w:equalWidth="0" w:num="1">
            <w:col w:w="11240"/>
          </w:cols>
          <w:pgMar w:left="320" w:top="1428" w:right="339" w:bottom="1440" w:gutter="0" w:footer="0" w:header="0"/>
          <w:type w:val="continuous"/>
        </w:sectPr>
      </w:pPr>
    </w:p>
    <w:bookmarkStart w:id="159" w:name="page160"/>
    <w:bookmarkEnd w:id="159"/>
    <w:p>
      <w:pPr>
        <w:ind w:left="2232"/>
        <w:spacing w:after="0"/>
        <w:rPr>
          <w:sz w:val="20"/>
          <w:szCs w:val="20"/>
          <w:color w:val="auto"/>
        </w:rPr>
      </w:pPr>
      <w:r>
        <w:rPr>
          <w:rFonts w:ascii="Arial" w:cs="Arial" w:eastAsia="Arial" w:hAnsi="Arial"/>
          <w:sz w:val="22"/>
          <w:szCs w:val="22"/>
          <w:color w:val="auto"/>
        </w:rPr>
        <w:t>SCHEDULE OF EXCHANGES OF INTERESTS IN THE GLOBAL NOTE*</w:t>
      </w:r>
    </w:p>
    <w:p>
      <w:pPr>
        <w:spacing w:after="0" w:line="220" w:lineRule="exact"/>
        <w:rPr>
          <w:sz w:val="20"/>
          <w:szCs w:val="20"/>
          <w:color w:val="auto"/>
        </w:rPr>
      </w:pPr>
    </w:p>
    <w:p>
      <w:pPr>
        <w:ind w:left="452"/>
        <w:spacing w:after="0"/>
        <w:rPr>
          <w:sz w:val="20"/>
          <w:szCs w:val="20"/>
          <w:color w:val="auto"/>
        </w:rPr>
      </w:pPr>
      <w:r>
        <w:rPr>
          <w:rFonts w:ascii="Arial" w:cs="Arial" w:eastAsia="Arial" w:hAnsi="Arial"/>
          <w:sz w:val="19"/>
          <w:szCs w:val="19"/>
          <w:color w:val="auto"/>
        </w:rPr>
        <w:t>The following exchanges of a part of this Global Note for an interest in another Global Note or for a Definitive Note, or</w:t>
      </w:r>
    </w:p>
    <w:p>
      <w:pPr>
        <w:spacing w:after="0" w:line="56" w:lineRule="exact"/>
        <w:rPr>
          <w:sz w:val="20"/>
          <w:szCs w:val="20"/>
          <w:color w:val="auto"/>
        </w:rPr>
      </w:pPr>
    </w:p>
    <w:p>
      <w:pPr>
        <w:ind w:left="672"/>
        <w:spacing w:after="0"/>
        <w:rPr>
          <w:sz w:val="20"/>
          <w:szCs w:val="20"/>
          <w:color w:val="auto"/>
        </w:rPr>
      </w:pPr>
      <w:r>
        <w:rPr>
          <w:rFonts w:ascii="Arial" w:cs="Arial" w:eastAsia="Arial" w:hAnsi="Arial"/>
          <w:sz w:val="19"/>
          <w:szCs w:val="19"/>
          <w:color w:val="auto"/>
        </w:rPr>
        <w:t>exchanges of a part of another Global Note or Definitive Note for an interest in this Global Note, have been made:</w:t>
      </w:r>
    </w:p>
    <w:p>
      <w:pPr>
        <w:sectPr>
          <w:pgSz w:w="11900" w:h="16838" w:orient="portrait"/>
          <w:cols w:equalWidth="0" w:num="1">
            <w:col w:w="10912"/>
          </w:cols>
          <w:pgMar w:left="328" w:top="1428" w:right="659" w:bottom="1440" w:gutter="0" w:footer="0" w:header="0"/>
        </w:sectPr>
      </w:pPr>
    </w:p>
    <w:p>
      <w:pPr>
        <w:spacing w:after="0" w:line="275" w:lineRule="exact"/>
        <w:rPr>
          <w:sz w:val="20"/>
          <w:szCs w:val="20"/>
          <w:color w:val="auto"/>
        </w:rPr>
      </w:pPr>
    </w:p>
    <w:p>
      <w:pPr>
        <w:ind w:left="572"/>
        <w:spacing w:after="0"/>
        <w:rPr>
          <w:sz w:val="20"/>
          <w:szCs w:val="20"/>
          <w:color w:val="auto"/>
        </w:rPr>
      </w:pPr>
      <w:r>
        <w:rPr>
          <w:rFonts w:ascii="Arial" w:cs="Arial" w:eastAsia="Arial" w:hAnsi="Arial"/>
          <w:sz w:val="12"/>
          <w:szCs w:val="12"/>
          <w:b w:val="1"/>
          <w:bCs w:val="1"/>
          <w:color w:val="auto"/>
        </w:rPr>
        <w:t>Date of Exchange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Amount of decrease in Principal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 of this Global Note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spacing w:after="0" w:line="297" w:lineRule="auto"/>
        <w:rPr>
          <w:sz w:val="20"/>
          <w:szCs w:val="20"/>
          <w:color w:val="auto"/>
        </w:rPr>
      </w:pPr>
      <w:r>
        <w:rPr>
          <w:rFonts w:ascii="Arial" w:cs="Arial" w:eastAsia="Arial" w:hAnsi="Arial"/>
          <w:sz w:val="13"/>
          <w:szCs w:val="13"/>
          <w:b w:val="1"/>
          <w:bCs w:val="1"/>
          <w:color w:val="auto"/>
        </w:rPr>
        <w:t>Amount of increase in Principal Amount of this Global Note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Principal Amount of this Global Note following such decrease (or increase)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spacing w:after="0" w:line="258" w:lineRule="auto"/>
        <w:rPr>
          <w:sz w:val="20"/>
          <w:szCs w:val="20"/>
          <w:color w:val="auto"/>
        </w:rPr>
      </w:pPr>
      <w:r>
        <w:rPr>
          <w:rFonts w:ascii="Arial" w:cs="Arial" w:eastAsia="Arial" w:hAnsi="Arial"/>
          <w:sz w:val="14"/>
          <w:szCs w:val="14"/>
          <w:b w:val="1"/>
          <w:bCs w:val="1"/>
          <w:color w:val="auto"/>
        </w:rPr>
        <w:t>Signature of authorized officer of Trustee or Custodian</w:t>
      </w:r>
    </w:p>
    <w:p>
      <w:pPr>
        <w:spacing w:after="0" w:line="336" w:lineRule="exact"/>
        <w:rPr>
          <w:sz w:val="20"/>
          <w:szCs w:val="20"/>
          <w:color w:val="auto"/>
        </w:rPr>
      </w:pPr>
    </w:p>
    <w:p>
      <w:pPr>
        <w:sectPr>
          <w:pgSz w:w="11900" w:h="16838" w:orient="portrait"/>
          <w:cols w:equalWidth="0" w:num="5">
            <w:col w:w="1652" w:space="680"/>
            <w:col w:w="1980" w:space="220"/>
            <w:col w:w="1960" w:space="200"/>
            <w:col w:w="2000" w:space="180"/>
            <w:col w:w="2040"/>
          </w:cols>
          <w:pgMar w:left="328" w:top="1428"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72" w:hanging="172"/>
        <w:spacing w:after="0"/>
        <w:tabs>
          <w:tab w:leader="none" w:pos="172" w:val="left"/>
        </w:tabs>
        <w:numPr>
          <w:ilvl w:val="0"/>
          <w:numId w:val="179"/>
        </w:numPr>
        <w:rPr>
          <w:rFonts w:ascii="Arial" w:cs="Arial" w:eastAsia="Arial" w:hAnsi="Arial"/>
          <w:sz w:val="19"/>
          <w:szCs w:val="19"/>
          <w:color w:val="auto"/>
        </w:rPr>
      </w:pPr>
      <w:r>
        <w:rPr>
          <w:rFonts w:ascii="Arial" w:cs="Arial" w:eastAsia="Arial" w:hAnsi="Arial"/>
          <w:sz w:val="19"/>
          <w:szCs w:val="19"/>
          <w:i w:val="1"/>
          <w:iCs w:val="1"/>
          <w:color w:val="auto"/>
        </w:rPr>
        <w:t>This schedule should be included only if the Note is issued in global form.</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left="5312"/>
        <w:spacing w:after="0"/>
        <w:rPr>
          <w:rFonts w:ascii="Arial" w:cs="Arial" w:eastAsia="Arial" w:hAnsi="Arial"/>
          <w:sz w:val="19"/>
          <w:szCs w:val="19"/>
          <w:color w:val="auto"/>
        </w:rPr>
      </w:pPr>
      <w:r>
        <w:rPr>
          <w:rFonts w:ascii="Arial" w:cs="Arial" w:eastAsia="Arial" w:hAnsi="Arial"/>
          <w:sz w:val="22"/>
          <w:szCs w:val="22"/>
          <w:color w:val="auto"/>
        </w:rPr>
        <w:t>A-1-14</w:t>
      </w:r>
    </w:p>
    <w:p>
      <w:pPr>
        <w:sectPr>
          <w:pgSz w:w="11900" w:h="16838" w:orient="portrait"/>
          <w:cols w:equalWidth="0" w:num="1">
            <w:col w:w="10912"/>
          </w:cols>
          <w:pgMar w:left="328" w:top="1428" w:right="659" w:bottom="1440" w:gutter="0" w:footer="0" w:header="0"/>
          <w:type w:val="continuous"/>
        </w:sectPr>
      </w:pPr>
    </w:p>
    <w:bookmarkStart w:id="160" w:name="page161"/>
    <w:bookmarkEnd w:id="160"/>
    <w:p>
      <w:pPr>
        <w:jc w:val="right"/>
        <w:spacing w:after="0"/>
        <w:rPr>
          <w:sz w:val="20"/>
          <w:szCs w:val="20"/>
          <w:color w:val="auto"/>
        </w:rPr>
      </w:pPr>
      <w:r>
        <w:rPr>
          <w:rFonts w:ascii="Arial" w:cs="Arial" w:eastAsia="Arial" w:hAnsi="Arial"/>
          <w:sz w:val="22"/>
          <w:szCs w:val="22"/>
          <w:b w:val="1"/>
          <w:bCs w:val="1"/>
          <w:color w:val="auto"/>
        </w:rPr>
        <w:t>EXHIBIT A-2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[Face of Regulation S Temporary Global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69862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143" w:lineRule="exact"/>
        <w:rPr>
          <w:sz w:val="20"/>
          <w:szCs w:val="20"/>
          <w:color w:val="auto"/>
        </w:rPr>
      </w:pPr>
    </w:p>
    <w:p>
      <w:pPr>
        <w:ind w:left="8360"/>
        <w:spacing w:after="0"/>
        <w:rPr>
          <w:sz w:val="20"/>
          <w:szCs w:val="20"/>
          <w:color w:val="auto"/>
        </w:rPr>
      </w:pPr>
      <w:r>
        <w:rPr>
          <w:rFonts w:ascii="Arial" w:cs="Arial" w:eastAsia="Arial" w:hAnsi="Arial"/>
          <w:sz w:val="15"/>
          <w:szCs w:val="15"/>
          <w:color w:val="auto"/>
        </w:rPr>
        <w:t>CUSIP/ISIN U98354 AB6/USU98354AB63</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7.750% Senior Notes due 2025</w:t>
      </w:r>
    </w:p>
    <w:p>
      <w:pPr>
        <w:spacing w:after="0" w:line="113"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No. ___</w:t>
      </w:r>
      <w:r>
        <w:rPr>
          <w:sz w:val="20"/>
          <w:szCs w:val="20"/>
          <w:color w:val="auto"/>
        </w:rPr>
        <w:tab/>
      </w:r>
      <w:r>
        <w:rPr>
          <w:rFonts w:ascii="Arial" w:cs="Arial" w:eastAsia="Arial" w:hAnsi="Arial"/>
          <w:sz w:val="14"/>
          <w:szCs w:val="14"/>
          <w:color w:val="auto"/>
        </w:rPr>
        <w:t>$____________</w:t>
      </w:r>
    </w:p>
    <w:p>
      <w:pPr>
        <w:spacing w:after="0" w:line="19"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WYNN RESORTS FINANCE, LLC</w:t>
      </w:r>
    </w:p>
    <w:p>
      <w:pPr>
        <w:spacing w:after="0" w:line="5"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WYNN RESORTS CAPITAL CORP.</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promise to pay to ______________________ or registered assigns,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principal sum of</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DOLLARS on April 15, 2025.</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Interest Payment Dates: April 15 and October 15</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Record Dates: April 1 and October 1</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Dated: April 14, 2020</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WYNN RESORTS FINANCE, LLC</w:t>
      </w: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By:Wynn Resorts Holdings, LLC, its sole member</w:t>
      </w: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By: Wynn Resorts, Limited, its sole member</w:t>
      </w:r>
    </w:p>
    <w:p>
      <w:pPr>
        <w:spacing w:after="0" w:line="200" w:lineRule="exact"/>
        <w:rPr>
          <w:sz w:val="20"/>
          <w:szCs w:val="20"/>
          <w:color w:val="auto"/>
        </w:rPr>
      </w:pPr>
    </w:p>
    <w:p>
      <w:pPr>
        <w:spacing w:after="0" w:line="28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-14605</wp:posOffset>
            </wp:positionV>
            <wp:extent cx="1568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15684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 Craig S. Billings</w:t>
      </w:r>
    </w:p>
    <w:p>
      <w:pPr>
        <w:ind w:left="3900"/>
        <w:spacing w:after="0"/>
        <w:rPr>
          <w:sz w:val="20"/>
          <w:szCs w:val="20"/>
          <w:color w:val="auto"/>
        </w:rPr>
      </w:pPr>
      <w:r>
        <w:rPr>
          <w:rFonts w:ascii="Arial" w:cs="Arial" w:eastAsia="Arial" w:hAnsi="Arial"/>
          <w:sz w:val="20"/>
          <w:szCs w:val="20"/>
          <w:color w:val="auto"/>
        </w:rPr>
        <w:t>Title: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auto"/>
        </w:rPr>
        <w:t>WYNN RESORTS CAPITAL CORP.</w:t>
      </w: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-14605</wp:posOffset>
            </wp:positionV>
            <wp:extent cx="1568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15684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 Craig S. Billings</w:t>
      </w:r>
    </w:p>
    <w:p>
      <w:pPr>
        <w:ind w:left="3900"/>
        <w:spacing w:after="0"/>
        <w:rPr>
          <w:sz w:val="20"/>
          <w:szCs w:val="20"/>
          <w:color w:val="auto"/>
        </w:rPr>
      </w:pPr>
      <w:r>
        <w:rPr>
          <w:rFonts w:ascii="Arial" w:cs="Arial" w:eastAsia="Arial" w:hAnsi="Arial"/>
          <w:sz w:val="20"/>
          <w:szCs w:val="20"/>
          <w:color w:val="auto"/>
        </w:rPr>
        <w:t>Title: President and Treasurer</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A-2-1</w:t>
      </w:r>
    </w:p>
    <w:p>
      <w:pPr>
        <w:sectPr>
          <w:pgSz w:w="11900" w:h="16838" w:orient="portrait"/>
          <w:cols w:equalWidth="0" w:num="1">
            <w:col w:w="11240"/>
          </w:cols>
          <w:pgMar w:left="320" w:top="126" w:right="339" w:bottom="1440" w:gutter="0" w:footer="0" w:header="0"/>
          <w:type w:val="continuous"/>
        </w:sectPr>
      </w:pPr>
    </w:p>
    <w:bookmarkStart w:id="161" w:name="page162"/>
    <w:bookmarkEnd w:id="161"/>
    <w:p>
      <w:pPr>
        <w:spacing w:after="0"/>
        <w:rPr>
          <w:sz w:val="20"/>
          <w:szCs w:val="20"/>
          <w:color w:val="auto"/>
        </w:rPr>
      </w:pPr>
      <w:r>
        <w:rPr>
          <w:rFonts w:ascii="Arial" w:cs="Arial" w:eastAsia="Arial" w:hAnsi="Arial"/>
          <w:sz w:val="16"/>
          <w:szCs w:val="16"/>
          <w:color w:val="auto"/>
        </w:rPr>
        <w:t>This is one of the Notes referred to</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 the within-mentioned Indenture:</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BANK NATIONAL ASSOCIATION</w:t>
      </w:r>
      <w:r>
        <w:rPr>
          <w:rFonts w:ascii="Arial" w:cs="Arial" w:eastAsia="Arial" w:hAnsi="Arial"/>
          <w:sz w:val="16"/>
          <w:szCs w:val="16"/>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as Trustee</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69862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ind w:right="4259"/>
        <w:spacing w:after="0"/>
        <w:rPr>
          <w:sz w:val="20"/>
          <w:szCs w:val="20"/>
          <w:color w:val="auto"/>
        </w:rPr>
      </w:pPr>
      <w:r>
        <w:rPr>
          <w:rFonts w:ascii="Arial" w:cs="Arial" w:eastAsia="Arial" w:hAnsi="Arial"/>
          <w:sz w:val="22"/>
          <w:szCs w:val="22"/>
          <w:color w:val="auto"/>
        </w:rPr>
        <w:t>A-2-2</w:t>
      </w:r>
    </w:p>
    <w:p>
      <w:pPr>
        <w:sectPr>
          <w:pgSz w:w="11900" w:h="16838" w:orient="portrait"/>
          <w:cols w:equalWidth="0" w:num="1">
            <w:col w:w="10139"/>
          </w:cols>
          <w:pgMar w:left="320" w:top="1426" w:right="1440" w:bottom="1440" w:gutter="0" w:footer="0" w:header="0"/>
        </w:sectPr>
      </w:pPr>
    </w:p>
    <w:bookmarkStart w:id="162" w:name="page163"/>
    <w:bookmarkEnd w:id="162"/>
    <w:p>
      <w:pPr>
        <w:jc w:val="center"/>
        <w:spacing w:after="0"/>
        <w:rPr>
          <w:sz w:val="20"/>
          <w:szCs w:val="20"/>
          <w:color w:val="auto"/>
        </w:rPr>
      </w:pPr>
      <w:r>
        <w:rPr>
          <w:rFonts w:ascii="Arial" w:cs="Arial" w:eastAsia="Arial" w:hAnsi="Arial"/>
          <w:sz w:val="22"/>
          <w:szCs w:val="22"/>
          <w:color w:val="auto"/>
        </w:rPr>
        <w:t>[Back of Regulation S Temporary Global Note]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7.750% Senior Notes due 2025</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the Private Placement Legend, if applicable, pursuant to Section 2.06(f)(1) of the Indenture</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the Global Notes Legend, if applicable, pursuant to Section 2.06(f)(2) of the Indenture</w:t>
      </w:r>
      <w:r>
        <w:rPr>
          <w:rFonts w:ascii="Arial" w:cs="Arial" w:eastAsia="Arial" w:hAnsi="Arial"/>
          <w:sz w:val="22"/>
          <w:szCs w:val="22"/>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the Regulation S Temporary Global Note Legend pursuant to Section 2.06(f)(3) of the Indenture</w:t>
      </w:r>
      <w:r>
        <w:rPr>
          <w:rFonts w:ascii="Arial" w:cs="Arial" w:eastAsia="Arial" w:hAnsi="Arial"/>
          <w:sz w:val="22"/>
          <w:szCs w:val="22"/>
          <w:color w:val="auto"/>
        </w:rPr>
        <w:t>]</w:t>
      </w:r>
    </w:p>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Capitalized terms used herein have the meanings assigned to them in the Indenture referred to below unless otherwise indicated.</w:t>
      </w:r>
    </w:p>
    <w:p>
      <w:pPr>
        <w:spacing w:after="0" w:line="175" w:lineRule="exact"/>
        <w:rPr>
          <w:sz w:val="20"/>
          <w:szCs w:val="20"/>
          <w:color w:val="auto"/>
        </w:rPr>
      </w:pPr>
    </w:p>
    <w:p>
      <w:pPr>
        <w:jc w:val="both"/>
        <w:ind w:firstLine="1304"/>
        <w:spacing w:after="0" w:line="286" w:lineRule="auto"/>
        <w:tabs>
          <w:tab w:leader="none" w:pos="1944" w:val="left"/>
        </w:tabs>
        <w:numPr>
          <w:ilvl w:val="0"/>
          <w:numId w:val="180"/>
        </w:numPr>
        <w:rPr>
          <w:rFonts w:ascii="Arial" w:cs="Arial" w:eastAsia="Arial" w:hAnsi="Arial"/>
          <w:sz w:val="19"/>
          <w:szCs w:val="19"/>
          <w:color w:val="auto"/>
        </w:rPr>
      </w:pPr>
      <w:r>
        <w:rPr>
          <w:rFonts w:ascii="Arial" w:cs="Arial" w:eastAsia="Arial" w:hAnsi="Arial"/>
          <w:sz w:val="19"/>
          <w:szCs w:val="19"/>
          <w:i w:val="1"/>
          <w:iCs w:val="1"/>
          <w:color w:val="auto"/>
        </w:rPr>
        <w:t>Interest</w:t>
      </w:r>
      <w:r>
        <w:rPr>
          <w:rFonts w:ascii="Arial" w:cs="Arial" w:eastAsia="Arial" w:hAnsi="Arial"/>
          <w:sz w:val="19"/>
          <w:szCs w:val="19"/>
          <w:color w:val="auto"/>
        </w:rPr>
        <w:t>. Wynn Resorts Finance, LLC, a Nevada limited liability company (“</w:t>
      </w:r>
      <w:r>
        <w:rPr>
          <w:rFonts w:ascii="Arial" w:cs="Arial" w:eastAsia="Arial" w:hAnsi="Arial"/>
          <w:sz w:val="19"/>
          <w:szCs w:val="19"/>
          <w:i w:val="1"/>
          <w:iCs w:val="1"/>
          <w:u w:val="single" w:color="auto"/>
          <w:color w:val="auto"/>
        </w:rPr>
        <w:t>Wynn Resorts Finance</w:t>
      </w:r>
      <w:r>
        <w:rPr>
          <w:rFonts w:ascii="Arial" w:cs="Arial" w:eastAsia="Arial" w:hAnsi="Arial"/>
          <w:sz w:val="19"/>
          <w:szCs w:val="19"/>
          <w:color w:val="auto"/>
        </w:rPr>
        <w:t>” ) and</w:t>
      </w:r>
      <w:r>
        <w:rPr>
          <w:rFonts w:ascii="Arial" w:cs="Arial" w:eastAsia="Arial" w:hAnsi="Arial"/>
          <w:sz w:val="19"/>
          <w:szCs w:val="19"/>
          <w:i w:val="1"/>
          <w:iCs w:val="1"/>
          <w:color w:val="auto"/>
        </w:rPr>
        <w:t xml:space="preserve"> </w:t>
      </w:r>
      <w:r>
        <w:rPr>
          <w:rFonts w:ascii="Arial" w:cs="Arial" w:eastAsia="Arial" w:hAnsi="Arial"/>
          <w:sz w:val="19"/>
          <w:szCs w:val="19"/>
          <w:color w:val="auto"/>
        </w:rPr>
        <w:t>Wynn Resorts Capital Corp., a Nevada corporation (“Wynn Resorts Capital,” and together with Wynn Resorts Finance, the “</w:t>
      </w:r>
      <w:r>
        <w:rPr>
          <w:rFonts w:ascii="Arial" w:cs="Arial" w:eastAsia="Arial" w:hAnsi="Arial"/>
          <w:sz w:val="19"/>
          <w:szCs w:val="19"/>
          <w:i w:val="1"/>
          <w:iCs w:val="1"/>
          <w:u w:val="single" w:color="auto"/>
          <w:color w:val="auto"/>
        </w:rPr>
        <w:t>Issuers</w:t>
      </w:r>
      <w:r>
        <w:rPr>
          <w:rFonts w:ascii="Arial" w:cs="Arial" w:eastAsia="Arial" w:hAnsi="Arial"/>
          <w:sz w:val="19"/>
          <w:szCs w:val="19"/>
          <w:color w:val="auto"/>
        </w:rPr>
        <w:t>”), as joint and several obligors, promise to pay interest on the principal amount of this Note at 7.750% per annum from April 14, 2020 until maturity. The Issuers shall pay interest semi-annually in arrears on April 15 and October 15 of each year, or if any such day is not a Business Day, on the next succeeding Business Day (each, an “</w:t>
      </w:r>
      <w:r>
        <w:rPr>
          <w:rFonts w:ascii="Arial" w:cs="Arial" w:eastAsia="Arial" w:hAnsi="Arial"/>
          <w:sz w:val="19"/>
          <w:szCs w:val="19"/>
          <w:i w:val="1"/>
          <w:iCs w:val="1"/>
          <w:u w:val="single" w:color="auto"/>
          <w:color w:val="auto"/>
        </w:rPr>
        <w:t>Interest Payment Date</w:t>
      </w:r>
      <w:r>
        <w:rPr>
          <w:rFonts w:ascii="Arial" w:cs="Arial" w:eastAsia="Arial" w:hAnsi="Arial"/>
          <w:sz w:val="19"/>
          <w:szCs w:val="19"/>
          <w:color w:val="auto"/>
        </w:rPr>
        <w:t xml:space="preserve">”). Interest on the Notes shall accrue from the most recent date to which interest has been paid or, if no interest has been paid, from the date of issuance;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the first Interest Payment Date shall be October 15, 2020. The Issuers shall pay interest (including post-petition interest in any proceeding under any Bankruptcy Law) on overdue principal and premium, if any, from time to time on demand at a rate that is 1% per annum in excess of the rate then in effect;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firstLine="1304"/>
        <w:spacing w:after="0" w:line="289" w:lineRule="auto"/>
        <w:tabs>
          <w:tab w:leader="none" w:pos="1944" w:val="left"/>
        </w:tabs>
        <w:numPr>
          <w:ilvl w:val="0"/>
          <w:numId w:val="180"/>
        </w:numPr>
        <w:rPr>
          <w:rFonts w:ascii="Arial" w:cs="Arial" w:eastAsia="Arial" w:hAnsi="Arial"/>
          <w:sz w:val="19"/>
          <w:szCs w:val="19"/>
          <w:color w:val="auto"/>
        </w:rPr>
      </w:pPr>
      <w:r>
        <w:rPr>
          <w:rFonts w:ascii="Arial" w:cs="Arial" w:eastAsia="Arial" w:hAnsi="Arial"/>
          <w:sz w:val="19"/>
          <w:szCs w:val="19"/>
          <w:i w:val="1"/>
          <w:iCs w:val="1"/>
          <w:color w:val="auto"/>
        </w:rPr>
        <w:t>Method of Payment</w:t>
      </w:r>
      <w:r>
        <w:rPr>
          <w:rFonts w:ascii="Arial" w:cs="Arial" w:eastAsia="Arial" w:hAnsi="Arial"/>
          <w:sz w:val="19"/>
          <w:szCs w:val="19"/>
          <w:color w:val="auto"/>
        </w:rPr>
        <w:t>. The Issuers shall pay interest on the Notes (except defaulted interest) to the Persons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who are registered Holders of Notes at the close of business on the April 1 and October 1 next preceding the Interest Payment Date, even if such Notes are canceled after such record date and on or before such Interest Payment Date, except as provided in Section 2.12 of the Indenture with respect to defaulted interest. The Notes shall be payable as to principal, premium, if any, and interest at the office or agency of the Issuers maintained for such purpose within or without the City and State of New York, or, at the option of the Issuers, payment of interest, if any, may be made by check mailed to the Holders at their addresses set forth in the register of Holders;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payment by wire transfer of immediately available funds shall be required with respect to principal of and interest, premium, if any, on, all Global Notes and all other Notes the Holders of which shall have provided wire transfer instructions to the Issuers or the Paying Agent. Such payment shall be in such coin or currency of the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A-2-3</w:t>
      </w:r>
    </w:p>
    <w:p>
      <w:pPr>
        <w:sectPr>
          <w:pgSz w:w="11900" w:h="16838" w:orient="portrait"/>
          <w:cols w:equalWidth="0" w:num="1">
            <w:col w:w="11240"/>
          </w:cols>
          <w:pgMar w:left="320" w:top="1428" w:right="339" w:bottom="1440" w:gutter="0" w:footer="0" w:header="0"/>
        </w:sectPr>
      </w:pPr>
    </w:p>
    <w:bookmarkStart w:id="163" w:name="page164"/>
    <w:bookmarkEnd w:id="163"/>
    <w:p>
      <w:pPr>
        <w:spacing w:after="0"/>
        <w:rPr>
          <w:sz w:val="20"/>
          <w:szCs w:val="20"/>
          <w:color w:val="auto"/>
        </w:rPr>
      </w:pPr>
      <w:r>
        <w:rPr>
          <w:rFonts w:ascii="Arial" w:cs="Arial" w:eastAsia="Arial" w:hAnsi="Arial"/>
          <w:sz w:val="22"/>
          <w:szCs w:val="22"/>
          <w:color w:val="auto"/>
        </w:rPr>
        <w:t>States of America as at the time of payment is legal tender for payment of public and private debts.</w:t>
      </w:r>
    </w:p>
    <w:p>
      <w:pPr>
        <w:spacing w:after="0" w:line="220" w:lineRule="exact"/>
        <w:rPr>
          <w:sz w:val="20"/>
          <w:szCs w:val="20"/>
          <w:color w:val="auto"/>
        </w:rPr>
      </w:pPr>
    </w:p>
    <w:p>
      <w:pPr>
        <w:jc w:val="both"/>
        <w:ind w:firstLine="1304"/>
        <w:spacing w:after="0" w:line="253" w:lineRule="auto"/>
        <w:tabs>
          <w:tab w:leader="none" w:pos="1944" w:val="left"/>
        </w:tabs>
        <w:numPr>
          <w:ilvl w:val="0"/>
          <w:numId w:val="181"/>
        </w:numPr>
        <w:rPr>
          <w:rFonts w:ascii="Arial" w:cs="Arial" w:eastAsia="Arial" w:hAnsi="Arial"/>
          <w:sz w:val="22"/>
          <w:szCs w:val="22"/>
          <w:color w:val="auto"/>
        </w:rPr>
      </w:pPr>
      <w:r>
        <w:rPr>
          <w:rFonts w:ascii="Arial" w:cs="Arial" w:eastAsia="Arial" w:hAnsi="Arial"/>
          <w:sz w:val="22"/>
          <w:szCs w:val="22"/>
          <w:i w:val="1"/>
          <w:iCs w:val="1"/>
          <w:color w:val="auto"/>
        </w:rPr>
        <w:t>Paying Agent and Registrar</w:t>
      </w:r>
      <w:r>
        <w:rPr>
          <w:rFonts w:ascii="Arial" w:cs="Arial" w:eastAsia="Arial" w:hAnsi="Arial"/>
          <w:sz w:val="22"/>
          <w:szCs w:val="22"/>
          <w:color w:val="auto"/>
        </w:rPr>
        <w:t>. Initially, U.S. Bank National Association, the Trustee under the Indenture,</w:t>
      </w:r>
      <w:r>
        <w:rPr>
          <w:rFonts w:ascii="Arial" w:cs="Arial" w:eastAsia="Arial" w:hAnsi="Arial"/>
          <w:sz w:val="22"/>
          <w:szCs w:val="22"/>
          <w:i w:val="1"/>
          <w:iCs w:val="1"/>
          <w:color w:val="auto"/>
        </w:rPr>
        <w:t xml:space="preserve"> </w:t>
      </w:r>
      <w:r>
        <w:rPr>
          <w:rFonts w:ascii="Arial" w:cs="Arial" w:eastAsia="Arial" w:hAnsi="Arial"/>
          <w:sz w:val="22"/>
          <w:szCs w:val="22"/>
          <w:color w:val="auto"/>
        </w:rPr>
        <w:t>shall act as Paying Agent and Registrar. The Issuers may change any Paying Agent or Registrar without notice to any Holder. Either Issuer or any Guarantor may act in any such capacity.</w:t>
      </w:r>
    </w:p>
    <w:p>
      <w:pPr>
        <w:spacing w:after="0" w:line="185" w:lineRule="exact"/>
        <w:rPr>
          <w:rFonts w:ascii="Arial" w:cs="Arial" w:eastAsia="Arial" w:hAnsi="Arial"/>
          <w:sz w:val="22"/>
          <w:szCs w:val="22"/>
          <w:color w:val="auto"/>
        </w:rPr>
      </w:pPr>
    </w:p>
    <w:p>
      <w:pPr>
        <w:jc w:val="both"/>
        <w:ind w:firstLine="1304"/>
        <w:spacing w:after="0" w:line="292" w:lineRule="auto"/>
        <w:tabs>
          <w:tab w:leader="none" w:pos="1944" w:val="left"/>
        </w:tabs>
        <w:numPr>
          <w:ilvl w:val="0"/>
          <w:numId w:val="181"/>
        </w:numPr>
        <w:rPr>
          <w:rFonts w:ascii="Arial" w:cs="Arial" w:eastAsia="Arial" w:hAnsi="Arial"/>
          <w:sz w:val="19"/>
          <w:szCs w:val="19"/>
          <w:color w:val="auto"/>
        </w:rPr>
      </w:pPr>
      <w:r>
        <w:rPr>
          <w:rFonts w:ascii="Arial" w:cs="Arial" w:eastAsia="Arial" w:hAnsi="Arial"/>
          <w:sz w:val="19"/>
          <w:szCs w:val="19"/>
          <w:i w:val="1"/>
          <w:iCs w:val="1"/>
          <w:color w:val="auto"/>
        </w:rPr>
        <w:t>Indenture</w:t>
      </w:r>
      <w:r>
        <w:rPr>
          <w:rFonts w:ascii="Arial" w:cs="Arial" w:eastAsia="Arial" w:hAnsi="Arial"/>
          <w:sz w:val="19"/>
          <w:szCs w:val="19"/>
          <w:color w:val="auto"/>
        </w:rPr>
        <w:t>. The Issuers issued the Notes under an Indenture dated as of April 14, 2020 (the “</w:t>
      </w:r>
      <w:r>
        <w:rPr>
          <w:rFonts w:ascii="Arial" w:cs="Arial" w:eastAsia="Arial" w:hAnsi="Arial"/>
          <w:sz w:val="19"/>
          <w:szCs w:val="19"/>
          <w:i w:val="1"/>
          <w:iCs w:val="1"/>
          <w:u w:val="single" w:color="auto"/>
          <w:color w:val="auto"/>
        </w:rPr>
        <w:t>Indenture</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among the Issuers, the Guarantors and the Trustee.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unsecured obligations of the Issuers. The Indenture does not limit the aggregate principal amount of Notes that may be issued thereunder. Notes issued after the date of the Indenture in compliance with the applicable requirements of the Indenture are referred to as “</w:t>
      </w:r>
      <w:r>
        <w:rPr>
          <w:rFonts w:ascii="Arial" w:cs="Arial" w:eastAsia="Arial" w:hAnsi="Arial"/>
          <w:sz w:val="19"/>
          <w:szCs w:val="19"/>
          <w:i w:val="1"/>
          <w:iCs w:val="1"/>
          <w:u w:val="single" w:color="auto"/>
          <w:color w:val="auto"/>
        </w:rPr>
        <w:t>Additional Notes</w:t>
      </w:r>
      <w:r>
        <w:rPr>
          <w:rFonts w:ascii="Arial" w:cs="Arial" w:eastAsia="Arial" w:hAnsi="Arial"/>
          <w:sz w:val="19"/>
          <w:szCs w:val="19"/>
          <w:color w:val="auto"/>
        </w:rPr>
        <w:t>.” The term “</w:t>
      </w:r>
      <w:r>
        <w:rPr>
          <w:rFonts w:ascii="Arial" w:cs="Arial" w:eastAsia="Arial" w:hAnsi="Arial"/>
          <w:sz w:val="19"/>
          <w:szCs w:val="19"/>
          <w:i w:val="1"/>
          <w:iCs w:val="1"/>
          <w:u w:val="single" w:color="auto"/>
          <w:color w:val="auto"/>
        </w:rPr>
        <w:t>Notes</w:t>
      </w:r>
      <w:r>
        <w:rPr>
          <w:rFonts w:ascii="Arial" w:cs="Arial" w:eastAsia="Arial" w:hAnsi="Arial"/>
          <w:sz w:val="19"/>
          <w:szCs w:val="19"/>
          <w:color w:val="auto"/>
        </w:rPr>
        <w:t>” includes any Additional Notes hereafter issued.</w:t>
      </w:r>
    </w:p>
    <w:p>
      <w:pPr>
        <w:spacing w:after="0" w:line="150" w:lineRule="exact"/>
        <w:rPr>
          <w:rFonts w:ascii="Arial" w:cs="Arial" w:eastAsia="Arial" w:hAnsi="Arial"/>
          <w:sz w:val="19"/>
          <w:szCs w:val="19"/>
          <w:color w:val="auto"/>
        </w:rPr>
      </w:pPr>
    </w:p>
    <w:p>
      <w:pPr>
        <w:ind w:left="1960" w:hanging="656"/>
        <w:spacing w:after="0"/>
        <w:tabs>
          <w:tab w:leader="none" w:pos="1960" w:val="left"/>
        </w:tabs>
        <w:numPr>
          <w:ilvl w:val="0"/>
          <w:numId w:val="181"/>
        </w:numPr>
        <w:rPr>
          <w:rFonts w:ascii="Arial" w:cs="Arial" w:eastAsia="Arial" w:hAnsi="Arial"/>
          <w:sz w:val="22"/>
          <w:szCs w:val="22"/>
          <w:color w:val="auto"/>
        </w:rPr>
      </w:pPr>
      <w:r>
        <w:rPr>
          <w:rFonts w:ascii="Arial" w:cs="Arial" w:eastAsia="Arial" w:hAnsi="Arial"/>
          <w:sz w:val="22"/>
          <w:szCs w:val="22"/>
          <w:i w:val="1"/>
          <w:iCs w:val="1"/>
          <w:color w:val="auto"/>
        </w:rPr>
        <w:t>Optional Redemption</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jc w:val="both"/>
        <w:ind w:firstLine="1952"/>
        <w:spacing w:after="0" w:line="216" w:lineRule="auto"/>
        <w:tabs>
          <w:tab w:leader="none" w:pos="2592" w:val="left"/>
        </w:tabs>
        <w:numPr>
          <w:ilvl w:val="1"/>
          <w:numId w:val="181"/>
        </w:numPr>
        <w:rPr>
          <w:rFonts w:ascii="Arial" w:cs="Arial" w:eastAsia="Arial" w:hAnsi="Arial"/>
          <w:sz w:val="22"/>
          <w:szCs w:val="22"/>
          <w:color w:val="auto"/>
        </w:rPr>
      </w:pPr>
      <w:r>
        <w:rPr>
          <w:rFonts w:ascii="Arial" w:cs="Arial" w:eastAsia="Arial" w:hAnsi="Arial"/>
          <w:sz w:val="22"/>
          <w:szCs w:val="22"/>
          <w:color w:val="auto"/>
        </w:rPr>
        <w:t>The Notes are redeemable at the Issuers’ election, in whole or in part at any time prior to their Stated Maturity. The redemption price for the Notes that are redeemed before April 15, 2022 will be equal to 100% of the aggregate principal amount of the Notes plus the Applicable Premium, plus accrued and unpaid interest to, but not including, the redemption date (subject to the right of Holders of record on the relevant record date to receive interest due on an interest payment date falling on or prior to such redemption date).</w:t>
      </w:r>
    </w:p>
    <w:p>
      <w:pPr>
        <w:spacing w:after="0" w:line="157" w:lineRule="exact"/>
        <w:rPr>
          <w:rFonts w:ascii="Arial" w:cs="Arial" w:eastAsia="Arial" w:hAnsi="Arial"/>
          <w:sz w:val="22"/>
          <w:szCs w:val="22"/>
          <w:color w:val="auto"/>
        </w:rPr>
      </w:pPr>
    </w:p>
    <w:p>
      <w:pPr>
        <w:jc w:val="both"/>
        <w:ind w:firstLine="1952"/>
        <w:spacing w:after="0" w:line="252" w:lineRule="auto"/>
        <w:tabs>
          <w:tab w:leader="none" w:pos="2592" w:val="left"/>
        </w:tabs>
        <w:numPr>
          <w:ilvl w:val="1"/>
          <w:numId w:val="181"/>
        </w:numPr>
        <w:rPr>
          <w:rFonts w:ascii="Arial" w:cs="Arial" w:eastAsia="Arial" w:hAnsi="Arial"/>
          <w:sz w:val="19"/>
          <w:szCs w:val="19"/>
          <w:color w:val="auto"/>
        </w:rPr>
      </w:pPr>
      <w:r>
        <w:rPr>
          <w:rFonts w:ascii="Arial" w:cs="Arial" w:eastAsia="Arial" w:hAnsi="Arial"/>
          <w:sz w:val="19"/>
          <w:szCs w:val="19"/>
          <w:color w:val="auto"/>
        </w:rPr>
        <w:t>The redemption price for Notes that are redeemed on or after April 15, 2022 will be the redemption prices (expressed as a percentage of principal amount of the Notes to be redeemed) set forth below, plus accrued and unpaid interest on the Notes, if any, to, but not including, the applicable date of redemption (subject to the right of Holders of record on the relevant record date to receive interest due on an interest payment date falling on or prior to such redemption date), if redeemed during the 12-month period beginning on April 15 of each of the years indicated below:</w:t>
      </w:r>
    </w:p>
    <w:p>
      <w:pPr>
        <w:spacing w:after="0" w:line="187" w:lineRule="exact"/>
        <w:rPr>
          <w:sz w:val="20"/>
          <w:szCs w:val="20"/>
          <w:color w:val="auto"/>
        </w:rPr>
      </w:pPr>
    </w:p>
    <w:tbl>
      <w:tblPr>
        <w:tblLayout w:type="fixed"/>
        <w:tblInd w:w="1720" w:type="dxa"/>
        <w:tblCellMar>
          <w:top w:w="0" w:type="dxa"/>
          <w:left w:w="0" w:type="dxa"/>
          <w:bottom w:w="0" w:type="dxa"/>
          <w:right w:w="0" w:type="dxa"/>
        </w:tblCellMar>
      </w:tblPr>
      <w:tr>
        <w:trPr>
          <w:trHeight w:val="253"/>
        </w:trPr>
        <w:tc>
          <w:tcPr>
            <w:tcW w:w="620" w:type="dxa"/>
            <w:vAlign w:val="bottom"/>
          </w:tcPr>
          <w:p>
            <w:pPr>
              <w:spacing w:after="0"/>
              <w:rPr>
                <w:sz w:val="21"/>
                <w:szCs w:val="21"/>
                <w:color w:val="auto"/>
              </w:rPr>
            </w:pPr>
          </w:p>
        </w:tc>
        <w:tc>
          <w:tcPr>
            <w:tcW w:w="3180" w:type="dxa"/>
            <w:vAlign w:val="bottom"/>
            <w:gridSpan w:val="2"/>
          </w:tcPr>
          <w:p>
            <w:pPr>
              <w:jc w:val="center"/>
              <w:ind w:right="2760"/>
              <w:spacing w:after="0"/>
              <w:rPr>
                <w:sz w:val="20"/>
                <w:szCs w:val="20"/>
                <w:color w:val="auto"/>
              </w:rPr>
            </w:pPr>
            <w:r>
              <w:rPr>
                <w:rFonts w:ascii="Arial" w:cs="Arial" w:eastAsia="Arial" w:hAnsi="Arial"/>
                <w:sz w:val="22"/>
                <w:szCs w:val="22"/>
                <w:b w:val="1"/>
                <w:bCs w:val="1"/>
                <w:color w:val="auto"/>
                <w:w w:val="87"/>
              </w:rPr>
              <w:t>Year</w:t>
            </w:r>
          </w:p>
        </w:tc>
        <w:tc>
          <w:tcPr>
            <w:tcW w:w="3160" w:type="dxa"/>
            <w:vAlign w:val="bottom"/>
            <w:gridSpan w:val="2"/>
          </w:tcPr>
          <w:p>
            <w:pPr>
              <w:jc w:val="center"/>
              <w:ind w:left="2032"/>
              <w:spacing w:after="0"/>
              <w:rPr>
                <w:sz w:val="20"/>
                <w:szCs w:val="20"/>
                <w:color w:val="auto"/>
              </w:rPr>
            </w:pPr>
            <w:r>
              <w:rPr>
                <w:rFonts w:ascii="Arial" w:cs="Arial" w:eastAsia="Arial" w:hAnsi="Arial"/>
                <w:sz w:val="22"/>
                <w:szCs w:val="22"/>
                <w:b w:val="1"/>
                <w:bCs w:val="1"/>
                <w:color w:val="auto"/>
                <w:w w:val="85"/>
              </w:rPr>
              <w:t>Percentage</w:t>
            </w:r>
          </w:p>
        </w:tc>
      </w:tr>
      <w:tr>
        <w:trPr>
          <w:trHeight w:val="20"/>
        </w:trPr>
        <w:tc>
          <w:tcPr>
            <w:tcW w:w="6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328"/>
        </w:trPr>
        <w:tc>
          <w:tcPr>
            <w:tcW w:w="3800" w:type="dxa"/>
            <w:vAlign w:val="bottom"/>
            <w:gridSpan w:val="3"/>
          </w:tcPr>
          <w:p>
            <w:pPr>
              <w:jc w:val="center"/>
              <w:ind w:right="2140"/>
              <w:spacing w:after="0"/>
              <w:rPr>
                <w:sz w:val="20"/>
                <w:szCs w:val="20"/>
                <w:color w:val="auto"/>
              </w:rPr>
            </w:pPr>
            <w:r>
              <w:rPr>
                <w:rFonts w:ascii="Arial" w:cs="Arial" w:eastAsia="Arial" w:hAnsi="Arial"/>
                <w:sz w:val="22"/>
                <w:szCs w:val="22"/>
                <w:color w:val="auto"/>
                <w:w w:val="85"/>
              </w:rPr>
              <w:t>2022</w:t>
            </w:r>
          </w:p>
        </w:tc>
        <w:tc>
          <w:tcPr>
            <w:tcW w:w="3160" w:type="dxa"/>
            <w:vAlign w:val="bottom"/>
            <w:gridSpan w:val="2"/>
          </w:tcPr>
          <w:p>
            <w:pPr>
              <w:jc w:val="center"/>
              <w:ind w:left="2012"/>
              <w:spacing w:after="0"/>
              <w:rPr>
                <w:sz w:val="20"/>
                <w:szCs w:val="20"/>
                <w:color w:val="auto"/>
              </w:rPr>
            </w:pPr>
            <w:r>
              <w:rPr>
                <w:rFonts w:ascii="Arial" w:cs="Arial" w:eastAsia="Arial" w:hAnsi="Arial"/>
                <w:sz w:val="22"/>
                <w:szCs w:val="22"/>
                <w:color w:val="auto"/>
                <w:w w:val="88"/>
              </w:rPr>
              <w:t>103.875%</w:t>
            </w:r>
          </w:p>
        </w:tc>
      </w:tr>
      <w:tr>
        <w:trPr>
          <w:trHeight w:val="297"/>
        </w:trPr>
        <w:tc>
          <w:tcPr>
            <w:tcW w:w="3800" w:type="dxa"/>
            <w:vAlign w:val="bottom"/>
            <w:gridSpan w:val="3"/>
          </w:tcPr>
          <w:p>
            <w:pPr>
              <w:jc w:val="center"/>
              <w:ind w:right="2140"/>
              <w:spacing w:after="0"/>
              <w:rPr>
                <w:sz w:val="20"/>
                <w:szCs w:val="20"/>
                <w:color w:val="auto"/>
              </w:rPr>
            </w:pPr>
            <w:r>
              <w:rPr>
                <w:rFonts w:ascii="Arial" w:cs="Arial" w:eastAsia="Arial" w:hAnsi="Arial"/>
                <w:sz w:val="22"/>
                <w:szCs w:val="22"/>
                <w:color w:val="auto"/>
                <w:w w:val="85"/>
              </w:rPr>
              <w:t>2023</w:t>
            </w:r>
          </w:p>
        </w:tc>
        <w:tc>
          <w:tcPr>
            <w:tcW w:w="3160" w:type="dxa"/>
            <w:vAlign w:val="bottom"/>
            <w:gridSpan w:val="2"/>
          </w:tcPr>
          <w:p>
            <w:pPr>
              <w:jc w:val="center"/>
              <w:ind w:left="2012"/>
              <w:spacing w:after="0"/>
              <w:rPr>
                <w:sz w:val="20"/>
                <w:szCs w:val="20"/>
                <w:color w:val="auto"/>
              </w:rPr>
            </w:pPr>
            <w:r>
              <w:rPr>
                <w:rFonts w:ascii="Arial" w:cs="Arial" w:eastAsia="Arial" w:hAnsi="Arial"/>
                <w:sz w:val="22"/>
                <w:szCs w:val="22"/>
                <w:color w:val="auto"/>
                <w:w w:val="88"/>
              </w:rPr>
              <w:t>101.938%</w:t>
            </w:r>
          </w:p>
        </w:tc>
      </w:tr>
      <w:tr>
        <w:trPr>
          <w:trHeight w:val="297"/>
        </w:trPr>
        <w:tc>
          <w:tcPr>
            <w:tcW w:w="3800" w:type="dxa"/>
            <w:vAlign w:val="bottom"/>
            <w:gridSpan w:val="3"/>
          </w:tcPr>
          <w:p>
            <w:pPr>
              <w:jc w:val="center"/>
              <w:ind w:right="2120"/>
              <w:spacing w:after="0"/>
              <w:rPr>
                <w:sz w:val="20"/>
                <w:szCs w:val="20"/>
                <w:color w:val="auto"/>
              </w:rPr>
            </w:pPr>
            <w:r>
              <w:rPr>
                <w:rFonts w:ascii="Arial" w:cs="Arial" w:eastAsia="Arial" w:hAnsi="Arial"/>
                <w:sz w:val="22"/>
                <w:szCs w:val="22"/>
                <w:color w:val="auto"/>
                <w:w w:val="87"/>
              </w:rPr>
              <w:t>2024 and thereafter</w:t>
            </w:r>
          </w:p>
        </w:tc>
        <w:tc>
          <w:tcPr>
            <w:tcW w:w="3160" w:type="dxa"/>
            <w:vAlign w:val="bottom"/>
            <w:gridSpan w:val="2"/>
          </w:tcPr>
          <w:p>
            <w:pPr>
              <w:jc w:val="center"/>
              <w:ind w:left="2012"/>
              <w:spacing w:after="0"/>
              <w:rPr>
                <w:sz w:val="20"/>
                <w:szCs w:val="20"/>
                <w:color w:val="auto"/>
              </w:rPr>
            </w:pPr>
            <w:r>
              <w:rPr>
                <w:rFonts w:ascii="Arial" w:cs="Arial" w:eastAsia="Arial" w:hAnsi="Arial"/>
                <w:sz w:val="22"/>
                <w:szCs w:val="22"/>
                <w:color w:val="auto"/>
                <w:w w:val="88"/>
              </w:rPr>
              <w:t>100.000%</w:t>
            </w:r>
          </w:p>
        </w:tc>
      </w:tr>
    </w:tbl>
    <w:p>
      <w:pPr>
        <w:spacing w:after="0" w:line="333" w:lineRule="exact"/>
        <w:rPr>
          <w:sz w:val="20"/>
          <w:szCs w:val="20"/>
          <w:color w:val="auto"/>
        </w:rPr>
      </w:pPr>
    </w:p>
    <w:p>
      <w:pPr>
        <w:jc w:val="both"/>
        <w:ind w:firstLine="1952"/>
        <w:spacing w:after="0" w:line="216" w:lineRule="auto"/>
        <w:tabs>
          <w:tab w:leader="none" w:pos="2592" w:val="left"/>
        </w:tabs>
        <w:numPr>
          <w:ilvl w:val="0"/>
          <w:numId w:val="182"/>
        </w:numPr>
        <w:rPr>
          <w:rFonts w:ascii="Arial" w:cs="Arial" w:eastAsia="Arial" w:hAnsi="Arial"/>
          <w:sz w:val="22"/>
          <w:szCs w:val="22"/>
          <w:color w:val="auto"/>
        </w:rPr>
      </w:pPr>
      <w:r>
        <w:rPr>
          <w:rFonts w:ascii="Arial" w:cs="Arial" w:eastAsia="Arial" w:hAnsi="Arial"/>
          <w:sz w:val="22"/>
          <w:szCs w:val="22"/>
          <w:color w:val="auto"/>
        </w:rPr>
        <w:t>Prior to April 15, 2022, the Issuers may also, on any one or more occasions, redeem up to 35% of the original aggregate principal amount of the Notes (calculated after giving effect to any issuance of Additional Notes issued under the Indenture) with the proceeds of one or more Equity Offerings at a redemption price equal to 107.750% of the aggregate principal amount thereof, plus accrued and unpaid interest, if any, to, but not including, the applicable redemption date (subject to the right of Holders of record on the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A-2-4</w:t>
      </w:r>
    </w:p>
    <w:p>
      <w:pPr>
        <w:sectPr>
          <w:pgSz w:w="11900" w:h="16838" w:orient="portrait"/>
          <w:cols w:equalWidth="0" w:num="1">
            <w:col w:w="11240"/>
          </w:cols>
          <w:pgMar w:left="320" w:top="1428" w:right="339" w:bottom="1440" w:gutter="0" w:footer="0" w:header="0"/>
        </w:sectPr>
      </w:pPr>
    </w:p>
    <w:bookmarkStart w:id="164" w:name="page165"/>
    <w:bookmarkEnd w:id="164"/>
    <w:p>
      <w:pPr>
        <w:spacing w:after="0"/>
        <w:rPr>
          <w:sz w:val="20"/>
          <w:szCs w:val="20"/>
          <w:color w:val="auto"/>
        </w:rPr>
      </w:pPr>
      <w:r>
        <w:rPr>
          <w:rFonts w:ascii="Arial" w:cs="Arial" w:eastAsia="Arial" w:hAnsi="Arial"/>
          <w:sz w:val="19"/>
          <w:szCs w:val="19"/>
          <w:color w:val="auto"/>
        </w:rPr>
        <w:t xml:space="preserve">relevant record date to receive interest due on an interest payment date falling on or prior to such redemption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w:t>
      </w:r>
    </w:p>
    <w:p>
      <w:pPr>
        <w:spacing w:after="0" w:line="214" w:lineRule="exact"/>
        <w:rPr>
          <w:sz w:val="20"/>
          <w:szCs w:val="20"/>
          <w:color w:val="auto"/>
        </w:rPr>
      </w:pPr>
    </w:p>
    <w:p>
      <w:pPr>
        <w:jc w:val="both"/>
        <w:ind w:left="1960" w:firstLine="640"/>
        <w:spacing w:after="0" w:line="218" w:lineRule="auto"/>
        <w:tabs>
          <w:tab w:leader="none" w:pos="3256" w:val="left"/>
        </w:tabs>
        <w:numPr>
          <w:ilvl w:val="0"/>
          <w:numId w:val="183"/>
        </w:numPr>
        <w:rPr>
          <w:rFonts w:ascii="Arial" w:cs="Arial" w:eastAsia="Arial" w:hAnsi="Arial"/>
          <w:sz w:val="22"/>
          <w:szCs w:val="22"/>
          <w:color w:val="auto"/>
        </w:rPr>
      </w:pPr>
      <w:r>
        <w:rPr>
          <w:rFonts w:ascii="Arial" w:cs="Arial" w:eastAsia="Arial" w:hAnsi="Arial"/>
          <w:sz w:val="22"/>
          <w:szCs w:val="22"/>
          <w:color w:val="auto"/>
        </w:rPr>
        <w:t>at least 65% of the original aggregate principal amount of the Notes (calculated after giving effect to any issuance of Additional Notes issued under the Indenture) remains outstanding after each such redemption (unless all Notes are otherwise repurchased or redeemed substantially concurrently with the corresponding redemption); and</w:t>
      </w:r>
    </w:p>
    <w:p>
      <w:pPr>
        <w:spacing w:after="0" w:line="160" w:lineRule="exact"/>
        <w:rPr>
          <w:rFonts w:ascii="Arial" w:cs="Arial" w:eastAsia="Arial" w:hAnsi="Arial"/>
          <w:sz w:val="22"/>
          <w:szCs w:val="22"/>
          <w:color w:val="auto"/>
        </w:rPr>
      </w:pPr>
    </w:p>
    <w:p>
      <w:pPr>
        <w:ind w:left="3240" w:hanging="640"/>
        <w:spacing w:after="0"/>
        <w:tabs>
          <w:tab w:leader="none" w:pos="324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such redemption occurs within 120 days after the closing of such Equity Offering.</w:t>
      </w:r>
    </w:p>
    <w:p>
      <w:pPr>
        <w:spacing w:after="0" w:line="20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Any such redemption may, at the discretion of the Issuers, be subject to one or more conditions precedent, including a Change of Control. In addition, if such redemption is subject to the satisfaction of one or more conditions precedent, the related notice shall describe each such condition, and if applicable, shall state that, in the discretion of the Issuers, the date of redemption may be delayed until such time as any or all such conditions shall be satisfied or waived (provided that in no event shall such date of redemption be delayed to a date later than 60 days after the date on which such notice was delivered), or such redemption may not occur and such notice may be rescinded in the event that any or all such conditions shall not have been satisfied or waived by the date of redemption, or by the date of redemption as so delayed.</w:t>
      </w:r>
    </w:p>
    <w:p>
      <w:pPr>
        <w:spacing w:after="0" w:line="15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Unless the Issuers default in the payment of the redemption price, interest will cease to accrue on the Notes or portions thereof called for redemption on the applicable redemption date.</w:t>
      </w:r>
    </w:p>
    <w:p>
      <w:pPr>
        <w:spacing w:after="0" w:line="175" w:lineRule="exact"/>
        <w:rPr>
          <w:sz w:val="20"/>
          <w:szCs w:val="20"/>
          <w:color w:val="auto"/>
        </w:rPr>
      </w:pPr>
    </w:p>
    <w:p>
      <w:pPr>
        <w:ind w:firstLine="1304"/>
        <w:spacing w:after="0" w:line="263" w:lineRule="auto"/>
        <w:tabs>
          <w:tab w:leader="none" w:pos="1944" w:val="left"/>
        </w:tabs>
        <w:numPr>
          <w:ilvl w:val="0"/>
          <w:numId w:val="184"/>
        </w:numPr>
        <w:rPr>
          <w:rFonts w:ascii="Arial" w:cs="Arial" w:eastAsia="Arial" w:hAnsi="Arial"/>
          <w:sz w:val="22"/>
          <w:szCs w:val="22"/>
          <w:color w:val="auto"/>
        </w:rPr>
      </w:pPr>
      <w:r>
        <w:rPr>
          <w:rFonts w:ascii="Arial" w:cs="Arial" w:eastAsia="Arial" w:hAnsi="Arial"/>
          <w:sz w:val="22"/>
          <w:szCs w:val="22"/>
          <w:i w:val="1"/>
          <w:iCs w:val="1"/>
          <w:color w:val="auto"/>
        </w:rPr>
        <w:t>Mandatory Redemption</w:t>
      </w:r>
      <w:r>
        <w:rPr>
          <w:rFonts w:ascii="Arial" w:cs="Arial" w:eastAsia="Arial" w:hAnsi="Arial"/>
          <w:sz w:val="22"/>
          <w:szCs w:val="22"/>
          <w:color w:val="auto"/>
        </w:rPr>
        <w:t>. Other than as set forth in Paragraph 7 below, the Issuers shall not be required to</w:t>
      </w:r>
      <w:r>
        <w:rPr>
          <w:rFonts w:ascii="Arial" w:cs="Arial" w:eastAsia="Arial" w:hAnsi="Arial"/>
          <w:sz w:val="22"/>
          <w:szCs w:val="22"/>
          <w:i w:val="1"/>
          <w:iCs w:val="1"/>
          <w:color w:val="auto"/>
        </w:rPr>
        <w:t xml:space="preserve"> </w:t>
      </w:r>
      <w:r>
        <w:rPr>
          <w:rFonts w:ascii="Arial" w:cs="Arial" w:eastAsia="Arial" w:hAnsi="Arial"/>
          <w:sz w:val="22"/>
          <w:szCs w:val="22"/>
          <w:color w:val="auto"/>
        </w:rPr>
        <w:t>make mandatory redemption or sinking fund payments with respect to the Notes.</w:t>
      </w:r>
    </w:p>
    <w:p>
      <w:pPr>
        <w:spacing w:after="0" w:line="174" w:lineRule="exact"/>
        <w:rPr>
          <w:rFonts w:ascii="Arial" w:cs="Arial" w:eastAsia="Arial" w:hAnsi="Arial"/>
          <w:sz w:val="22"/>
          <w:szCs w:val="22"/>
          <w:color w:val="auto"/>
        </w:rPr>
      </w:pPr>
    </w:p>
    <w:p>
      <w:pPr>
        <w:jc w:val="both"/>
        <w:ind w:firstLine="1304"/>
        <w:spacing w:after="0" w:line="257" w:lineRule="auto"/>
        <w:tabs>
          <w:tab w:leader="none" w:pos="1944" w:val="left"/>
        </w:tabs>
        <w:numPr>
          <w:ilvl w:val="0"/>
          <w:numId w:val="184"/>
        </w:numPr>
        <w:rPr>
          <w:rFonts w:ascii="Arial" w:cs="Arial" w:eastAsia="Arial" w:hAnsi="Arial"/>
          <w:sz w:val="21"/>
          <w:szCs w:val="21"/>
          <w:color w:val="auto"/>
        </w:rPr>
      </w:pPr>
      <w:r>
        <w:rPr>
          <w:rFonts w:ascii="Arial" w:cs="Arial" w:eastAsia="Arial" w:hAnsi="Arial"/>
          <w:sz w:val="21"/>
          <w:szCs w:val="21"/>
          <w:i w:val="1"/>
          <w:iCs w:val="1"/>
          <w:color w:val="auto"/>
        </w:rPr>
        <w:t>Mandatory Disposition or Redemption Pursuant to Gaming Laws</w:t>
      </w:r>
      <w:r>
        <w:rPr>
          <w:rFonts w:ascii="Arial" w:cs="Arial" w:eastAsia="Arial" w:hAnsi="Arial"/>
          <w:sz w:val="21"/>
          <w:szCs w:val="21"/>
          <w:color w:val="auto"/>
        </w:rPr>
        <w:t>. Notwithstanding any other provision of</w:t>
      </w:r>
      <w:r>
        <w:rPr>
          <w:rFonts w:ascii="Arial" w:cs="Arial" w:eastAsia="Arial" w:hAnsi="Arial"/>
          <w:sz w:val="21"/>
          <w:szCs w:val="21"/>
          <w:i w:val="1"/>
          <w:iCs w:val="1"/>
          <w:color w:val="auto"/>
        </w:rPr>
        <w:t xml:space="preserve"> </w:t>
      </w:r>
      <w:r>
        <w:rPr>
          <w:rFonts w:ascii="Arial" w:cs="Arial" w:eastAsia="Arial" w:hAnsi="Arial"/>
          <w:sz w:val="21"/>
          <w:szCs w:val="21"/>
          <w:color w:val="auto"/>
        </w:rPr>
        <w:t>the Indenture or this Note, each Holder, by accepting this Note, shall be deemed to have agreed that, if any Gaming Authority requires a Holder or Beneficial Owner of Notes to be registered, licensed, qualified or found suitable under any applicable Gaming Law, such Holder or Beneficial Owner, as the case may be, shall apply for a license, qualification or a finding of suitability in accordance with such Gaming Law and shall cooperate with the requests of any Gaming Authority for information, documentation, and/or testimony. If such Holder or Beneficial Owner (a) fails to apply for a license, qualification or finding of suitability within 30 days after being requested to do so (or such lesser period as required by the Gaming Authority), or (b) is notified by a Gaming Authority that it shall not be licensed, qualified or found suitable, then the Issuers shall have the right, at their option, to: (1) require the Holder or Beneficial Owner to dispose of its Notes within 30 days (or such lesser period as required by the Gaming Authority) following the earlier of: (a) the termination of the period described above for the Holder or Beneficial Owner to apply for a license, qualification or finding of suitability if the Holder fails to apply for a license, qualification or finding of suitability during such period, or (b) the receipt of the notice from the Gaming Authority that the Holder or Beneficial Owner shall not be licensed, qualified or found suitable by the Gaming Authority; or (2) redeem the Notes of the Holder or Beneficial Owner at a redemption price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A-2-5</w:t>
      </w:r>
    </w:p>
    <w:p>
      <w:pPr>
        <w:sectPr>
          <w:pgSz w:w="11900" w:h="16838" w:orient="portrait"/>
          <w:cols w:equalWidth="0" w:num="1">
            <w:col w:w="11240"/>
          </w:cols>
          <w:pgMar w:left="320" w:top="1401" w:right="339" w:bottom="1440" w:gutter="0" w:footer="0" w:header="0"/>
        </w:sectPr>
      </w:pPr>
    </w:p>
    <w:bookmarkStart w:id="165" w:name="page166"/>
    <w:bookmarkEnd w:id="165"/>
    <w:p>
      <w:pPr>
        <w:jc w:val="both"/>
        <w:spacing w:after="0" w:line="247" w:lineRule="auto"/>
        <w:rPr>
          <w:sz w:val="20"/>
          <w:szCs w:val="20"/>
          <w:color w:val="auto"/>
        </w:rPr>
      </w:pPr>
      <w:r>
        <w:rPr>
          <w:rFonts w:ascii="Arial" w:cs="Arial" w:eastAsia="Arial" w:hAnsi="Arial"/>
          <w:sz w:val="22"/>
          <w:szCs w:val="22"/>
          <w:color w:val="auto"/>
        </w:rPr>
        <w:t>equal to: (a) the price required by applicable law or by order of any Gaming Authority, or (b) the lesser of: (i) the principal amount of the Notes, and (ii) the price that the Holder or Beneficial Owner paid for the Notes, in either case, together with accrued and unpaid interest, if any, on the Notes to, but not including, the earlier of (A) the date of redemption or such earlier date as is required by the Gaming Authority or (B) the date of the finding of unsuitability by the Gaming Authority, which may be less than 30 days following the notice of redemption. The Issuers shall notify the Trustee in writing of any redemption pursuant to this Section 7 as soon as practicable.</w:t>
      </w:r>
    </w:p>
    <w:p>
      <w:pPr>
        <w:spacing w:after="0" w:line="19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Immediately upon a determination by a Gaming Authority that a Holder or Beneficial Owner of Notes shall not be licensed, qualified or found suitable, the Holder or Beneficial Owner shall not have any further rights with respect to the Notes to: (a) exercise, directly or indirectly, through any Person, any right conferred by the Notes; or (b) receive any interest or any other distribution or payment with respect to the Notes, or any remuneration in any form from the Issuers for services rendered or otherwise, except the redemption price of the Notes.</w:t>
      </w:r>
    </w:p>
    <w:p>
      <w:pPr>
        <w:spacing w:after="0" w:line="16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Neither the Issuers nor the Trustee shall be responsible for any costs or expenses any Holder or Beneficial Owner may incur in connection with its registration, application for a license, qualification or a finding of suitability, or any renewal or continuation of the foregoing or compliance with any other requirement of a Gaming Authority. Those costs and expenses will be the obligations of the Holder or Beneficial Owner, as applicable. In addition, any Holder or Beneficial Owner, as applicable, required to be licensed, qualified or found suitable under applicable Gaming Laws must pay all investigative fees and costs of any Gaming Authority in connection with such license, qualification, finding of suitability or application therefor.</w:t>
      </w:r>
    </w:p>
    <w:p>
      <w:pPr>
        <w:spacing w:after="0" w:line="179" w:lineRule="exact"/>
        <w:rPr>
          <w:sz w:val="20"/>
          <w:szCs w:val="20"/>
          <w:color w:val="auto"/>
        </w:rPr>
      </w:pPr>
    </w:p>
    <w:p>
      <w:pPr>
        <w:jc w:val="both"/>
        <w:ind w:firstLine="1304"/>
        <w:spacing w:after="0" w:line="261" w:lineRule="auto"/>
        <w:tabs>
          <w:tab w:leader="none" w:pos="1944" w:val="left"/>
        </w:tabs>
        <w:numPr>
          <w:ilvl w:val="0"/>
          <w:numId w:val="185"/>
        </w:numPr>
        <w:rPr>
          <w:rFonts w:ascii="Arial" w:cs="Arial" w:eastAsia="Arial" w:hAnsi="Arial"/>
          <w:sz w:val="21"/>
          <w:szCs w:val="21"/>
          <w:color w:val="auto"/>
        </w:rPr>
      </w:pPr>
      <w:r>
        <w:rPr>
          <w:rFonts w:ascii="Arial" w:cs="Arial" w:eastAsia="Arial" w:hAnsi="Arial"/>
          <w:sz w:val="21"/>
          <w:szCs w:val="21"/>
          <w:i w:val="1"/>
          <w:iCs w:val="1"/>
          <w:color w:val="auto"/>
        </w:rPr>
        <w:t>Repurchase at Option of Holder</w:t>
      </w:r>
      <w:r>
        <w:rPr>
          <w:rFonts w:ascii="Arial" w:cs="Arial" w:eastAsia="Arial" w:hAnsi="Arial"/>
          <w:sz w:val="21"/>
          <w:szCs w:val="21"/>
          <w:color w:val="auto"/>
        </w:rPr>
        <w:t>. If a Change of Control Triggering Event occurs, the Issuers shall make an</w:t>
      </w:r>
      <w:r>
        <w:rPr>
          <w:rFonts w:ascii="Arial" w:cs="Arial" w:eastAsia="Arial" w:hAnsi="Arial"/>
          <w:sz w:val="21"/>
          <w:szCs w:val="21"/>
          <w:i w:val="1"/>
          <w:iCs w:val="1"/>
          <w:color w:val="auto"/>
        </w:rPr>
        <w:t xml:space="preserve"> </w:t>
      </w:r>
      <w:r>
        <w:rPr>
          <w:rFonts w:ascii="Arial" w:cs="Arial" w:eastAsia="Arial" w:hAnsi="Arial"/>
          <w:sz w:val="21"/>
          <w:szCs w:val="21"/>
          <w:color w:val="auto"/>
        </w:rPr>
        <w:t>offer (a “</w:t>
      </w:r>
      <w:r>
        <w:rPr>
          <w:rFonts w:ascii="Arial" w:cs="Arial" w:eastAsia="Arial" w:hAnsi="Arial"/>
          <w:sz w:val="21"/>
          <w:szCs w:val="21"/>
          <w:i w:val="1"/>
          <w:iCs w:val="1"/>
          <w:u w:val="single" w:color="auto"/>
          <w:color w:val="auto"/>
        </w:rPr>
        <w:t>Change of Control Offer</w:t>
      </w:r>
      <w:r>
        <w:rPr>
          <w:rFonts w:ascii="Arial" w:cs="Arial" w:eastAsia="Arial" w:hAnsi="Arial"/>
          <w:sz w:val="21"/>
          <w:szCs w:val="21"/>
          <w:color w:val="auto"/>
        </w:rPr>
        <w:t>”) to repurchase all or any part (equal to $2,000 or an integral multiple of $1,000 in excess of $2,000) of each Holder’s Notes at a purchase price equal to 101% of the aggregate principal amount thereof plus accrued and unpaid interest, if any, to, but not including, the date of purchase (the “</w:t>
      </w:r>
      <w:r>
        <w:rPr>
          <w:rFonts w:ascii="Arial" w:cs="Arial" w:eastAsia="Arial" w:hAnsi="Arial"/>
          <w:sz w:val="21"/>
          <w:szCs w:val="21"/>
          <w:i w:val="1"/>
          <w:iCs w:val="1"/>
          <w:u w:val="single" w:color="auto"/>
          <w:color w:val="auto"/>
        </w:rPr>
        <w:t>Change of Control Payment</w:t>
      </w:r>
      <w:r>
        <w:rPr>
          <w:rFonts w:ascii="Arial" w:cs="Arial" w:eastAsia="Arial" w:hAnsi="Arial"/>
          <w:sz w:val="21"/>
          <w:szCs w:val="21"/>
          <w:color w:val="auto"/>
        </w:rPr>
        <w:t>”). Within 10 days following any Change of Control Triggering Event, the Issuers shall mail a notice to each Holder setting forth the procedures governing the Change of Control Offer as required by the Indenture.</w:t>
      </w:r>
    </w:p>
    <w:p>
      <w:pPr>
        <w:spacing w:after="0" w:line="179" w:lineRule="exact"/>
        <w:rPr>
          <w:rFonts w:ascii="Arial" w:cs="Arial" w:eastAsia="Arial" w:hAnsi="Arial"/>
          <w:sz w:val="21"/>
          <w:szCs w:val="21"/>
          <w:color w:val="auto"/>
        </w:rPr>
      </w:pPr>
    </w:p>
    <w:p>
      <w:pPr>
        <w:jc w:val="both"/>
        <w:ind w:firstLine="1304"/>
        <w:spacing w:after="0" w:line="294" w:lineRule="auto"/>
        <w:tabs>
          <w:tab w:leader="none" w:pos="1944" w:val="left"/>
        </w:tabs>
        <w:numPr>
          <w:ilvl w:val="0"/>
          <w:numId w:val="185"/>
        </w:numPr>
        <w:rPr>
          <w:rFonts w:ascii="Arial" w:cs="Arial" w:eastAsia="Arial" w:hAnsi="Arial"/>
          <w:sz w:val="19"/>
          <w:szCs w:val="19"/>
          <w:color w:val="auto"/>
        </w:rPr>
      </w:pPr>
      <w:r>
        <w:rPr>
          <w:rFonts w:ascii="Arial" w:cs="Arial" w:eastAsia="Arial" w:hAnsi="Arial"/>
          <w:sz w:val="19"/>
          <w:szCs w:val="19"/>
          <w:i w:val="1"/>
          <w:iCs w:val="1"/>
          <w:color w:val="auto"/>
        </w:rPr>
        <w:t>Notice of Redemption</w:t>
      </w:r>
      <w:r>
        <w:rPr>
          <w:rFonts w:ascii="Arial" w:cs="Arial" w:eastAsia="Arial" w:hAnsi="Arial"/>
          <w:sz w:val="19"/>
          <w:szCs w:val="19"/>
          <w:color w:val="auto"/>
        </w:rPr>
        <w:t>. Notice of redemption shall be delivered at least 15 days but not more than 60 days</w:t>
      </w:r>
      <w:r>
        <w:rPr>
          <w:rFonts w:ascii="Arial" w:cs="Arial" w:eastAsia="Arial" w:hAnsi="Arial"/>
          <w:sz w:val="19"/>
          <w:szCs w:val="19"/>
          <w:i w:val="1"/>
          <w:iCs w:val="1"/>
          <w:color w:val="auto"/>
        </w:rPr>
        <w:t xml:space="preserve"> </w:t>
      </w:r>
      <w:r>
        <w:rPr>
          <w:rFonts w:ascii="Arial" w:cs="Arial" w:eastAsia="Arial" w:hAnsi="Arial"/>
          <w:sz w:val="19"/>
          <w:szCs w:val="19"/>
          <w:color w:val="auto"/>
        </w:rPr>
        <w:t>before the redemption date to each Holder whose Notes are to be redeemed at its registered address, except that redemption notices may be delivered more than 60 days prior to a redemption date if the notice is issued in connection with a defeasance of the Notes or a satisfaction and discharge of the Indenture. Notes in denominations larger than $2,000 may be redeemed in part but only in whole multiples of $1,000 in excess of $2,000, unless all of the Notes held by a Holder are to be redeemed. On and after the redemption date interest ceases to accrue on Notes or portions thereof called for redemption.</w:t>
      </w:r>
    </w:p>
    <w:p>
      <w:pPr>
        <w:spacing w:after="0" w:line="149" w:lineRule="exact"/>
        <w:rPr>
          <w:rFonts w:ascii="Arial" w:cs="Arial" w:eastAsia="Arial" w:hAnsi="Arial"/>
          <w:sz w:val="19"/>
          <w:szCs w:val="19"/>
          <w:color w:val="auto"/>
        </w:rPr>
      </w:pPr>
    </w:p>
    <w:p>
      <w:pPr>
        <w:jc w:val="both"/>
        <w:ind w:firstLine="1304"/>
        <w:spacing w:after="0" w:line="265" w:lineRule="auto"/>
        <w:tabs>
          <w:tab w:leader="none" w:pos="1944" w:val="left"/>
        </w:tabs>
        <w:numPr>
          <w:ilvl w:val="0"/>
          <w:numId w:val="185"/>
        </w:numPr>
        <w:rPr>
          <w:rFonts w:ascii="Arial" w:cs="Arial" w:eastAsia="Arial" w:hAnsi="Arial"/>
          <w:sz w:val="21"/>
          <w:szCs w:val="21"/>
          <w:color w:val="auto"/>
        </w:rPr>
      </w:pPr>
      <w:r>
        <w:rPr>
          <w:rFonts w:ascii="Arial" w:cs="Arial" w:eastAsia="Arial" w:hAnsi="Arial"/>
          <w:sz w:val="21"/>
          <w:szCs w:val="21"/>
          <w:i w:val="1"/>
          <w:iCs w:val="1"/>
          <w:color w:val="auto"/>
        </w:rPr>
        <w:t>Denominations, Transfer, Exchange</w:t>
      </w:r>
      <w:r>
        <w:rPr>
          <w:rFonts w:ascii="Arial" w:cs="Arial" w:eastAsia="Arial" w:hAnsi="Arial"/>
          <w:sz w:val="21"/>
          <w:szCs w:val="21"/>
          <w:color w:val="auto"/>
        </w:rPr>
        <w:t>. The Notes are in registered form without coupons in denominations of</w:t>
      </w:r>
      <w:r>
        <w:rPr>
          <w:rFonts w:ascii="Arial" w:cs="Arial" w:eastAsia="Arial" w:hAnsi="Arial"/>
          <w:sz w:val="21"/>
          <w:szCs w:val="21"/>
          <w:i w:val="1"/>
          <w:iCs w:val="1"/>
          <w:color w:val="auto"/>
        </w:rPr>
        <w:t xml:space="preserve"> </w:t>
      </w:r>
      <w:r>
        <w:rPr>
          <w:rFonts w:ascii="Arial" w:cs="Arial" w:eastAsia="Arial" w:hAnsi="Arial"/>
          <w:sz w:val="21"/>
          <w:szCs w:val="21"/>
          <w:color w:val="auto"/>
        </w:rPr>
        <w:t>$2,000 and integral multiples of $1,000 in excess of $2,000. The transfer of Notes may be registered and Notes may be exchanged as provided in the Indenture. The Registrar and the Trustee may require a Holder, among other things, to furnish appropriate endorsements and transfer documents and the Issuers may require a Holder to pay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A-2-6</w:t>
      </w:r>
    </w:p>
    <w:p>
      <w:pPr>
        <w:sectPr>
          <w:pgSz w:w="11900" w:h="16838" w:orient="portrait"/>
          <w:cols w:equalWidth="0" w:num="1">
            <w:col w:w="11240"/>
          </w:cols>
          <w:pgMar w:left="320" w:top="1428" w:right="339" w:bottom="1440" w:gutter="0" w:footer="0" w:header="0"/>
        </w:sectPr>
      </w:pPr>
    </w:p>
    <w:bookmarkStart w:id="166" w:name="page167"/>
    <w:bookmarkEnd w:id="166"/>
    <w:p>
      <w:pPr>
        <w:jc w:val="both"/>
        <w:spacing w:after="0" w:line="302" w:lineRule="auto"/>
        <w:rPr>
          <w:sz w:val="20"/>
          <w:szCs w:val="20"/>
          <w:color w:val="auto"/>
        </w:rPr>
      </w:pPr>
      <w:r>
        <w:rPr>
          <w:rFonts w:ascii="Arial" w:cs="Arial" w:eastAsia="Arial" w:hAnsi="Arial"/>
          <w:sz w:val="19"/>
          <w:szCs w:val="19"/>
          <w:color w:val="auto"/>
        </w:rPr>
        <w:t>any taxes and fees required by law or permitted by the Indenture. The Issuers need not exchange or register the transfer of any Note or portion of a Note selected for redemption, except for the unredeemed portion of any Note being redeemed in part. Also, the Issuers need not exchange or register the transfer of any Notes for a period of 15 days before a selection of Notes to be redeemed or during the period between a record date and the corresponding Interest Payment Date.</w:t>
      </w:r>
    </w:p>
    <w:p>
      <w:pPr>
        <w:spacing w:after="0" w:line="14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Regulation S Temporary Global Note is exchangeable in whole or in part for one or more Global Notes only (i) on or after the termination of the 40-day distribution compliance period (as defined in Regulation S) and (ii) upon presentation of certificates (accompanied by an Opinion of Counsel, if applicable) required by Article 2 of the Indenture. Upon exchange of this Regulation S Temporary Global Note for one or more Global Notes, the Trustee shall cancel this Regulation S Temporary Global Note.</w:t>
      </w:r>
    </w:p>
    <w:p>
      <w:pPr>
        <w:spacing w:after="0" w:line="192" w:lineRule="exact"/>
        <w:rPr>
          <w:sz w:val="20"/>
          <w:szCs w:val="20"/>
          <w:color w:val="auto"/>
        </w:rPr>
      </w:pPr>
    </w:p>
    <w:p>
      <w:pPr>
        <w:ind w:left="1960" w:hanging="656"/>
        <w:spacing w:after="0"/>
        <w:tabs>
          <w:tab w:leader="none" w:pos="1960" w:val="left"/>
        </w:tabs>
        <w:numPr>
          <w:ilvl w:val="0"/>
          <w:numId w:val="186"/>
        </w:numPr>
        <w:rPr>
          <w:rFonts w:ascii="Arial" w:cs="Arial" w:eastAsia="Arial" w:hAnsi="Arial"/>
          <w:sz w:val="19"/>
          <w:szCs w:val="19"/>
          <w:color w:val="auto"/>
        </w:rPr>
      </w:pPr>
      <w:r>
        <w:rPr>
          <w:rFonts w:ascii="Arial" w:cs="Arial" w:eastAsia="Arial" w:hAnsi="Arial"/>
          <w:sz w:val="19"/>
          <w:szCs w:val="19"/>
          <w:i w:val="1"/>
          <w:iCs w:val="1"/>
          <w:color w:val="auto"/>
        </w:rPr>
        <w:t>Persons Deemed Owners</w:t>
      </w:r>
      <w:r>
        <w:rPr>
          <w:rFonts w:ascii="Arial" w:cs="Arial" w:eastAsia="Arial" w:hAnsi="Arial"/>
          <w:sz w:val="19"/>
          <w:szCs w:val="19"/>
          <w:color w:val="auto"/>
        </w:rPr>
        <w:t>. The registered Holder of a Note may be treated as its owner for all purposes.</w:t>
      </w:r>
    </w:p>
    <w:p>
      <w:pPr>
        <w:spacing w:after="0" w:line="254" w:lineRule="exact"/>
        <w:rPr>
          <w:rFonts w:ascii="Arial" w:cs="Arial" w:eastAsia="Arial" w:hAnsi="Arial"/>
          <w:sz w:val="19"/>
          <w:szCs w:val="19"/>
          <w:color w:val="auto"/>
        </w:rPr>
      </w:pPr>
    </w:p>
    <w:p>
      <w:pPr>
        <w:ind w:left="1960" w:hanging="656"/>
        <w:spacing w:after="0"/>
        <w:tabs>
          <w:tab w:leader="none" w:pos="1960" w:val="left"/>
        </w:tabs>
        <w:numPr>
          <w:ilvl w:val="0"/>
          <w:numId w:val="186"/>
        </w:numPr>
        <w:rPr>
          <w:rFonts w:ascii="Arial" w:cs="Arial" w:eastAsia="Arial" w:hAnsi="Arial"/>
          <w:sz w:val="22"/>
          <w:szCs w:val="22"/>
          <w:color w:val="auto"/>
        </w:rPr>
      </w:pPr>
      <w:r>
        <w:rPr>
          <w:rFonts w:ascii="Arial" w:cs="Arial" w:eastAsia="Arial" w:hAnsi="Arial"/>
          <w:sz w:val="22"/>
          <w:szCs w:val="22"/>
          <w:i w:val="1"/>
          <w:iCs w:val="1"/>
          <w:color w:val="auto"/>
        </w:rPr>
        <w:t>Amendment, Supplement and Waiver</w:t>
      </w:r>
      <w:r>
        <w:rPr>
          <w:rFonts w:ascii="Arial" w:cs="Arial" w:eastAsia="Arial" w:hAnsi="Arial"/>
          <w:sz w:val="22"/>
          <w:szCs w:val="22"/>
          <w:color w:val="auto"/>
        </w:rPr>
        <w:t>.</w:t>
      </w:r>
    </w:p>
    <w:p>
      <w:pPr>
        <w:spacing w:after="0" w:line="220" w:lineRule="exact"/>
        <w:rPr>
          <w:sz w:val="20"/>
          <w:szCs w:val="20"/>
          <w:color w:val="auto"/>
        </w:rPr>
      </w:pPr>
    </w:p>
    <w:p>
      <w:pPr>
        <w:jc w:val="both"/>
        <w:ind w:firstLine="1830"/>
        <w:spacing w:after="0" w:line="248" w:lineRule="auto"/>
        <w:rPr>
          <w:sz w:val="20"/>
          <w:szCs w:val="20"/>
          <w:color w:val="auto"/>
        </w:rPr>
      </w:pPr>
      <w:r>
        <w:rPr>
          <w:rFonts w:ascii="Arial" w:cs="Arial" w:eastAsia="Arial" w:hAnsi="Arial"/>
          <w:sz w:val="22"/>
          <w:szCs w:val="22"/>
          <w:color w:val="auto"/>
        </w:rPr>
        <w:t>i.Subject to certain exceptions, the Indenture, the Notes and the Note Guarantees may be amended or supplemented with the consent of the Holders of at least a majority in principal amount of the then outstanding Notes, voting as a single class, and any existing Default or Event of Default or compliance with any provision of the Indenture, the Notes or the Note Guarantees may be waived with the consent of the Holders of a majority in principal amount of the then outstanding Notes, voting as a single class.</w:t>
      </w:r>
    </w:p>
    <w:p>
      <w:pPr>
        <w:spacing w:after="0" w:line="192" w:lineRule="exact"/>
        <w:rPr>
          <w:sz w:val="20"/>
          <w:szCs w:val="20"/>
          <w:color w:val="auto"/>
        </w:rPr>
      </w:pPr>
    </w:p>
    <w:p>
      <w:pPr>
        <w:jc w:val="both"/>
        <w:ind w:firstLine="1770"/>
        <w:spacing w:after="0" w:line="286" w:lineRule="auto"/>
        <w:rPr>
          <w:sz w:val="20"/>
          <w:szCs w:val="20"/>
          <w:color w:val="auto"/>
        </w:rPr>
      </w:pPr>
      <w:r>
        <w:rPr>
          <w:rFonts w:ascii="Arial" w:cs="Arial" w:eastAsia="Arial" w:hAnsi="Arial"/>
          <w:sz w:val="19"/>
          <w:szCs w:val="19"/>
          <w:color w:val="auto"/>
        </w:rPr>
        <w:t>ii.Without the consent of each Holder of Notes affected, an amendment, supplement or waiver may not (with respect to any Notes held by a non-consenting Holder) (i) reduce the principal amount of Notes whose Holders must consent to an amendment, supplement or waiver, (ii) reduce the principal of or change the fixed maturity of any Note or alter or waive any of the provisions with respect to the redemption of the Notes (other than Section 4.11 of the Indenture), (iii) reduce the rate of or change the time for payment of interest, including default interest, on any Note; (iv) waive a Default or Event of Default in the payment of principal of, or interest, premium, if any, on, the Notes (except a rescission of acceleration of the Notes by the Holders of at least a majority in aggregate principal amount of the then outstanding Notes and a waiver of the payment default that resulted from such acceleration), (v) make any Note payable in money other than that stated herein, (vi) make any change in Section 6.04 of the Indenture or the rights of Holders of Notes to receive payments of principal of, or interest, premium, if any, on, the Notes, (vii) waive a redemption payment with respect to any Note (other than a payment required by Section 4.11 of the Indenture), (viii) amend or modify any Note Guarantee in a manner that would adversely affect the Holders of the Notes or release any Guarantor from any of its obligations under its Note Guarantee or the Indenture (except in accordance with the terms of the Indenture) or (ix) make any change in the preceding amendment and waiver provisions.</w:t>
      </w:r>
    </w:p>
    <w:p>
      <w:pPr>
        <w:spacing w:after="0" w:line="166" w:lineRule="exact"/>
        <w:rPr>
          <w:sz w:val="20"/>
          <w:szCs w:val="20"/>
          <w:color w:val="auto"/>
        </w:rPr>
      </w:pPr>
    </w:p>
    <w:p>
      <w:pPr>
        <w:jc w:val="both"/>
        <w:ind w:firstLine="1710"/>
        <w:spacing w:after="0" w:line="263" w:lineRule="auto"/>
        <w:rPr>
          <w:sz w:val="20"/>
          <w:szCs w:val="20"/>
          <w:color w:val="auto"/>
        </w:rPr>
      </w:pPr>
      <w:r>
        <w:rPr>
          <w:rFonts w:ascii="Arial" w:cs="Arial" w:eastAsia="Arial" w:hAnsi="Arial"/>
          <w:sz w:val="22"/>
          <w:szCs w:val="22"/>
          <w:color w:val="auto"/>
        </w:rPr>
        <w:t>iii.Without the consent of any Holder of a Note, the Issuers, the Guarantors and the Trustee may amend or supplement the Indenture, the Notes or the Note Guarantees to (i)</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A-2-7</w:t>
      </w:r>
    </w:p>
    <w:p>
      <w:pPr>
        <w:sectPr>
          <w:pgSz w:w="11900" w:h="16838" w:orient="portrait"/>
          <w:cols w:equalWidth="0" w:num="1">
            <w:col w:w="11240"/>
          </w:cols>
          <w:pgMar w:left="320" w:top="1428" w:right="339" w:bottom="1440" w:gutter="0" w:footer="0" w:header="0"/>
        </w:sectPr>
      </w:pPr>
    </w:p>
    <w:bookmarkStart w:id="167" w:name="page168"/>
    <w:bookmarkEnd w:id="167"/>
    <w:p>
      <w:pPr>
        <w:spacing w:after="0"/>
        <w:rPr>
          <w:sz w:val="20"/>
          <w:szCs w:val="20"/>
          <w:color w:val="auto"/>
        </w:rPr>
      </w:pPr>
      <w:r>
        <w:rPr>
          <w:rFonts w:ascii="Arial" w:cs="Arial" w:eastAsia="Arial" w:hAnsi="Arial"/>
          <w:sz w:val="19"/>
          <w:szCs w:val="19"/>
          <w:color w:val="auto"/>
        </w:rPr>
        <w:t>cure any ambiguity, defect or inconsistency, (ii) provide for uncertificated Notes in addition to or in place of certificated Notes,</w:t>
      </w:r>
    </w:p>
    <w:p>
      <w:pPr>
        <w:spacing w:after="0" w:line="56" w:lineRule="exact"/>
        <w:rPr>
          <w:sz w:val="20"/>
          <w:szCs w:val="20"/>
          <w:color w:val="auto"/>
        </w:rPr>
      </w:pPr>
    </w:p>
    <w:p>
      <w:pPr>
        <w:jc w:val="both"/>
        <w:ind w:firstLine="8"/>
        <w:spacing w:after="0" w:line="284" w:lineRule="auto"/>
        <w:tabs>
          <w:tab w:leader="none" w:pos="417" w:val="left"/>
        </w:tabs>
        <w:numPr>
          <w:ilvl w:val="0"/>
          <w:numId w:val="187"/>
        </w:numPr>
        <w:rPr>
          <w:rFonts w:ascii="Arial" w:cs="Arial" w:eastAsia="Arial" w:hAnsi="Arial"/>
          <w:sz w:val="19"/>
          <w:szCs w:val="19"/>
          <w:color w:val="auto"/>
        </w:rPr>
      </w:pPr>
      <w:r>
        <w:rPr>
          <w:rFonts w:ascii="Arial" w:cs="Arial" w:eastAsia="Arial" w:hAnsi="Arial"/>
          <w:sz w:val="19"/>
          <w:szCs w:val="19"/>
          <w:color w:val="auto"/>
        </w:rPr>
        <w:t>provide for the assumption of the either Issuers’ or any Guarantor’s obligations to the Holders of the Notes and Note Guarantees by a successor to the Issuers or such Guarantor, as the case may be, in the case of a merger or consolidation or sale of all or substantially all of the Wynn Resorts Finance’s or such Guarantor’s assets pursuant to Article 5 or Article 11 of the Indenture, (iv) make any change that would provide any additional rights or benefits to the Holders of the Notes or that does not adversely affect the legal rights of any such Holder under the Indenture, (v) to conform the text of the Indenture, the Notes or the Note Guarantees to any provision of the “Description of the Notes” in the Issuers’ Offering Memorandum, dated as of April 7, 2020, relating to the offering of the Initial Notes, to the extent that such provision in the “Description of the Notes” was intended to be a verbatim recitation of a provision of the Indenture, the Notes or the Note Guarantees, which intent may be evidenced by an Officers’ Certificate to that effect, (vi) to release the Note Guarantee of a Guarantor in accordance with the terms of the Indenture, (vii) provide for the issuance of Additional Notes in accordance with the limitations set forth in the Indenture as of the date of the Indenture, (viii) allow any Guarantor to execute a supplemental indenture to the Indenture and/or a Note Guarantee with respect to the Notes, (ix) to comply with requirements of the SEC in order to effect or maintain the qualification of the Indenture under the Trust Indenture Act, if then applicable, (x) to comply with requirements of applicable Gaming Laws or to provide for requirements imposed by applicable Gaming Authorities; (xi) to provide for the acceptance or appointment of a successor trustee or (xii) provide for the Notes to be secured.</w:t>
      </w: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jc w:val="both"/>
        <w:ind w:firstLine="1304"/>
        <w:spacing w:after="0" w:line="288" w:lineRule="auto"/>
        <w:tabs>
          <w:tab w:leader="none" w:pos="1944" w:val="left"/>
        </w:tabs>
        <w:numPr>
          <w:ilvl w:val="1"/>
          <w:numId w:val="187"/>
        </w:numPr>
        <w:rPr>
          <w:rFonts w:ascii="Arial" w:cs="Arial" w:eastAsia="Arial" w:hAnsi="Arial"/>
          <w:sz w:val="19"/>
          <w:szCs w:val="19"/>
          <w:color w:val="auto"/>
        </w:rPr>
      </w:pPr>
      <w:r>
        <w:rPr>
          <w:rFonts w:ascii="Arial" w:cs="Arial" w:eastAsia="Arial" w:hAnsi="Arial"/>
          <w:sz w:val="19"/>
          <w:szCs w:val="19"/>
          <w:i w:val="1"/>
          <w:iCs w:val="1"/>
          <w:color w:val="auto"/>
        </w:rPr>
        <w:t>Defaults and Remedies</w:t>
      </w:r>
      <w:r>
        <w:rPr>
          <w:rFonts w:ascii="Arial" w:cs="Arial" w:eastAsia="Arial" w:hAnsi="Arial"/>
          <w:sz w:val="19"/>
          <w:szCs w:val="19"/>
          <w:color w:val="auto"/>
        </w:rPr>
        <w:t>. Events of Default include: (i) default for 30 days in the payment when due of</w:t>
      </w:r>
      <w:r>
        <w:rPr>
          <w:rFonts w:ascii="Arial" w:cs="Arial" w:eastAsia="Arial" w:hAnsi="Arial"/>
          <w:sz w:val="19"/>
          <w:szCs w:val="19"/>
          <w:i w:val="1"/>
          <w:iCs w:val="1"/>
          <w:color w:val="auto"/>
        </w:rPr>
        <w:t xml:space="preserve"> </w:t>
      </w:r>
      <w:r>
        <w:rPr>
          <w:rFonts w:ascii="Arial" w:cs="Arial" w:eastAsia="Arial" w:hAnsi="Arial"/>
          <w:sz w:val="19"/>
          <w:szCs w:val="19"/>
          <w:color w:val="auto"/>
        </w:rPr>
        <w:t>interest, if any, with respect to the Notes; (ii) default in payment when due of principal of, or premium, if any, on the Notes when the same becomes due and payable at maturity, upon redemption (including in connection with an offer to purchase) or otherwise,</w:t>
      </w:r>
    </w:p>
    <w:p>
      <w:pPr>
        <w:jc w:val="both"/>
        <w:ind w:firstLine="8"/>
        <w:spacing w:after="0" w:line="284" w:lineRule="auto"/>
        <w:tabs>
          <w:tab w:leader="none" w:pos="395" w:val="left"/>
        </w:tabs>
        <w:numPr>
          <w:ilvl w:val="0"/>
          <w:numId w:val="188"/>
        </w:numPr>
        <w:rPr>
          <w:rFonts w:ascii="Arial" w:cs="Arial" w:eastAsia="Arial" w:hAnsi="Arial"/>
          <w:sz w:val="19"/>
          <w:szCs w:val="19"/>
          <w:color w:val="auto"/>
        </w:rPr>
      </w:pPr>
      <w:r>
        <w:rPr>
          <w:rFonts w:ascii="Arial" w:cs="Arial" w:eastAsia="Arial" w:hAnsi="Arial"/>
          <w:sz w:val="19"/>
          <w:szCs w:val="19"/>
          <w:color w:val="auto"/>
        </w:rPr>
        <w:t>failure by Wynn Resorts Capital, Wynn Resorts Finance or any of Guarantors to comply with Sections 4.11 or 5.01 of the Indenture; (iv) failure by Wynn Resorts Capital, Wynn Resorts Finance or any Guarantor for 60 days after written notice from the Trustee or Holders of at least 25% in aggregate principal amount of the Notes then outstanding voting as a single class to comply with any of the other agreements in the Indenture or the Notes, not set forth in clause (iii) above; (v) default under any mortgage, indenture or instrument under which there may be issued or by which there may be secured or evidenced any Indebtedness for money borrowed by Wynn Resorts Finance or any Guarantor (or the payment of which is guaranteed by Wynn Resorts Finance or any of the Guarantors) whether such Indebtedness or guarantee now exists, or is created after the date of the Indenture, if that default results in the acceleration of such Indebtedness prior to its express maturity, and, in each case, the principal amount of any such Indebtedness, together with the principal amount of any other such Indebtedness the maturity of which has been so accelerated, aggregates $125.0 million or more, if such acceleration is not annulled within 30 days after written notice as provided in the Indenture; (vi) failure by Wynn Resorts Capital, Wynn Resorts Finance or any of the Guarantors to pay final non-appealable judgments (not paid or covered by insurance as to which the relevant insurance company has not denied responsibility) aggregating in excess of $125.0 million, which judgments are not paid, bonded, discharged or stayed for a period of 60 days; or (vii) certain events of bankruptcy or insolvency described in the Indenture with respect to (a) either Issuer or (b) any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A-2-8</w:t>
      </w:r>
    </w:p>
    <w:p>
      <w:pPr>
        <w:sectPr>
          <w:pgSz w:w="11900" w:h="16838" w:orient="portrait"/>
          <w:cols w:equalWidth="0" w:num="1">
            <w:col w:w="11240"/>
          </w:cols>
          <w:pgMar w:left="320" w:top="1428" w:right="339" w:bottom="1440" w:gutter="0" w:footer="0" w:header="0"/>
        </w:sectPr>
      </w:pPr>
    </w:p>
    <w:bookmarkStart w:id="168" w:name="page169"/>
    <w:bookmarkEnd w:id="168"/>
    <w:p>
      <w:pPr>
        <w:jc w:val="both"/>
        <w:spacing w:after="0" w:line="260" w:lineRule="auto"/>
        <w:rPr>
          <w:sz w:val="20"/>
          <w:szCs w:val="20"/>
          <w:color w:val="auto"/>
        </w:rPr>
      </w:pP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(i) if a Default for a failure to report or failure to deliver a required certificate in connection with another default</w:t>
      </w:r>
      <w:r>
        <w:rPr>
          <w:rFonts w:ascii="Arial" w:cs="Arial" w:eastAsia="Arial" w:hAnsi="Arial"/>
          <w:sz w:val="21"/>
          <w:szCs w:val="21"/>
          <w:i w:val="1"/>
          <w:iCs w:val="1"/>
          <w:color w:val="auto"/>
        </w:rPr>
        <w:t xml:space="preserve"> </w:t>
      </w:r>
      <w:r>
        <w:rPr>
          <w:rFonts w:ascii="Arial" w:cs="Arial" w:eastAsia="Arial" w:hAnsi="Arial"/>
          <w:sz w:val="21"/>
          <w:szCs w:val="21"/>
          <w:color w:val="auto"/>
        </w:rPr>
        <w:t>(the “</w:t>
      </w:r>
      <w:r>
        <w:rPr>
          <w:rFonts w:ascii="Arial" w:cs="Arial" w:eastAsia="Arial" w:hAnsi="Arial"/>
          <w:sz w:val="21"/>
          <w:szCs w:val="21"/>
          <w:i w:val="1"/>
          <w:iCs w:val="1"/>
          <w:color w:val="auto"/>
        </w:rPr>
        <w:t>Initial Default</w:t>
      </w:r>
      <w:r>
        <w:rPr>
          <w:rFonts w:ascii="Arial" w:cs="Arial" w:eastAsia="Arial" w:hAnsi="Arial"/>
          <w:sz w:val="21"/>
          <w:szCs w:val="21"/>
          <w:color w:val="auto"/>
        </w:rPr>
        <w:t>”) occurs, then at the time such Initial Default is cured, such Default for a failure to report or failure to deliver a required certificate in connection with another default that resulted solely because of that Initial Default will also be cured without any further action and (ii) any Default or Event of Default for the failure to comply with the time periods prescribed in Section 4.03 or otherwise to deliver any notice or certificate pursuant to any other provision of the Indenture shall be deemed to be cured upon the delivery of any such report required by such covenant or such notice or certificate, as applicable, even though such delivery is not within the prescribed period specified in the Indenture.</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In the case of an Event of Default arising from certain events of bankruptcy or insolvency with respect to (a) either Issuer or (b) any Guarantor, all outstanding Notes shall become due and payable immediately without further action or notice. If any other Event of Default occurs and is continuing, the Trustee or the Holders of at least 25% in principal amount of the then outstanding Notes may declare all the Notes to be due and payable immediately. Holders of the Notes may not enforce the Indenture or the Notes except as provided in the Indenture. Subject to certain limitations, Holders of a majority in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 or premium, if any. The Holders of a majority in aggregate principal amount of the then outstanding Notes by notice to the Trustee may, on behalf of the Holders of all of the Notes, waive any existing Default or Event of Default and its consequences under the Indenture, except a continuing Default or Event of Default in the payment of interest or premium, if any, on, or the principal of, the Notes. The Issuers are required to deliver to the Trustee annually a statement regarding compliance with the Indenture. Upon becoming aware of any Default or Event of Default, the Issuers are required to deliver to the Trustee a statement specifying such Default or Event of Default.</w:t>
      </w:r>
    </w:p>
    <w:p>
      <w:pPr>
        <w:spacing w:after="0" w:line="187" w:lineRule="exact"/>
        <w:rPr>
          <w:sz w:val="20"/>
          <w:szCs w:val="20"/>
          <w:color w:val="auto"/>
        </w:rPr>
      </w:pPr>
    </w:p>
    <w:p>
      <w:pPr>
        <w:ind w:left="2000" w:hanging="696"/>
        <w:spacing w:after="0"/>
        <w:tabs>
          <w:tab w:leader="none" w:pos="2000" w:val="left"/>
        </w:tabs>
        <w:numPr>
          <w:ilvl w:val="0"/>
          <w:numId w:val="189"/>
        </w:numPr>
        <w:rPr>
          <w:rFonts w:ascii="Arial" w:cs="Arial" w:eastAsia="Arial" w:hAnsi="Arial"/>
          <w:sz w:val="22"/>
          <w:szCs w:val="22"/>
          <w:color w:val="auto"/>
        </w:rPr>
      </w:pPr>
      <w:r>
        <w:rPr>
          <w:rFonts w:ascii="Arial" w:cs="Arial" w:eastAsia="Arial" w:hAnsi="Arial"/>
          <w:sz w:val="22"/>
          <w:szCs w:val="22"/>
          <w:i w:val="1"/>
          <w:iCs w:val="1"/>
          <w:color w:val="auto"/>
        </w:rPr>
        <w:t>[Reserved]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302" w:lineRule="auto"/>
        <w:tabs>
          <w:tab w:leader="none" w:pos="1944" w:val="left"/>
        </w:tabs>
        <w:numPr>
          <w:ilvl w:val="0"/>
          <w:numId w:val="189"/>
        </w:numPr>
        <w:rPr>
          <w:rFonts w:ascii="Arial" w:cs="Arial" w:eastAsia="Arial" w:hAnsi="Arial"/>
          <w:sz w:val="19"/>
          <w:szCs w:val="19"/>
          <w:color w:val="auto"/>
        </w:rPr>
      </w:pPr>
      <w:r>
        <w:rPr>
          <w:rFonts w:ascii="Arial" w:cs="Arial" w:eastAsia="Arial" w:hAnsi="Arial"/>
          <w:sz w:val="19"/>
          <w:szCs w:val="19"/>
          <w:i w:val="1"/>
          <w:iCs w:val="1"/>
          <w:color w:val="auto"/>
        </w:rPr>
        <w:t>Trustee Dealings with Issuers</w:t>
      </w:r>
      <w:r>
        <w:rPr>
          <w:rFonts w:ascii="Arial" w:cs="Arial" w:eastAsia="Arial" w:hAnsi="Arial"/>
          <w:sz w:val="19"/>
          <w:szCs w:val="19"/>
          <w:color w:val="auto"/>
        </w:rPr>
        <w:t>. The Trustee, in its individual or any other capacity, may become the owner</w:t>
      </w:r>
      <w:r>
        <w:rPr>
          <w:rFonts w:ascii="Arial" w:cs="Arial" w:eastAsia="Arial" w:hAnsi="Arial"/>
          <w:sz w:val="19"/>
          <w:szCs w:val="19"/>
          <w:i w:val="1"/>
          <w:iCs w:val="1"/>
          <w:color w:val="auto"/>
        </w:rPr>
        <w:t xml:space="preserve"> </w:t>
      </w:r>
      <w:r>
        <w:rPr>
          <w:rFonts w:ascii="Arial" w:cs="Arial" w:eastAsia="Arial" w:hAnsi="Arial"/>
          <w:sz w:val="19"/>
          <w:szCs w:val="19"/>
          <w:color w:val="auto"/>
        </w:rPr>
        <w:t>or pledgee of Notes and may otherwise deal with the Issuers or any Affiliate of the Issuers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and duties.</w:t>
      </w:r>
    </w:p>
    <w:p>
      <w:pPr>
        <w:spacing w:after="0" w:line="142" w:lineRule="exact"/>
        <w:rPr>
          <w:rFonts w:ascii="Arial" w:cs="Arial" w:eastAsia="Arial" w:hAnsi="Arial"/>
          <w:sz w:val="19"/>
          <w:szCs w:val="19"/>
          <w:color w:val="auto"/>
        </w:rPr>
      </w:pPr>
    </w:p>
    <w:p>
      <w:pPr>
        <w:jc w:val="both"/>
        <w:ind w:firstLine="1304"/>
        <w:spacing w:after="0" w:line="247" w:lineRule="auto"/>
        <w:tabs>
          <w:tab w:leader="none" w:pos="1936" w:val="left"/>
        </w:tabs>
        <w:numPr>
          <w:ilvl w:val="0"/>
          <w:numId w:val="189"/>
        </w:numPr>
        <w:rPr>
          <w:rFonts w:ascii="Arial" w:cs="Arial" w:eastAsia="Arial" w:hAnsi="Arial"/>
          <w:sz w:val="22"/>
          <w:szCs w:val="22"/>
          <w:color w:val="auto"/>
        </w:rPr>
      </w:pPr>
      <w:r>
        <w:rPr>
          <w:rFonts w:ascii="Arial" w:cs="Arial" w:eastAsia="Arial" w:hAnsi="Arial"/>
          <w:sz w:val="22"/>
          <w:szCs w:val="22"/>
          <w:i w:val="1"/>
          <w:iCs w:val="1"/>
          <w:color w:val="auto"/>
        </w:rPr>
        <w:t>No Recourse Against Others</w:t>
      </w:r>
      <w:r>
        <w:rPr>
          <w:rFonts w:ascii="Arial" w:cs="Arial" w:eastAsia="Arial" w:hAnsi="Arial"/>
          <w:sz w:val="22"/>
          <w:szCs w:val="22"/>
          <w:color w:val="auto"/>
        </w:rPr>
        <w:t>. No past, present or future director, officer, employee, incorporator, organizer,</w:t>
      </w:r>
      <w:r>
        <w:rPr>
          <w:rFonts w:ascii="Arial" w:cs="Arial" w:eastAsia="Arial" w:hAnsi="Arial"/>
          <w:sz w:val="22"/>
          <w:szCs w:val="22"/>
          <w:i w:val="1"/>
          <w:iCs w:val="1"/>
          <w:color w:val="auto"/>
        </w:rPr>
        <w:t xml:space="preserve"> </w:t>
      </w:r>
      <w:r>
        <w:rPr>
          <w:rFonts w:ascii="Arial" w:cs="Arial" w:eastAsia="Arial" w:hAnsi="Arial"/>
          <w:sz w:val="22"/>
          <w:szCs w:val="22"/>
          <w:color w:val="auto"/>
        </w:rPr>
        <w:t>equity holder or member of either Issuer or any Guarantor, as such, shall have any liability for any obligations of either Issuer or any Guarantor under the Notes, the Note Guarantees, or the Indenture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A-2-9</w:t>
      </w:r>
    </w:p>
    <w:p>
      <w:pPr>
        <w:sectPr>
          <w:pgSz w:w="11900" w:h="16838" w:orient="portrait"/>
          <w:cols w:equalWidth="0" w:num="1">
            <w:col w:w="11240"/>
          </w:cols>
          <w:pgMar w:left="320" w:top="1428" w:right="339" w:bottom="1440" w:gutter="0" w:footer="0" w:header="0"/>
        </w:sectPr>
      </w:pPr>
    </w:p>
    <w:bookmarkStart w:id="169" w:name="page170"/>
    <w:bookmarkEnd w:id="169"/>
    <w:p>
      <w:pPr>
        <w:ind w:right="20" w:firstLine="1304"/>
        <w:spacing w:after="0" w:line="263" w:lineRule="auto"/>
        <w:tabs>
          <w:tab w:leader="none" w:pos="1944" w:val="left"/>
        </w:tabs>
        <w:numPr>
          <w:ilvl w:val="0"/>
          <w:numId w:val="190"/>
        </w:numPr>
        <w:rPr>
          <w:rFonts w:ascii="Arial" w:cs="Arial" w:eastAsia="Arial" w:hAnsi="Arial"/>
          <w:sz w:val="22"/>
          <w:szCs w:val="22"/>
          <w:color w:val="auto"/>
        </w:rPr>
      </w:pPr>
      <w:r>
        <w:rPr>
          <w:rFonts w:ascii="Arial" w:cs="Arial" w:eastAsia="Arial" w:hAnsi="Arial"/>
          <w:sz w:val="22"/>
          <w:szCs w:val="22"/>
          <w:i w:val="1"/>
          <w:iCs w:val="1"/>
          <w:color w:val="auto"/>
        </w:rPr>
        <w:t>Authentication</w:t>
      </w:r>
      <w:r>
        <w:rPr>
          <w:rFonts w:ascii="Arial" w:cs="Arial" w:eastAsia="Arial" w:hAnsi="Arial"/>
          <w:sz w:val="22"/>
          <w:szCs w:val="22"/>
          <w:color w:val="auto"/>
        </w:rPr>
        <w:t>. This Note shall not be valid until authenticated by the manual signature of the Trustee or</w:t>
      </w:r>
      <w:r>
        <w:rPr>
          <w:rFonts w:ascii="Arial" w:cs="Arial" w:eastAsia="Arial" w:hAnsi="Arial"/>
          <w:sz w:val="22"/>
          <w:szCs w:val="22"/>
          <w:i w:val="1"/>
          <w:iCs w:val="1"/>
          <w:color w:val="auto"/>
        </w:rPr>
        <w:t xml:space="preserve"> </w:t>
      </w:r>
      <w:r>
        <w:rPr>
          <w:rFonts w:ascii="Arial" w:cs="Arial" w:eastAsia="Arial" w:hAnsi="Arial"/>
          <w:sz w:val="22"/>
          <w:szCs w:val="22"/>
          <w:color w:val="auto"/>
        </w:rPr>
        <w:t>an authenticating agent.</w:t>
      </w:r>
    </w:p>
    <w:p>
      <w:pPr>
        <w:spacing w:after="0" w:line="174" w:lineRule="exact"/>
        <w:rPr>
          <w:rFonts w:ascii="Arial" w:cs="Arial" w:eastAsia="Arial" w:hAnsi="Arial"/>
          <w:sz w:val="22"/>
          <w:szCs w:val="22"/>
          <w:color w:val="auto"/>
        </w:rPr>
      </w:pPr>
    </w:p>
    <w:p>
      <w:pPr>
        <w:jc w:val="both"/>
        <w:ind w:firstLine="1304"/>
        <w:spacing w:after="0" w:line="271" w:lineRule="auto"/>
        <w:tabs>
          <w:tab w:leader="none" w:pos="1944" w:val="left"/>
        </w:tabs>
        <w:numPr>
          <w:ilvl w:val="0"/>
          <w:numId w:val="190"/>
        </w:numPr>
        <w:rPr>
          <w:rFonts w:ascii="Arial" w:cs="Arial" w:eastAsia="Arial" w:hAnsi="Arial"/>
          <w:sz w:val="21"/>
          <w:szCs w:val="21"/>
          <w:color w:val="auto"/>
        </w:rPr>
      </w:pPr>
      <w:r>
        <w:rPr>
          <w:rFonts w:ascii="Arial" w:cs="Arial" w:eastAsia="Arial" w:hAnsi="Arial"/>
          <w:sz w:val="21"/>
          <w:szCs w:val="21"/>
          <w:i w:val="1"/>
          <w:iCs w:val="1"/>
          <w:color w:val="auto"/>
        </w:rPr>
        <w:t>Abbreviations</w:t>
      </w:r>
      <w:r>
        <w:rPr>
          <w:rFonts w:ascii="Arial" w:cs="Arial" w:eastAsia="Arial" w:hAnsi="Arial"/>
          <w:sz w:val="21"/>
          <w:szCs w:val="21"/>
          <w:color w:val="auto"/>
        </w:rPr>
        <w:t>. Customary abbreviations may be used in the name of a Holder or an assignee, such as: TEN</w:t>
      </w:r>
      <w:r>
        <w:rPr>
          <w:rFonts w:ascii="Arial" w:cs="Arial" w:eastAsia="Arial" w:hAnsi="Arial"/>
          <w:sz w:val="21"/>
          <w:szCs w:val="21"/>
          <w:i w:val="1"/>
          <w:iCs w:val="1"/>
          <w:color w:val="auto"/>
        </w:rPr>
        <w:t xml:space="preserve"> </w:t>
      </w:r>
      <w:r>
        <w:rPr>
          <w:rFonts w:ascii="Arial" w:cs="Arial" w:eastAsia="Arial" w:hAnsi="Arial"/>
          <w:sz w:val="21"/>
          <w:szCs w:val="21"/>
          <w:color w:val="auto"/>
        </w:rPr>
        <w:t>COM (= tenants in common), TEN ENT (= tenants by the entireties), JT TEN (= joint tenants with right of survivorship and not as tenants in common), CUST (= Custodian), and U/G/M/A (= Uniform Gifts to Minors Act).</w:t>
      </w:r>
    </w:p>
    <w:p>
      <w:pPr>
        <w:spacing w:after="0" w:line="167" w:lineRule="exact"/>
        <w:rPr>
          <w:rFonts w:ascii="Arial" w:cs="Arial" w:eastAsia="Arial" w:hAnsi="Arial"/>
          <w:sz w:val="21"/>
          <w:szCs w:val="21"/>
          <w:color w:val="auto"/>
        </w:rPr>
      </w:pPr>
    </w:p>
    <w:p>
      <w:pPr>
        <w:jc w:val="both"/>
        <w:ind w:firstLine="1304"/>
        <w:spacing w:after="0" w:line="253" w:lineRule="auto"/>
        <w:tabs>
          <w:tab w:leader="none" w:pos="1944" w:val="left"/>
        </w:tabs>
        <w:numPr>
          <w:ilvl w:val="0"/>
          <w:numId w:val="190"/>
        </w:numPr>
        <w:rPr>
          <w:rFonts w:ascii="Arial" w:cs="Arial" w:eastAsia="Arial" w:hAnsi="Arial"/>
          <w:sz w:val="22"/>
          <w:szCs w:val="22"/>
          <w:color w:val="auto"/>
        </w:rPr>
      </w:pPr>
      <w:r>
        <w:rPr>
          <w:rFonts w:ascii="Arial" w:cs="Arial" w:eastAsia="Arial" w:hAnsi="Arial"/>
          <w:sz w:val="22"/>
          <w:szCs w:val="22"/>
          <w:i w:val="1"/>
          <w:iCs w:val="1"/>
          <w:color w:val="auto"/>
        </w:rPr>
        <w:t>Governing Law</w:t>
      </w:r>
      <w:r>
        <w:rPr>
          <w:rFonts w:ascii="Arial" w:cs="Arial" w:eastAsia="Arial" w:hAnsi="Arial"/>
          <w:sz w:val="22"/>
          <w:szCs w:val="22"/>
          <w:color w:val="auto"/>
        </w:rPr>
        <w:t>. THE INDENTURE, THIS NOTE AND THE NOTE GUARANTEES 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GOVERNED BY AND CONSTRUED IN ACCORDANCE WITH THE LAWS OF THE STATE OF NEW YORK, INCLUDING, WITHOUT LIMITATION, SECTION 4-1401 OF THE NEW YORK OBLIGATIONS LAW.</w:t>
      </w:r>
    </w:p>
    <w:p>
      <w:pPr>
        <w:spacing w:after="0" w:line="185" w:lineRule="exact"/>
        <w:rPr>
          <w:rFonts w:ascii="Arial" w:cs="Arial" w:eastAsia="Arial" w:hAnsi="Arial"/>
          <w:sz w:val="22"/>
          <w:szCs w:val="22"/>
          <w:color w:val="auto"/>
        </w:rPr>
      </w:pPr>
    </w:p>
    <w:p>
      <w:pPr>
        <w:jc w:val="both"/>
        <w:ind w:firstLine="1304"/>
        <w:spacing w:after="0" w:line="248" w:lineRule="auto"/>
        <w:tabs>
          <w:tab w:leader="none" w:pos="1944" w:val="left"/>
        </w:tabs>
        <w:numPr>
          <w:ilvl w:val="0"/>
          <w:numId w:val="190"/>
        </w:numPr>
        <w:rPr>
          <w:rFonts w:ascii="Arial" w:cs="Arial" w:eastAsia="Arial" w:hAnsi="Arial"/>
          <w:sz w:val="22"/>
          <w:szCs w:val="22"/>
          <w:color w:val="auto"/>
        </w:rPr>
      </w:pPr>
      <w:r>
        <w:rPr>
          <w:rFonts w:ascii="Arial" w:cs="Arial" w:eastAsia="Arial" w:hAnsi="Arial"/>
          <w:sz w:val="22"/>
          <w:szCs w:val="22"/>
          <w:i w:val="1"/>
          <w:iCs w:val="1"/>
          <w:color w:val="auto"/>
        </w:rPr>
        <w:t>CUSIP Numbers</w:t>
      </w:r>
      <w:r>
        <w:rPr>
          <w:rFonts w:ascii="Arial" w:cs="Arial" w:eastAsia="Arial" w:hAnsi="Arial"/>
          <w:sz w:val="22"/>
          <w:szCs w:val="22"/>
          <w:color w:val="auto"/>
        </w:rPr>
        <w:t>. Pursuant to a recommendation promulgated by the Committee on Uniform Security</w:t>
      </w:r>
      <w:r>
        <w:rPr>
          <w:rFonts w:ascii="Arial" w:cs="Arial" w:eastAsia="Arial" w:hAnsi="Arial"/>
          <w:sz w:val="22"/>
          <w:szCs w:val="22"/>
          <w:i w:val="1"/>
          <w:iCs w:val="1"/>
          <w:color w:val="auto"/>
        </w:rPr>
        <w:t xml:space="preserve"> </w:t>
      </w:r>
      <w:r>
        <w:rPr>
          <w:rFonts w:ascii="Arial" w:cs="Arial" w:eastAsia="Arial" w:hAnsi="Arial"/>
          <w:sz w:val="22"/>
          <w:szCs w:val="22"/>
          <w:color w:val="auto"/>
        </w:rPr>
        <w:t>Identification Procedures, the Issuers have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9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Issuers shall furnish to any Holder upon written request and without charge a copy of the Indenture. Requests may be made to:</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Wynn Resorts Finance, LLC</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3131 Las Vegas Boulevard, South</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Las Vegas, NV 89109</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Fax No.: (702) 770-1520</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General Counsel – Wynn Resorts,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A-2-10</w:t>
      </w:r>
    </w:p>
    <w:p>
      <w:pPr>
        <w:sectPr>
          <w:pgSz w:w="11900" w:h="16838" w:orient="portrait"/>
          <w:cols w:equalWidth="0" w:num="1">
            <w:col w:w="11240"/>
          </w:cols>
          <w:pgMar w:left="320" w:top="1428" w:right="3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22"/>
          <w:szCs w:val="22"/>
          <w:color w:val="auto"/>
        </w:rPr>
        <w:t>Assignment Form</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assign this Note, fill in the form below:</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(I) or (we) assign and transfer this Note to:</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(Insert assignee’s legal name)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(Insert assignee’s soc. sec. or tax I.D.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(Print or type assignee’s name, address and zip code)</w:t>
      </w:r>
    </w:p>
    <w:p>
      <w:pPr>
        <w:spacing w:after="0" w:line="228" w:lineRule="exact"/>
        <w:rPr>
          <w:sz w:val="20"/>
          <w:szCs w:val="20"/>
          <w:color w:val="auto"/>
        </w:rPr>
      </w:pPr>
    </w:p>
    <w:p>
      <w:pPr>
        <w:ind w:right="780"/>
        <w:spacing w:after="0" w:line="448" w:lineRule="auto"/>
        <w:rPr>
          <w:sz w:val="20"/>
          <w:szCs w:val="20"/>
          <w:color w:val="auto"/>
        </w:rPr>
      </w:pPr>
      <w:r>
        <w:rPr>
          <w:rFonts w:ascii="Arial" w:cs="Arial" w:eastAsia="Arial" w:hAnsi="Arial"/>
          <w:sz w:val="22"/>
          <w:szCs w:val="22"/>
          <w:color w:val="auto"/>
        </w:rPr>
        <w:t>and irrevocably appoint to transfer this Note on the books of the Issuers. The agent may substitute another to act for him. Date: _______________</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Your Signature: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(Sign exactly as your name appears on the face of this Note)</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 _________________________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 Participant in a recognized Signature Guarantee Medallion Program (or other signature guarantor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A-2-11</w:t>
      </w:r>
    </w:p>
    <w:p>
      <w:pPr>
        <w:sectPr>
          <w:pgSz w:w="11900" w:h="16838" w:orient="portrait"/>
          <w:cols w:equalWidth="0" w:num="1">
            <w:col w:w="11240"/>
          </w:cols>
          <w:pgMar w:left="320" w:top="1428" w:right="339" w:bottom="1440" w:gutter="0" w:footer="0" w:header="0"/>
        </w:sectPr>
      </w:pPr>
    </w:p>
    <w:bookmarkStart w:id="171" w:name="page172"/>
    <w:bookmarkEnd w:id="171"/>
    <w:p>
      <w:pPr>
        <w:ind w:left="4100"/>
        <w:spacing w:after="0"/>
        <w:rPr>
          <w:sz w:val="20"/>
          <w:szCs w:val="20"/>
          <w:color w:val="auto"/>
        </w:rPr>
      </w:pPr>
      <w:r>
        <w:rPr>
          <w:rFonts w:ascii="Arial" w:cs="Arial" w:eastAsia="Arial" w:hAnsi="Arial"/>
          <w:sz w:val="22"/>
          <w:szCs w:val="22"/>
          <w:color w:val="auto"/>
        </w:rPr>
        <w:t>Option of Holder to Elect Purchase</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9"/>
          <w:szCs w:val="19"/>
          <w:color w:val="auto"/>
        </w:rPr>
        <w:t>If you want to elect to have this Note purchased by the Issuers pursuant to Section 4.11 of the Indenture, check the appropriate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box below:</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4.11</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If you want to elect to have only part of the Note purchased by the Issuers pursuant to Section 4.11 of the Indenture, state the amount you elect to have purchased:</w:t>
      </w:r>
    </w:p>
    <w:p>
      <w:pPr>
        <w:spacing w:after="0" w:line="175"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_______________</w:t>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Your Signature: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(Sign exactly as your name appears on the face of this Note)</w:t>
      </w:r>
    </w:p>
    <w:p>
      <w:pPr>
        <w:spacing w:after="0" w:line="21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Tax Identification No.:</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 _________________________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 Participant in a recognized Signature Guarantee Medallion Program (or other signature guarantor acceptable to the Trustee).</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A-2-12</w:t>
      </w:r>
    </w:p>
    <w:p>
      <w:pPr>
        <w:sectPr>
          <w:pgSz w:w="11900" w:h="16838" w:orient="portrait"/>
          <w:cols w:equalWidth="0" w:num="1">
            <w:col w:w="11240"/>
          </w:cols>
          <w:pgMar w:left="320" w:top="1428" w:right="339" w:bottom="1440" w:gutter="0" w:footer="0" w:header="0"/>
          <w:type w:val="continuous"/>
        </w:sectPr>
      </w:pPr>
    </w:p>
    <w:bookmarkStart w:id="172" w:name="page173"/>
    <w:bookmarkEnd w:id="172"/>
    <w:p>
      <w:pPr>
        <w:ind w:left="2232"/>
        <w:spacing w:after="0"/>
        <w:rPr>
          <w:sz w:val="20"/>
          <w:szCs w:val="20"/>
          <w:color w:val="auto"/>
        </w:rPr>
      </w:pPr>
      <w:r>
        <w:rPr>
          <w:rFonts w:ascii="Arial" w:cs="Arial" w:eastAsia="Arial" w:hAnsi="Arial"/>
          <w:sz w:val="22"/>
          <w:szCs w:val="22"/>
          <w:color w:val="auto"/>
        </w:rPr>
        <w:t>SCHEDULE OF EXCHANGES OF INTERESTS IN THE GLOBAL NOTE*</w:t>
      </w:r>
    </w:p>
    <w:p>
      <w:pPr>
        <w:spacing w:after="0" w:line="220" w:lineRule="exact"/>
        <w:rPr>
          <w:sz w:val="20"/>
          <w:szCs w:val="20"/>
          <w:color w:val="auto"/>
        </w:rPr>
      </w:pPr>
    </w:p>
    <w:p>
      <w:pPr>
        <w:ind w:left="452"/>
        <w:spacing w:after="0"/>
        <w:rPr>
          <w:sz w:val="20"/>
          <w:szCs w:val="20"/>
          <w:color w:val="auto"/>
        </w:rPr>
      </w:pPr>
      <w:r>
        <w:rPr>
          <w:rFonts w:ascii="Arial" w:cs="Arial" w:eastAsia="Arial" w:hAnsi="Arial"/>
          <w:sz w:val="19"/>
          <w:szCs w:val="19"/>
          <w:color w:val="auto"/>
        </w:rPr>
        <w:t>The following exchanges of a part of this Global Note for an interest in another Global Note or for a Definitive Note, or</w:t>
      </w:r>
    </w:p>
    <w:p>
      <w:pPr>
        <w:spacing w:after="0" w:line="56" w:lineRule="exact"/>
        <w:rPr>
          <w:sz w:val="20"/>
          <w:szCs w:val="20"/>
          <w:color w:val="auto"/>
        </w:rPr>
      </w:pPr>
    </w:p>
    <w:p>
      <w:pPr>
        <w:ind w:left="672"/>
        <w:spacing w:after="0"/>
        <w:rPr>
          <w:sz w:val="20"/>
          <w:szCs w:val="20"/>
          <w:color w:val="auto"/>
        </w:rPr>
      </w:pPr>
      <w:r>
        <w:rPr>
          <w:rFonts w:ascii="Arial" w:cs="Arial" w:eastAsia="Arial" w:hAnsi="Arial"/>
          <w:sz w:val="19"/>
          <w:szCs w:val="19"/>
          <w:color w:val="auto"/>
        </w:rPr>
        <w:t>exchanges of a part of another Global Note or Definitive Note for an interest in this Global Note, have been made:</w:t>
      </w:r>
    </w:p>
    <w:p>
      <w:pPr>
        <w:sectPr>
          <w:pgSz w:w="11900" w:h="16838" w:orient="portrait"/>
          <w:cols w:equalWidth="0" w:num="1">
            <w:col w:w="10912"/>
          </w:cols>
          <w:pgMar w:left="328" w:top="1428" w:right="659" w:bottom="1440" w:gutter="0" w:footer="0" w:header="0"/>
        </w:sectPr>
      </w:pPr>
    </w:p>
    <w:p>
      <w:pPr>
        <w:spacing w:after="0" w:line="275" w:lineRule="exact"/>
        <w:rPr>
          <w:sz w:val="20"/>
          <w:szCs w:val="20"/>
          <w:color w:val="auto"/>
        </w:rPr>
      </w:pPr>
    </w:p>
    <w:p>
      <w:pPr>
        <w:ind w:left="572"/>
        <w:spacing w:after="0"/>
        <w:rPr>
          <w:sz w:val="20"/>
          <w:szCs w:val="20"/>
          <w:color w:val="auto"/>
        </w:rPr>
      </w:pPr>
      <w:r>
        <w:rPr>
          <w:rFonts w:ascii="Arial" w:cs="Arial" w:eastAsia="Arial" w:hAnsi="Arial"/>
          <w:sz w:val="12"/>
          <w:szCs w:val="12"/>
          <w:b w:val="1"/>
          <w:bCs w:val="1"/>
          <w:color w:val="auto"/>
        </w:rPr>
        <w:t>Date of Exchange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Amount of decrease in Principal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 of this Global Note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spacing w:after="0" w:line="297" w:lineRule="auto"/>
        <w:rPr>
          <w:sz w:val="20"/>
          <w:szCs w:val="20"/>
          <w:color w:val="auto"/>
        </w:rPr>
      </w:pPr>
      <w:r>
        <w:rPr>
          <w:rFonts w:ascii="Arial" w:cs="Arial" w:eastAsia="Arial" w:hAnsi="Arial"/>
          <w:sz w:val="13"/>
          <w:szCs w:val="13"/>
          <w:b w:val="1"/>
          <w:bCs w:val="1"/>
          <w:color w:val="auto"/>
        </w:rPr>
        <w:t>Amount of increase in Principal Amount of this Global Note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Principal Amount of this Global Note following such decrease (or increase)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spacing w:after="0" w:line="258" w:lineRule="auto"/>
        <w:rPr>
          <w:sz w:val="20"/>
          <w:szCs w:val="20"/>
          <w:color w:val="auto"/>
        </w:rPr>
      </w:pPr>
      <w:r>
        <w:rPr>
          <w:rFonts w:ascii="Arial" w:cs="Arial" w:eastAsia="Arial" w:hAnsi="Arial"/>
          <w:sz w:val="14"/>
          <w:szCs w:val="14"/>
          <w:b w:val="1"/>
          <w:bCs w:val="1"/>
          <w:color w:val="auto"/>
        </w:rPr>
        <w:t>Signature of authorized officer of Trustee or Custodian</w:t>
      </w:r>
    </w:p>
    <w:p>
      <w:pPr>
        <w:spacing w:after="0" w:line="336" w:lineRule="exact"/>
        <w:rPr>
          <w:sz w:val="20"/>
          <w:szCs w:val="20"/>
          <w:color w:val="auto"/>
        </w:rPr>
      </w:pPr>
    </w:p>
    <w:p>
      <w:pPr>
        <w:sectPr>
          <w:pgSz w:w="11900" w:h="16838" w:orient="portrait"/>
          <w:cols w:equalWidth="0" w:num="5">
            <w:col w:w="1652" w:space="680"/>
            <w:col w:w="1980" w:space="220"/>
            <w:col w:w="1960" w:space="200"/>
            <w:col w:w="2000" w:space="180"/>
            <w:col w:w="2040"/>
          </w:cols>
          <w:pgMar w:left="328" w:top="1428"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72" w:hanging="172"/>
        <w:spacing w:after="0"/>
        <w:tabs>
          <w:tab w:leader="none" w:pos="172" w:val="left"/>
        </w:tabs>
        <w:numPr>
          <w:ilvl w:val="0"/>
          <w:numId w:val="191"/>
        </w:numPr>
        <w:rPr>
          <w:rFonts w:ascii="Arial" w:cs="Arial" w:eastAsia="Arial" w:hAnsi="Arial"/>
          <w:sz w:val="19"/>
          <w:szCs w:val="19"/>
          <w:color w:val="auto"/>
        </w:rPr>
      </w:pPr>
      <w:r>
        <w:rPr>
          <w:rFonts w:ascii="Arial" w:cs="Arial" w:eastAsia="Arial" w:hAnsi="Arial"/>
          <w:sz w:val="19"/>
          <w:szCs w:val="19"/>
          <w:i w:val="1"/>
          <w:iCs w:val="1"/>
          <w:color w:val="auto"/>
        </w:rPr>
        <w:t>This schedule should be included only if the Note is issued in global form.</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left="5312"/>
        <w:spacing w:after="0"/>
        <w:rPr>
          <w:rFonts w:ascii="Arial" w:cs="Arial" w:eastAsia="Arial" w:hAnsi="Arial"/>
          <w:sz w:val="19"/>
          <w:szCs w:val="19"/>
          <w:color w:val="auto"/>
        </w:rPr>
      </w:pPr>
      <w:r>
        <w:rPr>
          <w:rFonts w:ascii="Arial" w:cs="Arial" w:eastAsia="Arial" w:hAnsi="Arial"/>
          <w:sz w:val="22"/>
          <w:szCs w:val="22"/>
          <w:color w:val="auto"/>
        </w:rPr>
        <w:t>A-2-13</w:t>
      </w:r>
    </w:p>
    <w:p>
      <w:pPr>
        <w:sectPr>
          <w:pgSz w:w="11900" w:h="16838" w:orient="portrait"/>
          <w:cols w:equalWidth="0" w:num="1">
            <w:col w:w="10912"/>
          </w:cols>
          <w:pgMar w:left="328" w:top="1428" w:right="659" w:bottom="1440" w:gutter="0" w:footer="0" w:header="0"/>
          <w:type w:val="continuous"/>
        </w:sectPr>
      </w:pPr>
    </w:p>
    <w:bookmarkStart w:id="173" w:name="page174"/>
    <w:bookmarkEnd w:id="173"/>
    <w:p>
      <w:pPr>
        <w:jc w:val="right"/>
        <w:spacing w:after="0"/>
        <w:rPr>
          <w:sz w:val="20"/>
          <w:szCs w:val="20"/>
          <w:color w:val="auto"/>
        </w:rPr>
      </w:pPr>
      <w:r>
        <w:rPr>
          <w:rFonts w:ascii="Arial" w:cs="Arial" w:eastAsia="Arial" w:hAnsi="Arial"/>
          <w:sz w:val="22"/>
          <w:szCs w:val="22"/>
          <w:b w:val="1"/>
          <w:bCs w:val="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CERTIFICATE OF TRANSFER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Wynn Resorts Finance,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Wynn Resorts Capital Corp.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3131 Las Vegas Boulevard, South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Las Vegas, Nevada 89109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No.: (702) 770-1100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President</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U.S. Bank National Association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EP-MN-WS3C 60 Livingston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St. Paul, Minnesota 55107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(651) 495-8097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Corporate Trust Department – Wynn Administrator</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 7.750% Senior Notes due 2025</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Reference is hereby made to the Indenture, dated as of April 14, 2020 (the “</w:t>
      </w:r>
      <w:r>
        <w:rPr>
          <w:rFonts w:ascii="Arial" w:cs="Arial" w:eastAsia="Arial" w:hAnsi="Arial"/>
          <w:sz w:val="22"/>
          <w:szCs w:val="22"/>
          <w:i w:val="1"/>
          <w:iCs w:val="1"/>
          <w:u w:val="single" w:color="auto"/>
          <w:color w:val="auto"/>
        </w:rPr>
        <w:t>Indenture</w:t>
      </w:r>
      <w:r>
        <w:rPr>
          <w:rFonts w:ascii="Arial" w:cs="Arial" w:eastAsia="Arial" w:hAnsi="Arial"/>
          <w:sz w:val="22"/>
          <w:szCs w:val="22"/>
          <w:color w:val="auto"/>
        </w:rPr>
        <w:t>”), among Wynn Resorts Finance, LLC, a Nevada limited liability company (“</w:t>
      </w:r>
      <w:r>
        <w:rPr>
          <w:rFonts w:ascii="Arial" w:cs="Arial" w:eastAsia="Arial" w:hAnsi="Arial"/>
          <w:sz w:val="22"/>
          <w:szCs w:val="22"/>
          <w:i w:val="1"/>
          <w:iCs w:val="1"/>
          <w:u w:val="single" w:color="auto"/>
          <w:color w:val="auto"/>
        </w:rPr>
        <w:t>Wynn Resorts Finance</w:t>
      </w:r>
      <w:r>
        <w:rPr>
          <w:rFonts w:ascii="Arial" w:cs="Arial" w:eastAsia="Arial" w:hAnsi="Arial"/>
          <w:sz w:val="22"/>
          <w:szCs w:val="22"/>
          <w:color w:val="auto"/>
        </w:rPr>
        <w:t>”), Wynn Resorts Capital Corp., a Nevada corporation (“</w:t>
      </w:r>
      <w:r>
        <w:rPr>
          <w:rFonts w:ascii="Arial" w:cs="Arial" w:eastAsia="Arial" w:hAnsi="Arial"/>
          <w:sz w:val="22"/>
          <w:szCs w:val="22"/>
          <w:i w:val="1"/>
          <w:iCs w:val="1"/>
          <w:u w:val="single" w:color="auto"/>
          <w:color w:val="auto"/>
        </w:rPr>
        <w:t>Wynn</w:t>
      </w:r>
      <w:r>
        <w:rPr>
          <w:rFonts w:ascii="Arial" w:cs="Arial" w:eastAsia="Arial" w:hAnsi="Arial"/>
          <w:sz w:val="22"/>
          <w:szCs w:val="22"/>
          <w:color w:val="auto"/>
        </w:rPr>
        <w:t xml:space="preserve"> </w:t>
      </w:r>
      <w:r>
        <w:rPr>
          <w:rFonts w:ascii="Arial" w:cs="Arial" w:eastAsia="Arial" w:hAnsi="Arial"/>
          <w:sz w:val="22"/>
          <w:szCs w:val="22"/>
          <w:i w:val="1"/>
          <w:iCs w:val="1"/>
          <w:u w:val="single" w:color="auto"/>
          <w:color w:val="auto"/>
        </w:rPr>
        <w:t>Resorts Capital</w:t>
      </w:r>
      <w:r>
        <w:rPr>
          <w:rFonts w:ascii="Arial" w:cs="Arial" w:eastAsia="Arial" w:hAnsi="Arial"/>
          <w:sz w:val="22"/>
          <w:szCs w:val="22"/>
          <w:color w:val="auto"/>
        </w:rPr>
        <w:t>” and, together with Wynn Resorts Finance, the “</w:t>
      </w:r>
      <w:r>
        <w:rPr>
          <w:rFonts w:ascii="Arial" w:cs="Arial" w:eastAsia="Arial" w:hAnsi="Arial"/>
          <w:sz w:val="22"/>
          <w:szCs w:val="22"/>
          <w:i w:val="1"/>
          <w:iCs w:val="1"/>
          <w:u w:val="single" w:color="auto"/>
          <w:color w:val="auto"/>
        </w:rPr>
        <w:t>Issuers</w:t>
      </w:r>
      <w:r>
        <w:rPr>
          <w:rFonts w:ascii="Arial" w:cs="Arial" w:eastAsia="Arial" w:hAnsi="Arial"/>
          <w:sz w:val="22"/>
          <w:szCs w:val="22"/>
          <w:color w:val="auto"/>
        </w:rPr>
        <w:t>”), the Guarantors party thereto and U.S. Bank National</w:t>
      </w:r>
      <w:r>
        <w:rPr>
          <w:rFonts w:ascii="Arial" w:cs="Arial" w:eastAsia="Arial" w:hAnsi="Arial"/>
          <w:sz w:val="22"/>
          <w:szCs w:val="22"/>
          <w:i w:val="1"/>
          <w:iCs w:val="1"/>
          <w:color w:val="auto"/>
        </w:rPr>
        <w:t xml:space="preserve"> </w:t>
      </w:r>
      <w:r>
        <w:rPr>
          <w:rFonts w:ascii="Arial" w:cs="Arial" w:eastAsia="Arial" w:hAnsi="Arial"/>
          <w:sz w:val="22"/>
          <w:szCs w:val="22"/>
          <w:color w:val="auto"/>
        </w:rPr>
        <w:t>Association, as trustee (the “</w:t>
      </w:r>
      <w:r>
        <w:rPr>
          <w:rFonts w:ascii="Arial" w:cs="Arial" w:eastAsia="Arial" w:hAnsi="Arial"/>
          <w:sz w:val="22"/>
          <w:szCs w:val="22"/>
          <w:i w:val="1"/>
          <w:iCs w:val="1"/>
          <w:u w:val="single" w:color="auto"/>
          <w:color w:val="auto"/>
        </w:rPr>
        <w:t>Trustee</w:t>
      </w:r>
      <w:r>
        <w:rPr>
          <w:rFonts w:ascii="Arial" w:cs="Arial" w:eastAsia="Arial" w:hAnsi="Arial"/>
          <w:sz w:val="22"/>
          <w:szCs w:val="22"/>
          <w:color w:val="auto"/>
        </w:rPr>
        <w:t>”). Capitalized terms used but not defined herein shall have the meanings given to them in the Indenture.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___________________, (the “</w:t>
      </w:r>
      <w:r>
        <w:rPr>
          <w:rFonts w:ascii="Arial" w:cs="Arial" w:eastAsia="Arial" w:hAnsi="Arial"/>
          <w:sz w:val="19"/>
          <w:szCs w:val="19"/>
          <w:i w:val="1"/>
          <w:iCs w:val="1"/>
          <w:u w:val="single" w:color="auto"/>
          <w:color w:val="auto"/>
        </w:rPr>
        <w:t>Transferor</w:t>
      </w:r>
      <w:r>
        <w:rPr>
          <w:rFonts w:ascii="Arial" w:cs="Arial" w:eastAsia="Arial" w:hAnsi="Arial"/>
          <w:sz w:val="19"/>
          <w:szCs w:val="19"/>
          <w:color w:val="auto"/>
        </w:rPr>
        <w:t>”) owns and proposes to transfer the Note[s] or interest in such Note[s] specified</w:t>
      </w:r>
    </w:p>
    <w:p>
      <w:pPr>
        <w:spacing w:after="0" w:line="56" w:lineRule="exact"/>
        <w:rPr>
          <w:sz w:val="20"/>
          <w:szCs w:val="20"/>
          <w:color w:val="auto"/>
        </w:rPr>
      </w:pPr>
    </w:p>
    <w:p>
      <w:pPr>
        <w:spacing w:after="0"/>
        <w:tabs>
          <w:tab w:leader="none" w:pos="340" w:val="left"/>
          <w:tab w:leader="none" w:pos="1080" w:val="left"/>
          <w:tab w:leader="none" w:pos="1420" w:val="left"/>
          <w:tab w:leader="none" w:pos="2200" w:val="left"/>
          <w:tab w:leader="none" w:pos="2540" w:val="left"/>
          <w:tab w:leader="none" w:pos="2980" w:val="left"/>
          <w:tab w:leader="none" w:pos="3940" w:val="left"/>
          <w:tab w:leader="none" w:pos="4760" w:val="left"/>
          <w:tab w:leader="none" w:pos="5120" w:val="left"/>
          <w:tab w:leader="none" w:pos="6280" w:val="left"/>
          <w:tab w:leader="none" w:pos="6640" w:val="left"/>
          <w:tab w:leader="none" w:pos="7200" w:val="left"/>
          <w:tab w:leader="none" w:pos="8040" w:val="left"/>
          <w:tab w:leader="none" w:pos="8400" w:val="left"/>
          <w:tab w:leader="none" w:pos="9300" w:val="left"/>
          <w:tab w:leader="none" w:pos="9820" w:val="left"/>
          <w:tab w:leader="none" w:pos="11040" w:val="left"/>
        </w:tabs>
        <w:rPr>
          <w:sz w:val="20"/>
          <w:szCs w:val="20"/>
          <w:color w:val="auto"/>
        </w:rPr>
      </w:pPr>
      <w:r>
        <w:rPr>
          <w:rFonts w:ascii="Arial" w:cs="Arial" w:eastAsia="Arial" w:hAnsi="Arial"/>
          <w:sz w:val="22"/>
          <w:szCs w:val="22"/>
          <w:color w:val="auto"/>
        </w:rPr>
        <w:t>in</w:t>
      </w:r>
      <w:r>
        <w:rPr>
          <w:sz w:val="20"/>
          <w:szCs w:val="20"/>
          <w:color w:val="auto"/>
        </w:rPr>
        <w:tab/>
      </w:r>
      <w:r>
        <w:rPr>
          <w:rFonts w:ascii="Arial" w:cs="Arial" w:eastAsia="Arial" w:hAnsi="Arial"/>
          <w:sz w:val="22"/>
          <w:szCs w:val="22"/>
          <w:u w:val="single" w:color="auto"/>
          <w:color w:val="auto"/>
        </w:rPr>
        <w:t>Annex</w:t>
        <w:tab/>
        <w:t>A</w:t>
      </w:r>
      <w:r>
        <w:rPr>
          <w:sz w:val="20"/>
          <w:szCs w:val="20"/>
          <w:color w:val="auto"/>
        </w:rPr>
        <w:tab/>
      </w:r>
      <w:r>
        <w:rPr>
          <w:rFonts w:ascii="Arial" w:cs="Arial" w:eastAsia="Arial" w:hAnsi="Arial"/>
          <w:sz w:val="22"/>
          <w:szCs w:val="22"/>
          <w:color w:val="auto"/>
        </w:rPr>
        <w:t>hereto,</w:t>
        <w:tab/>
        <w:t>in</w:t>
        <w:tab/>
        <w:t>the</w:t>
        <w:tab/>
        <w:t>principal</w:t>
        <w:tab/>
        <w:t>amount</w:t>
        <w:tab/>
        <w:t>of</w:t>
        <w:tab/>
        <w:t>$________</w:t>
        <w:tab/>
        <w:t>in</w:t>
        <w:tab/>
        <w:t>such</w:t>
        <w:tab/>
        <w:t>Note[s]</w:t>
        <w:tab/>
        <w:t>or</w:t>
        <w:tab/>
        <w:t>interests</w:t>
        <w:tab/>
        <w:t>(the</w:t>
        <w:tab/>
        <w:t>“</w:t>
      </w:r>
      <w:r>
        <w:rPr>
          <w:rFonts w:ascii="Arial" w:cs="Arial" w:eastAsia="Arial" w:hAnsi="Arial"/>
          <w:sz w:val="22"/>
          <w:szCs w:val="22"/>
          <w:i w:val="1"/>
          <w:iCs w:val="1"/>
          <w:u w:val="single" w:color="auto"/>
          <w:color w:val="auto"/>
        </w:rPr>
        <w:t>Transfer</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to</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 (the “</w:t>
      </w:r>
      <w:r>
        <w:rPr>
          <w:rFonts w:ascii="Arial" w:cs="Arial" w:eastAsia="Arial" w:hAnsi="Arial"/>
          <w:sz w:val="19"/>
          <w:szCs w:val="19"/>
          <w:i w:val="1"/>
          <w:iCs w:val="1"/>
          <w:u w:val="single" w:color="auto"/>
          <w:color w:val="auto"/>
        </w:rPr>
        <w:t>Transferee</w:t>
      </w:r>
      <w:r>
        <w:rPr>
          <w:rFonts w:ascii="Arial" w:cs="Arial" w:eastAsia="Arial" w:hAnsi="Arial"/>
          <w:sz w:val="19"/>
          <w:szCs w:val="19"/>
          <w:color w:val="auto"/>
        </w:rPr>
        <w:t xml:space="preserve">”), as further specified in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hereto. In connection with the Transfer, the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Transferor hereby certifies that: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[CHECK ALL THAT APPLY]</w:t>
      </w:r>
    </w:p>
    <w:p>
      <w:pPr>
        <w:spacing w:after="0" w:line="214" w:lineRule="exact"/>
        <w:rPr>
          <w:sz w:val="20"/>
          <w:szCs w:val="20"/>
          <w:color w:val="auto"/>
        </w:rPr>
      </w:pPr>
    </w:p>
    <w:p>
      <w:pPr>
        <w:jc w:val="both"/>
        <w:ind w:firstLine="656"/>
        <w:spacing w:after="0" w:line="290" w:lineRule="auto"/>
        <w:tabs>
          <w:tab w:leader="none" w:pos="1377" w:val="left"/>
        </w:tabs>
        <w:numPr>
          <w:ilvl w:val="0"/>
          <w:numId w:val="192"/>
        </w:numPr>
        <w:rPr>
          <w:rFonts w:ascii="Arial" w:cs="Arial" w:eastAsia="Arial" w:hAnsi="Arial"/>
          <w:sz w:val="19"/>
          <w:szCs w:val="19"/>
          <w:color w:val="auto"/>
        </w:rPr>
      </w:pPr>
      <w:r>
        <w:rPr>
          <w:rFonts w:ascii="Arial" w:cs="Arial" w:eastAsia="Arial" w:hAnsi="Arial"/>
          <w:sz w:val="19"/>
          <w:szCs w:val="19"/>
          <w:b w:val="1"/>
          <w:bCs w:val="1"/>
          <w:u w:val="single" w:color="auto"/>
          <w:color w:val="auto"/>
        </w:rPr>
        <w:t>Check if Transferee will take delivery of a beneficial interest in the 144A Global Note or a Restricted Definitive Note pursuant to Rule 144A</w:t>
      </w:r>
      <w:r>
        <w:rPr>
          <w:rFonts w:ascii="Arial" w:cs="Arial" w:eastAsia="Arial" w:hAnsi="Arial"/>
          <w:sz w:val="19"/>
          <w:szCs w:val="19"/>
          <w:b w:val="1"/>
          <w:bCs w:val="1"/>
          <w:color w:val="auto"/>
        </w:rPr>
        <w:t xml:space="preserve">. </w:t>
      </w:r>
      <w:r>
        <w:rPr>
          <w:rFonts w:ascii="Arial" w:cs="Arial" w:eastAsia="Arial" w:hAnsi="Arial"/>
          <w:sz w:val="19"/>
          <w:szCs w:val="19"/>
          <w:color w:val="auto"/>
        </w:rPr>
        <w:t>The Transfer is being effected pursuant to and in accordance with Rule 144A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Act of 1933, as amended (the “</w:t>
      </w:r>
      <w:r>
        <w:rPr>
          <w:rFonts w:ascii="Arial" w:cs="Arial" w:eastAsia="Arial" w:hAnsi="Arial"/>
          <w:sz w:val="19"/>
          <w:szCs w:val="19"/>
          <w:i w:val="1"/>
          <w:iCs w:val="1"/>
          <w:u w:val="single" w:color="auto"/>
          <w:color w:val="auto"/>
        </w:rPr>
        <w:t>Securities Act</w:t>
      </w:r>
      <w:r>
        <w:rPr>
          <w:rFonts w:ascii="Arial" w:cs="Arial" w:eastAsia="Arial" w:hAnsi="Arial"/>
          <w:sz w:val="19"/>
          <w:szCs w:val="19"/>
          <w:color w:val="auto"/>
        </w:rPr>
        <w:t>”), 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1240"/>
          </w:cols>
          <w:pgMar w:left="320" w:top="126" w:right="339" w:bottom="1440" w:gutter="0" w:footer="0" w:header="0"/>
        </w:sectPr>
      </w:pPr>
    </w:p>
    <w:bookmarkStart w:id="174" w:name="page175"/>
    <w:bookmarkEnd w:id="174"/>
    <w:p>
      <w:pPr>
        <w:spacing w:after="0" w:line="263" w:lineRule="auto"/>
        <w:rPr>
          <w:sz w:val="20"/>
          <w:szCs w:val="20"/>
          <w:color w:val="auto"/>
        </w:rPr>
      </w:pPr>
      <w:r>
        <w:rPr>
          <w:rFonts w:ascii="Arial" w:cs="Arial" w:eastAsia="Arial" w:hAnsi="Arial"/>
          <w:sz w:val="22"/>
          <w:szCs w:val="22"/>
          <w:color w:val="auto"/>
        </w:rPr>
        <w:t>on transfer enumerated in the Private Placement Legend printed on the 144A Global Note and/or the Restricted Definitive Note and in the Indenture and the Securities Act.</w:t>
      </w:r>
    </w:p>
    <w:p>
      <w:pPr>
        <w:spacing w:after="0" w:line="169" w:lineRule="exact"/>
        <w:rPr>
          <w:sz w:val="20"/>
          <w:szCs w:val="20"/>
          <w:color w:val="auto"/>
        </w:rPr>
      </w:pPr>
    </w:p>
    <w:p>
      <w:pPr>
        <w:jc w:val="both"/>
        <w:ind w:firstLine="656"/>
        <w:spacing w:after="0" w:line="286" w:lineRule="auto"/>
        <w:tabs>
          <w:tab w:leader="none" w:pos="1350" w:val="left"/>
        </w:tabs>
        <w:numPr>
          <w:ilvl w:val="0"/>
          <w:numId w:val="193"/>
        </w:numPr>
        <w:rPr>
          <w:rFonts w:ascii="Arial" w:cs="Arial" w:eastAsia="Arial" w:hAnsi="Arial"/>
          <w:sz w:val="19"/>
          <w:szCs w:val="19"/>
          <w:color w:val="auto"/>
        </w:rPr>
      </w:pPr>
      <w:r>
        <w:rPr>
          <w:rFonts w:ascii="Arial" w:cs="Arial" w:eastAsia="Arial" w:hAnsi="Arial"/>
          <w:sz w:val="19"/>
          <w:szCs w:val="19"/>
          <w:b w:val="1"/>
          <w:bCs w:val="1"/>
          <w:u w:val="single" w:color="auto"/>
          <w:color w:val="auto"/>
        </w:rPr>
        <w:t>Check if Transferee will take delivery of a beneficial interest in the Regulation S Temporary Global Note, the Regulation S Permanent Global Note or a Restricted Definitive Note pursuant to Regulation S</w:t>
      </w:r>
      <w:r>
        <w:rPr>
          <w:rFonts w:ascii="Arial" w:cs="Arial" w:eastAsia="Arial" w:hAnsi="Arial"/>
          <w:sz w:val="19"/>
          <w:szCs w:val="19"/>
          <w:b w:val="1"/>
          <w:bCs w:val="1"/>
          <w:color w:val="auto"/>
        </w:rPr>
        <w:t xml:space="preserve">. </w:t>
      </w:r>
      <w:r>
        <w:rPr>
          <w:rFonts w:ascii="Arial" w:cs="Arial" w:eastAsia="Arial" w:hAnsi="Arial"/>
          <w:sz w:val="19"/>
          <w:szCs w:val="19"/>
          <w:color w:val="auto"/>
        </w:rPr>
        <w:t>The Transfer is being</w:t>
      </w:r>
      <w:r>
        <w:rPr>
          <w:rFonts w:ascii="Arial" w:cs="Arial" w:eastAsia="Arial" w:hAnsi="Arial"/>
          <w:sz w:val="19"/>
          <w:szCs w:val="19"/>
          <w:b w:val="1"/>
          <w:bCs w:val="1"/>
          <w:color w:val="auto"/>
        </w:rPr>
        <w:t xml:space="preserve"> </w:t>
      </w:r>
      <w:r>
        <w:rPr>
          <w:rFonts w:ascii="Arial" w:cs="Arial" w:eastAsia="Arial" w:hAnsi="Arial"/>
          <w:sz w:val="19"/>
          <w:szCs w:val="19"/>
          <w:color w:val="auto"/>
        </w:rPr>
        <w:t>effected 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Upon consummation of the proposed transfer in accordance with the terms of the Indenture, the transferred beneficial interest or Definitive Note will be subject to the restrictions on Transfer enumerated in the Private Placement Legend printed on the Regulation S Permanent Global Note, the Regulation S Temporary Global Note and/or the Restricted Definitive Note and in the Indenture and the Securities Act.</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jc w:val="both"/>
        <w:ind w:firstLine="656"/>
        <w:spacing w:after="0" w:line="298" w:lineRule="auto"/>
        <w:tabs>
          <w:tab w:leader="none" w:pos="1377" w:val="left"/>
        </w:tabs>
        <w:numPr>
          <w:ilvl w:val="0"/>
          <w:numId w:val="193"/>
        </w:numPr>
        <w:rPr>
          <w:rFonts w:ascii="Arial" w:cs="Arial" w:eastAsia="Arial" w:hAnsi="Arial"/>
          <w:sz w:val="19"/>
          <w:szCs w:val="19"/>
          <w:color w:val="auto"/>
        </w:rPr>
      </w:pPr>
      <w:r>
        <w:rPr>
          <w:rFonts w:ascii="Arial" w:cs="Arial" w:eastAsia="Arial" w:hAnsi="Arial"/>
          <w:sz w:val="19"/>
          <w:szCs w:val="19"/>
          <w:b w:val="1"/>
          <w:bCs w:val="1"/>
          <w:u w:val="single" w:color="auto"/>
          <w:color w:val="auto"/>
        </w:rPr>
        <w:t>Check and complete if Transferee will take delivery of a beneficial interest in the IAI Global Note or a Restricted Definitive Note pursuant to any provision of the Securities Act other than Rule 144A or Regulation S</w:t>
      </w:r>
      <w:r>
        <w:rPr>
          <w:rFonts w:ascii="Arial" w:cs="Arial" w:eastAsia="Arial" w:hAnsi="Arial"/>
          <w:sz w:val="19"/>
          <w:szCs w:val="19"/>
          <w:b w:val="1"/>
          <w:bCs w:val="1"/>
          <w:color w:val="auto"/>
        </w:rPr>
        <w:t xml:space="preserve">. </w:t>
      </w:r>
      <w:r>
        <w:rPr>
          <w:rFonts w:ascii="Arial" w:cs="Arial" w:eastAsia="Arial" w:hAnsi="Arial"/>
          <w:sz w:val="19"/>
          <w:szCs w:val="19"/>
          <w:color w:val="auto"/>
        </w:rPr>
        <w:t>The</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 is being 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48" w:lineRule="exact"/>
        <w:rPr>
          <w:rFonts w:ascii="Arial" w:cs="Arial" w:eastAsia="Arial" w:hAnsi="Arial"/>
          <w:sz w:val="19"/>
          <w:szCs w:val="19"/>
          <w:color w:val="auto"/>
        </w:rPr>
      </w:pPr>
    </w:p>
    <w:p>
      <w:pPr>
        <w:ind w:left="2000" w:hanging="696"/>
        <w:spacing w:after="0"/>
        <w:tabs>
          <w:tab w:leader="none" w:pos="2000" w:val="left"/>
        </w:tabs>
        <w:numPr>
          <w:ilvl w:val="1"/>
          <w:numId w:val="193"/>
        </w:numPr>
        <w:rPr>
          <w:rFonts w:ascii="Arial" w:cs="Arial" w:eastAsia="Arial" w:hAnsi="Arial"/>
          <w:sz w:val="19"/>
          <w:szCs w:val="19"/>
          <w:color w:val="auto"/>
        </w:rPr>
      </w:pPr>
      <w:r>
        <w:rPr>
          <w:rFonts w:ascii="Arial" w:cs="Arial" w:eastAsia="Arial" w:hAnsi="Arial"/>
          <w:sz w:val="19"/>
          <w:szCs w:val="19"/>
          <w:color w:val="auto"/>
        </w:rPr>
        <w:t>such Transfer is being effected pursuant to and in accordance with Rule 144 under the Securities Act;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or</w:t>
      </w:r>
    </w:p>
    <w:p>
      <w:pPr>
        <w:spacing w:after="0" w:line="220" w:lineRule="exact"/>
        <w:rPr>
          <w:sz w:val="20"/>
          <w:szCs w:val="20"/>
          <w:color w:val="auto"/>
        </w:rPr>
      </w:pPr>
    </w:p>
    <w:p>
      <w:pPr>
        <w:ind w:left="2000" w:hanging="696"/>
        <w:spacing w:after="0"/>
        <w:tabs>
          <w:tab w:leader="none" w:pos="2000" w:val="left"/>
        </w:tabs>
        <w:numPr>
          <w:ilvl w:val="0"/>
          <w:numId w:val="194"/>
        </w:numPr>
        <w:rPr>
          <w:rFonts w:ascii="Arial" w:cs="Arial" w:eastAsia="Arial" w:hAnsi="Arial"/>
          <w:sz w:val="22"/>
          <w:szCs w:val="22"/>
          <w:color w:val="auto"/>
        </w:rPr>
      </w:pPr>
      <w:r>
        <w:rPr>
          <w:rFonts w:ascii="Arial" w:cs="Arial" w:eastAsia="Arial" w:hAnsi="Arial"/>
          <w:sz w:val="22"/>
          <w:szCs w:val="22"/>
          <w:color w:val="auto"/>
        </w:rPr>
        <w:t>such Transfer is being effected to the Wynn Resorts Finance or a subsidiary thereof;</w:t>
      </w:r>
    </w:p>
    <w:p>
      <w:pPr>
        <w:spacing w:after="0" w:line="219" w:lineRule="exact"/>
        <w:rPr>
          <w:rFonts w:ascii="Arial" w:cs="Arial" w:eastAsia="Arial" w:hAnsi="Arial"/>
          <w:sz w:val="22"/>
          <w:szCs w:val="22"/>
          <w:color w:val="auto"/>
        </w:rPr>
      </w:pPr>
    </w:p>
    <w:p>
      <w:pPr>
        <w:ind w:left="5540"/>
        <w:spacing w:after="0"/>
        <w:rPr>
          <w:rFonts w:ascii="Arial" w:cs="Arial" w:eastAsia="Arial" w:hAnsi="Arial"/>
          <w:sz w:val="22"/>
          <w:szCs w:val="22"/>
          <w:color w:val="auto"/>
        </w:rPr>
      </w:pPr>
      <w:r>
        <w:rPr>
          <w:rFonts w:ascii="Arial" w:cs="Arial" w:eastAsia="Arial" w:hAnsi="Arial"/>
          <w:sz w:val="22"/>
          <w:szCs w:val="22"/>
          <w:color w:val="auto"/>
        </w:rPr>
        <w:t>or</w:t>
      </w:r>
    </w:p>
    <w:p>
      <w:pPr>
        <w:spacing w:after="0" w:line="219" w:lineRule="exact"/>
        <w:rPr>
          <w:rFonts w:ascii="Arial" w:cs="Arial" w:eastAsia="Arial" w:hAnsi="Arial"/>
          <w:sz w:val="22"/>
          <w:szCs w:val="22"/>
          <w:color w:val="auto"/>
        </w:rPr>
      </w:pPr>
    </w:p>
    <w:p>
      <w:pPr>
        <w:jc w:val="both"/>
        <w:ind w:left="660" w:firstLine="644"/>
        <w:spacing w:after="0" w:line="271" w:lineRule="auto"/>
        <w:tabs>
          <w:tab w:leader="none" w:pos="2016" w:val="left"/>
        </w:tabs>
        <w:numPr>
          <w:ilvl w:val="0"/>
          <w:numId w:val="194"/>
        </w:numPr>
        <w:rPr>
          <w:rFonts w:ascii="Arial" w:cs="Arial" w:eastAsia="Arial" w:hAnsi="Arial"/>
          <w:sz w:val="21"/>
          <w:szCs w:val="21"/>
          <w:color w:val="auto"/>
        </w:rPr>
      </w:pPr>
      <w:r>
        <w:rPr>
          <w:rFonts w:ascii="Arial" w:cs="Arial" w:eastAsia="Arial" w:hAnsi="Arial"/>
          <w:sz w:val="21"/>
          <w:szCs w:val="21"/>
          <w:color w:val="auto"/>
        </w:rPr>
        <w:t>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11240"/>
          </w:cols>
          <w:pgMar w:left="320" w:top="1428" w:right="339" w:bottom="1440" w:gutter="0" w:footer="0" w:header="0"/>
        </w:sectPr>
      </w:pPr>
    </w:p>
    <w:bookmarkStart w:id="175" w:name="page176"/>
    <w:bookmarkEnd w:id="175"/>
    <w:p>
      <w:pPr>
        <w:jc w:val="both"/>
        <w:ind w:left="660"/>
        <w:spacing w:after="0" w:line="290" w:lineRule="auto"/>
        <w:rPr>
          <w:sz w:val="20"/>
          <w:szCs w:val="20"/>
          <w:color w:val="auto"/>
        </w:rPr>
      </w:pPr>
      <w:r>
        <w:rPr>
          <w:rFonts w:ascii="Arial" w:cs="Arial" w:eastAsia="Arial" w:hAnsi="Arial"/>
          <w:sz w:val="19"/>
          <w:szCs w:val="19"/>
          <w:color w:val="auto"/>
        </w:rPr>
        <w:t>Regulation D under the Securities Act and the Transfer complies with the transfer restrictions applicable to beneficial interests in a Restricted Global Note or Restricted Definitive Notes and the requirements of the exemption claimed, which certification is supported by (1) a certificate executed by the Transferee in the form of Exhibit D to the Indenture and (2)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IAI Global Note and/or the Restricted Definitive Notes and in the Indenture and the Securities Act.</w:t>
      </w:r>
    </w:p>
    <w:p>
      <w:pPr>
        <w:spacing w:after="0" w:line="150" w:lineRule="exact"/>
        <w:rPr>
          <w:sz w:val="20"/>
          <w:szCs w:val="20"/>
          <w:color w:val="auto"/>
        </w:rPr>
      </w:pPr>
    </w:p>
    <w:p>
      <w:pPr>
        <w:ind w:firstLine="656"/>
        <w:spacing w:after="0" w:line="269" w:lineRule="auto"/>
        <w:tabs>
          <w:tab w:leader="none" w:pos="1377" w:val="left"/>
        </w:tabs>
        <w:numPr>
          <w:ilvl w:val="0"/>
          <w:numId w:val="195"/>
        </w:numPr>
        <w:rPr>
          <w:rFonts w:ascii="Arial" w:cs="Arial" w:eastAsia="Arial" w:hAnsi="Arial"/>
          <w:sz w:val="22"/>
          <w:szCs w:val="22"/>
          <w:color w:val="auto"/>
        </w:rPr>
      </w:pPr>
      <w:r>
        <w:rPr>
          <w:rFonts w:ascii="Arial" w:cs="Arial" w:eastAsia="Arial" w:hAnsi="Arial"/>
          <w:sz w:val="22"/>
          <w:szCs w:val="22"/>
          <w:b w:val="1"/>
          <w:bCs w:val="1"/>
          <w:u w:val="single" w:color="auto"/>
          <w:color w:val="auto"/>
        </w:rPr>
        <w:t>Check if Transferee will take delivery of a beneficial interest in an Unrestricted Global Note or of an Unrestricted Definitive Note</w:t>
      </w:r>
      <w:r>
        <w:rPr>
          <w:rFonts w:ascii="Arial" w:cs="Arial" w:eastAsia="Arial" w:hAnsi="Arial"/>
          <w:sz w:val="22"/>
          <w:szCs w:val="22"/>
          <w:b w:val="1"/>
          <w:bCs w:val="1"/>
          <w:color w:val="auto"/>
        </w:rPr>
        <w:t>.</w:t>
      </w:r>
    </w:p>
    <w:p>
      <w:pPr>
        <w:spacing w:after="0" w:line="161" w:lineRule="exact"/>
        <w:rPr>
          <w:rFonts w:ascii="Arial" w:cs="Arial" w:eastAsia="Arial" w:hAnsi="Arial"/>
          <w:sz w:val="22"/>
          <w:szCs w:val="22"/>
          <w:color w:val="auto"/>
        </w:rPr>
      </w:pPr>
    </w:p>
    <w:p>
      <w:pPr>
        <w:jc w:val="both"/>
        <w:ind w:left="660" w:firstLine="644"/>
        <w:spacing w:after="0" w:line="293" w:lineRule="auto"/>
        <w:tabs>
          <w:tab w:leader="none" w:pos="2047" w:val="left"/>
        </w:tabs>
        <w:numPr>
          <w:ilvl w:val="1"/>
          <w:numId w:val="195"/>
        </w:numPr>
        <w:rPr>
          <w:rFonts w:ascii="Arial" w:cs="Arial" w:eastAsia="Arial" w:hAnsi="Arial"/>
          <w:sz w:val="19"/>
          <w:szCs w:val="19"/>
          <w:color w:val="auto"/>
        </w:rPr>
      </w:pPr>
      <w:r>
        <w:rPr>
          <w:rFonts w:ascii="Arial" w:cs="Arial" w:eastAsia="Arial" w:hAnsi="Arial"/>
          <w:sz w:val="19"/>
          <w:szCs w:val="19"/>
          <w:b w:val="1"/>
          <w:bCs w:val="1"/>
          <w:color w:val="auto"/>
        </w:rPr>
        <w:t xml:space="preserve">Check if Transfer is pursuant to Rule 144. </w:t>
      </w:r>
      <w:r>
        <w:rPr>
          <w:rFonts w:ascii="Arial" w:cs="Arial" w:eastAsia="Arial" w:hAnsi="Arial"/>
          <w:sz w:val="19"/>
          <w:szCs w:val="19"/>
          <w:color w:val="auto"/>
        </w:rPr>
        <w:t>(i) The Transfer is being effected pursuant to and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Rule 144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44" w:lineRule="exact"/>
        <w:rPr>
          <w:rFonts w:ascii="Arial" w:cs="Arial" w:eastAsia="Arial" w:hAnsi="Arial"/>
          <w:sz w:val="19"/>
          <w:szCs w:val="19"/>
          <w:color w:val="auto"/>
        </w:rPr>
      </w:pPr>
    </w:p>
    <w:p>
      <w:pPr>
        <w:jc w:val="both"/>
        <w:ind w:left="660" w:firstLine="644"/>
        <w:spacing w:after="0" w:line="293" w:lineRule="auto"/>
        <w:tabs>
          <w:tab w:leader="none" w:pos="2019" w:val="left"/>
        </w:tabs>
        <w:numPr>
          <w:ilvl w:val="1"/>
          <w:numId w:val="195"/>
        </w:numPr>
        <w:rPr>
          <w:rFonts w:ascii="Arial" w:cs="Arial" w:eastAsia="Arial" w:hAnsi="Arial"/>
          <w:sz w:val="19"/>
          <w:szCs w:val="19"/>
          <w:color w:val="auto"/>
        </w:rPr>
      </w:pPr>
      <w:r>
        <w:rPr>
          <w:rFonts w:ascii="Arial" w:cs="Arial" w:eastAsia="Arial" w:hAnsi="Arial"/>
          <w:sz w:val="19"/>
          <w:szCs w:val="19"/>
          <w:b w:val="1"/>
          <w:bCs w:val="1"/>
          <w:color w:val="auto"/>
        </w:rPr>
        <w:t xml:space="preserve">Check if Transfer is Pursuant to Regulation S. </w:t>
      </w:r>
      <w:r>
        <w:rPr>
          <w:rFonts w:ascii="Arial" w:cs="Arial" w:eastAsia="Arial" w:hAnsi="Arial"/>
          <w:sz w:val="19"/>
          <w:szCs w:val="19"/>
          <w:color w:val="auto"/>
        </w:rPr>
        <w:t>(i) The Transfer is being effected pursuant to and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44" w:lineRule="exact"/>
        <w:rPr>
          <w:rFonts w:ascii="Arial" w:cs="Arial" w:eastAsia="Arial" w:hAnsi="Arial"/>
          <w:sz w:val="19"/>
          <w:szCs w:val="19"/>
          <w:color w:val="auto"/>
        </w:rPr>
      </w:pPr>
    </w:p>
    <w:p>
      <w:pPr>
        <w:jc w:val="both"/>
        <w:ind w:left="660" w:firstLine="644"/>
        <w:spacing w:after="0" w:line="295" w:lineRule="auto"/>
        <w:tabs>
          <w:tab w:leader="none" w:pos="2007" w:val="left"/>
        </w:tabs>
        <w:numPr>
          <w:ilvl w:val="1"/>
          <w:numId w:val="195"/>
        </w:numPr>
        <w:rPr>
          <w:rFonts w:ascii="Arial" w:cs="Arial" w:eastAsia="Arial" w:hAnsi="Arial"/>
          <w:sz w:val="19"/>
          <w:szCs w:val="19"/>
          <w:color w:val="auto"/>
        </w:rPr>
      </w:pPr>
      <w:r>
        <w:rPr>
          <w:rFonts w:ascii="Arial" w:cs="Arial" w:eastAsia="Arial" w:hAnsi="Arial"/>
          <w:sz w:val="19"/>
          <w:szCs w:val="19"/>
          <w:b w:val="1"/>
          <w:bCs w:val="1"/>
          <w:color w:val="auto"/>
        </w:rPr>
        <w:t xml:space="preserve">Check if Transfer is Pursuant to Other Exemption. </w:t>
      </w:r>
      <w:r>
        <w:rPr>
          <w:rFonts w:ascii="Arial" w:cs="Arial" w:eastAsia="Arial" w:hAnsi="Arial"/>
          <w:sz w:val="19"/>
          <w:szCs w:val="19"/>
          <w:color w:val="auto"/>
        </w:rPr>
        <w:t>(i) The Transfer is being effected pursuant to and in</w:t>
      </w:r>
      <w:r>
        <w:rPr>
          <w:rFonts w:ascii="Arial" w:cs="Arial" w:eastAsia="Arial" w:hAnsi="Arial"/>
          <w:sz w:val="19"/>
          <w:szCs w:val="19"/>
          <w:b w:val="1"/>
          <w:bCs w:val="1"/>
          <w:color w:val="auto"/>
        </w:rPr>
        <w:t xml:space="preserve"> </w:t>
      </w:r>
      <w:r>
        <w:rPr>
          <w:rFonts w:ascii="Arial" w:cs="Arial" w:eastAsia="Arial" w:hAnsi="Arial"/>
          <w:sz w:val="19"/>
          <w:szCs w:val="19"/>
          <w:color w:val="auto"/>
        </w:rPr>
        <w:t>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ectPr>
          <w:pgSz w:w="11900" w:h="16838" w:orient="portrait"/>
          <w:cols w:equalWidth="0" w:num="1">
            <w:col w:w="11240"/>
          </w:cols>
          <w:pgMar w:left="320" w:top="1428" w:right="339" w:bottom="1440" w:gutter="0" w:footer="0" w:header="0"/>
        </w:sectPr>
      </w:pPr>
    </w:p>
    <w:bookmarkStart w:id="176" w:name="page177"/>
    <w:bookmarkEnd w:id="176"/>
    <w:p>
      <w:pPr>
        <w:ind w:left="660"/>
        <w:spacing w:after="0" w:line="287" w:lineRule="auto"/>
        <w:rPr>
          <w:sz w:val="20"/>
          <w:szCs w:val="20"/>
          <w:color w:val="auto"/>
        </w:rPr>
      </w:pPr>
      <w:r>
        <w:rPr>
          <w:rFonts w:ascii="Arial" w:cs="Arial" w:eastAsia="Arial" w:hAnsi="Arial"/>
          <w:sz w:val="21"/>
          <w:szCs w:val="21"/>
          <w:color w:val="auto"/>
        </w:rPr>
        <w:t>beneficial interest or Definitive Note will not be subject to the restrictions on transfer enumerated in the Private Placement Legend printed on the Restricted Global Notes or Restricted Definitive Notes and in the Indenture.</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certificate and the statements contained herein are made for your benefit and the benefit of Wynn Resorts Finance.</w:t>
      </w:r>
    </w:p>
    <w:p>
      <w:pPr>
        <w:spacing w:after="0" w:line="25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[Insert Name of Transferor]</w:t>
      </w:r>
    </w:p>
    <w:p>
      <w:pPr>
        <w:spacing w:after="0" w:line="200" w:lineRule="exact"/>
        <w:rPr>
          <w:sz w:val="20"/>
          <w:szCs w:val="20"/>
          <w:color w:val="auto"/>
        </w:rPr>
      </w:pPr>
    </w:p>
    <w:p>
      <w:pPr>
        <w:spacing w:after="0" w:line="29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B-4</w:t>
      </w:r>
    </w:p>
    <w:p>
      <w:pPr>
        <w:sectPr>
          <w:pgSz w:w="11900" w:h="16838" w:orient="portrait"/>
          <w:cols w:equalWidth="0" w:num="1">
            <w:col w:w="11240"/>
          </w:cols>
          <w:pgMar w:left="320" w:top="1428" w:right="339" w:bottom="1440" w:gutter="0" w:footer="0" w:header="0"/>
        </w:sectPr>
      </w:pPr>
    </w:p>
    <w:bookmarkStart w:id="177" w:name="page178"/>
    <w:bookmarkEnd w:id="177"/>
    <w:p>
      <w:pPr>
        <w:ind w:right="2419" w:firstLine="3521"/>
        <w:spacing w:after="0" w:line="448" w:lineRule="auto"/>
        <w:rPr>
          <w:sz w:val="20"/>
          <w:szCs w:val="20"/>
          <w:color w:val="auto"/>
        </w:rPr>
      </w:pPr>
      <w:r>
        <w:rPr>
          <w:rFonts w:ascii="Arial" w:cs="Arial" w:eastAsia="Arial" w:hAnsi="Arial"/>
          <w:sz w:val="22"/>
          <w:szCs w:val="22"/>
          <w:u w:val="single" w:color="auto"/>
          <w:color w:val="auto"/>
        </w:rPr>
        <w:t xml:space="preserve">ANNEX A TO CERTIFICATE OF TRANSFER </w:t>
      </w:r>
      <w:r>
        <w:rPr>
          <w:rFonts w:ascii="Arial" w:cs="Arial" w:eastAsia="Arial" w:hAnsi="Arial"/>
          <w:sz w:val="22"/>
          <w:szCs w:val="22"/>
          <w:color w:val="auto"/>
        </w:rPr>
        <w:t>1. The Transferor owns and proposes to transfer the following:</w:t>
      </w:r>
    </w:p>
    <w:p>
      <w:pPr>
        <w:spacing w:after="0" w:line="1"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[CHECK ONE OF (a) OR (b)]</w:t>
      </w:r>
    </w:p>
    <w:p>
      <w:pPr>
        <w:spacing w:after="0" w:line="220" w:lineRule="exact"/>
        <w:rPr>
          <w:sz w:val="20"/>
          <w:szCs w:val="20"/>
          <w:color w:val="auto"/>
        </w:rPr>
      </w:pPr>
    </w:p>
    <w:p>
      <w:pPr>
        <w:ind w:left="840" w:hanging="346"/>
        <w:spacing w:after="0"/>
        <w:tabs>
          <w:tab w:leader="none" w:pos="840" w:val="left"/>
        </w:tabs>
        <w:numPr>
          <w:ilvl w:val="1"/>
          <w:numId w:val="196"/>
        </w:numPr>
        <w:rPr>
          <w:rFonts w:ascii="Arial" w:cs="Arial" w:eastAsia="Arial" w:hAnsi="Arial"/>
          <w:sz w:val="22"/>
          <w:szCs w:val="22"/>
          <w:color w:val="auto"/>
        </w:rPr>
      </w:pPr>
      <w:r>
        <w:rPr>
          <w:rFonts w:ascii="Arial" w:cs="Arial" w:eastAsia="Arial" w:hAnsi="Arial"/>
          <w:sz w:val="22"/>
          <w:szCs w:val="22"/>
          <w:color w:val="auto"/>
        </w:rPr>
        <w:t>a beneficial interest in the:</w:t>
      </w:r>
    </w:p>
    <w:p>
      <w:pPr>
        <w:spacing w:after="0" w:line="219" w:lineRule="exact"/>
        <w:rPr>
          <w:rFonts w:ascii="Arial" w:cs="Arial" w:eastAsia="Arial" w:hAnsi="Arial"/>
          <w:sz w:val="22"/>
          <w:szCs w:val="22"/>
          <w:color w:val="auto"/>
        </w:rPr>
      </w:pPr>
    </w:p>
    <w:p>
      <w:pPr>
        <w:ind w:left="860" w:hanging="312"/>
        <w:spacing w:after="0"/>
        <w:tabs>
          <w:tab w:leader="none" w:pos="860" w:val="left"/>
        </w:tabs>
        <w:numPr>
          <w:ilvl w:val="2"/>
          <w:numId w:val="196"/>
        </w:numPr>
        <w:rPr>
          <w:rFonts w:ascii="Arial" w:cs="Arial" w:eastAsia="Arial" w:hAnsi="Arial"/>
          <w:sz w:val="22"/>
          <w:szCs w:val="22"/>
          <w:color w:val="auto"/>
        </w:rPr>
      </w:pPr>
      <w:r>
        <w:rPr>
          <w:rFonts w:ascii="Arial" w:cs="Arial" w:eastAsia="Arial" w:hAnsi="Arial"/>
          <w:sz w:val="22"/>
          <w:szCs w:val="22"/>
          <w:color w:val="auto"/>
        </w:rPr>
        <w:t>144A Global Note (CUSIP _________), or</w:t>
      </w:r>
    </w:p>
    <w:p>
      <w:pPr>
        <w:spacing w:after="0" w:line="219" w:lineRule="exact"/>
        <w:rPr>
          <w:rFonts w:ascii="Arial" w:cs="Arial" w:eastAsia="Arial" w:hAnsi="Arial"/>
          <w:sz w:val="22"/>
          <w:szCs w:val="22"/>
          <w:color w:val="auto"/>
        </w:rPr>
      </w:pPr>
    </w:p>
    <w:p>
      <w:pPr>
        <w:ind w:left="920" w:hanging="372"/>
        <w:spacing w:after="0"/>
        <w:tabs>
          <w:tab w:leader="none" w:pos="920" w:val="left"/>
        </w:tabs>
        <w:numPr>
          <w:ilvl w:val="2"/>
          <w:numId w:val="196"/>
        </w:numPr>
        <w:rPr>
          <w:rFonts w:ascii="Arial" w:cs="Arial" w:eastAsia="Arial" w:hAnsi="Arial"/>
          <w:sz w:val="22"/>
          <w:szCs w:val="22"/>
          <w:color w:val="auto"/>
        </w:rPr>
      </w:pPr>
      <w:r>
        <w:rPr>
          <w:rFonts w:ascii="Arial" w:cs="Arial" w:eastAsia="Arial" w:hAnsi="Arial"/>
          <w:sz w:val="22"/>
          <w:szCs w:val="22"/>
          <w:color w:val="auto"/>
        </w:rPr>
        <w:t>Regulation S Global Note (CUSIP _________), or</w:t>
      </w:r>
    </w:p>
    <w:p>
      <w:pPr>
        <w:spacing w:after="0" w:line="219" w:lineRule="exact"/>
        <w:rPr>
          <w:rFonts w:ascii="Arial" w:cs="Arial" w:eastAsia="Arial" w:hAnsi="Arial"/>
          <w:sz w:val="22"/>
          <w:szCs w:val="22"/>
          <w:color w:val="auto"/>
        </w:rPr>
      </w:pPr>
    </w:p>
    <w:p>
      <w:pPr>
        <w:ind w:left="980" w:hanging="432"/>
        <w:spacing w:after="0"/>
        <w:tabs>
          <w:tab w:leader="none" w:pos="980" w:val="left"/>
        </w:tabs>
        <w:numPr>
          <w:ilvl w:val="2"/>
          <w:numId w:val="196"/>
        </w:numPr>
        <w:rPr>
          <w:rFonts w:ascii="Arial" w:cs="Arial" w:eastAsia="Arial" w:hAnsi="Arial"/>
          <w:sz w:val="22"/>
          <w:szCs w:val="22"/>
          <w:color w:val="auto"/>
        </w:rPr>
      </w:pPr>
      <w:r>
        <w:rPr>
          <w:rFonts w:ascii="Arial" w:cs="Arial" w:eastAsia="Arial" w:hAnsi="Arial"/>
          <w:sz w:val="22"/>
          <w:szCs w:val="22"/>
          <w:color w:val="auto"/>
        </w:rPr>
        <w:t>IAI Global Note (CUSIP _________); or</w:t>
      </w:r>
    </w:p>
    <w:p>
      <w:pPr>
        <w:spacing w:after="0" w:line="219" w:lineRule="exact"/>
        <w:rPr>
          <w:rFonts w:ascii="Arial" w:cs="Arial" w:eastAsia="Arial" w:hAnsi="Arial"/>
          <w:sz w:val="22"/>
          <w:szCs w:val="22"/>
          <w:color w:val="auto"/>
        </w:rPr>
      </w:pPr>
    </w:p>
    <w:p>
      <w:pPr>
        <w:ind w:left="860" w:hanging="366"/>
        <w:spacing w:after="0"/>
        <w:tabs>
          <w:tab w:leader="none" w:pos="860" w:val="left"/>
        </w:tabs>
        <w:numPr>
          <w:ilvl w:val="1"/>
          <w:numId w:val="196"/>
        </w:numPr>
        <w:rPr>
          <w:rFonts w:ascii="Arial" w:cs="Arial" w:eastAsia="Arial" w:hAnsi="Arial"/>
          <w:sz w:val="22"/>
          <w:szCs w:val="22"/>
          <w:color w:val="auto"/>
        </w:rPr>
      </w:pPr>
      <w:r>
        <w:rPr>
          <w:rFonts w:ascii="Arial" w:cs="Arial" w:eastAsia="Arial" w:hAnsi="Arial"/>
          <w:sz w:val="22"/>
          <w:szCs w:val="22"/>
          <w:color w:val="auto"/>
        </w:rPr>
        <w:t>a Restricted Definitive Note.</w:t>
      </w:r>
    </w:p>
    <w:p>
      <w:pPr>
        <w:spacing w:after="0" w:line="219" w:lineRule="exact"/>
        <w:rPr>
          <w:rFonts w:ascii="Arial" w:cs="Arial" w:eastAsia="Arial" w:hAnsi="Arial"/>
          <w:sz w:val="22"/>
          <w:szCs w:val="22"/>
          <w:color w:val="auto"/>
        </w:rPr>
      </w:pPr>
    </w:p>
    <w:p>
      <w:pPr>
        <w:ind w:left="220" w:hanging="212"/>
        <w:spacing w:after="0"/>
        <w:tabs>
          <w:tab w:leader="none" w:pos="22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After the Transfer the Transferee will hold:</w:t>
      </w:r>
    </w:p>
    <w:p>
      <w:pPr>
        <w:spacing w:after="0" w:line="220"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[CHECK ONE]</w:t>
      </w:r>
    </w:p>
    <w:p>
      <w:pPr>
        <w:spacing w:after="0" w:line="220" w:lineRule="exact"/>
        <w:rPr>
          <w:sz w:val="20"/>
          <w:szCs w:val="20"/>
          <w:color w:val="auto"/>
        </w:rPr>
      </w:pPr>
    </w:p>
    <w:p>
      <w:pPr>
        <w:ind w:left="840" w:hanging="346"/>
        <w:spacing w:after="0"/>
        <w:tabs>
          <w:tab w:leader="none" w:pos="84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a beneficial interest in the:</w:t>
      </w:r>
    </w:p>
    <w:p>
      <w:pPr>
        <w:spacing w:after="0" w:line="219" w:lineRule="exact"/>
        <w:rPr>
          <w:rFonts w:ascii="Arial" w:cs="Arial" w:eastAsia="Arial" w:hAnsi="Arial"/>
          <w:sz w:val="22"/>
          <w:szCs w:val="22"/>
          <w:color w:val="auto"/>
        </w:rPr>
      </w:pPr>
    </w:p>
    <w:p>
      <w:pPr>
        <w:ind w:left="860" w:hanging="312"/>
        <w:spacing w:after="0"/>
        <w:tabs>
          <w:tab w:leader="none" w:pos="860" w:val="left"/>
        </w:tabs>
        <w:numPr>
          <w:ilvl w:val="1"/>
          <w:numId w:val="198"/>
        </w:numPr>
        <w:rPr>
          <w:rFonts w:ascii="Arial" w:cs="Arial" w:eastAsia="Arial" w:hAnsi="Arial"/>
          <w:sz w:val="22"/>
          <w:szCs w:val="22"/>
          <w:color w:val="auto"/>
        </w:rPr>
      </w:pPr>
      <w:r>
        <w:rPr>
          <w:rFonts w:ascii="Arial" w:cs="Arial" w:eastAsia="Arial" w:hAnsi="Arial"/>
          <w:sz w:val="22"/>
          <w:szCs w:val="22"/>
          <w:color w:val="auto"/>
        </w:rPr>
        <w:t>144A Global Note (CUSIP _________), or</w:t>
      </w:r>
    </w:p>
    <w:p>
      <w:pPr>
        <w:spacing w:after="0" w:line="219" w:lineRule="exact"/>
        <w:rPr>
          <w:rFonts w:ascii="Arial" w:cs="Arial" w:eastAsia="Arial" w:hAnsi="Arial"/>
          <w:sz w:val="22"/>
          <w:szCs w:val="22"/>
          <w:color w:val="auto"/>
        </w:rPr>
      </w:pPr>
    </w:p>
    <w:p>
      <w:pPr>
        <w:ind w:left="920" w:hanging="372"/>
        <w:spacing w:after="0"/>
        <w:tabs>
          <w:tab w:leader="none" w:pos="920" w:val="left"/>
        </w:tabs>
        <w:numPr>
          <w:ilvl w:val="1"/>
          <w:numId w:val="198"/>
        </w:numPr>
        <w:rPr>
          <w:rFonts w:ascii="Arial" w:cs="Arial" w:eastAsia="Arial" w:hAnsi="Arial"/>
          <w:sz w:val="22"/>
          <w:szCs w:val="22"/>
          <w:color w:val="auto"/>
        </w:rPr>
      </w:pPr>
      <w:r>
        <w:rPr>
          <w:rFonts w:ascii="Arial" w:cs="Arial" w:eastAsia="Arial" w:hAnsi="Arial"/>
          <w:sz w:val="22"/>
          <w:szCs w:val="22"/>
          <w:color w:val="auto"/>
        </w:rPr>
        <w:t>Regulation S Global Note (CUSIP _________), or</w:t>
      </w:r>
    </w:p>
    <w:p>
      <w:pPr>
        <w:spacing w:after="0" w:line="219" w:lineRule="exact"/>
        <w:rPr>
          <w:rFonts w:ascii="Arial" w:cs="Arial" w:eastAsia="Arial" w:hAnsi="Arial"/>
          <w:sz w:val="22"/>
          <w:szCs w:val="22"/>
          <w:color w:val="auto"/>
        </w:rPr>
      </w:pPr>
    </w:p>
    <w:p>
      <w:pPr>
        <w:ind w:left="980" w:hanging="432"/>
        <w:spacing w:after="0"/>
        <w:tabs>
          <w:tab w:leader="none" w:pos="980" w:val="left"/>
        </w:tabs>
        <w:numPr>
          <w:ilvl w:val="1"/>
          <w:numId w:val="198"/>
        </w:numPr>
        <w:rPr>
          <w:rFonts w:ascii="Arial" w:cs="Arial" w:eastAsia="Arial" w:hAnsi="Arial"/>
          <w:sz w:val="22"/>
          <w:szCs w:val="22"/>
          <w:color w:val="auto"/>
        </w:rPr>
      </w:pPr>
      <w:r>
        <w:rPr>
          <w:rFonts w:ascii="Arial" w:cs="Arial" w:eastAsia="Arial" w:hAnsi="Arial"/>
          <w:sz w:val="22"/>
          <w:szCs w:val="22"/>
          <w:color w:val="auto"/>
        </w:rPr>
        <w:t>IAI Global Note (CUSIP _________); or</w:t>
      </w:r>
    </w:p>
    <w:p>
      <w:pPr>
        <w:spacing w:after="0" w:line="219" w:lineRule="exact"/>
        <w:rPr>
          <w:rFonts w:ascii="Arial" w:cs="Arial" w:eastAsia="Arial" w:hAnsi="Arial"/>
          <w:sz w:val="22"/>
          <w:szCs w:val="22"/>
          <w:color w:val="auto"/>
        </w:rPr>
      </w:pPr>
    </w:p>
    <w:p>
      <w:pPr>
        <w:ind w:left="960" w:hanging="412"/>
        <w:spacing w:after="0"/>
        <w:tabs>
          <w:tab w:leader="none" w:pos="960" w:val="left"/>
        </w:tabs>
        <w:numPr>
          <w:ilvl w:val="1"/>
          <w:numId w:val="198"/>
        </w:numPr>
        <w:rPr>
          <w:rFonts w:ascii="Arial" w:cs="Arial" w:eastAsia="Arial" w:hAnsi="Arial"/>
          <w:sz w:val="22"/>
          <w:szCs w:val="22"/>
          <w:color w:val="auto"/>
        </w:rPr>
      </w:pPr>
      <w:r>
        <w:rPr>
          <w:rFonts w:ascii="Arial" w:cs="Arial" w:eastAsia="Arial" w:hAnsi="Arial"/>
          <w:sz w:val="22"/>
          <w:szCs w:val="22"/>
          <w:color w:val="auto"/>
        </w:rPr>
        <w:t>Unrestricted Global Note (CUSIP _________); or</w:t>
      </w:r>
    </w:p>
    <w:p>
      <w:pPr>
        <w:spacing w:after="0" w:line="219" w:lineRule="exact"/>
        <w:rPr>
          <w:rFonts w:ascii="Arial" w:cs="Arial" w:eastAsia="Arial" w:hAnsi="Arial"/>
          <w:sz w:val="22"/>
          <w:szCs w:val="22"/>
          <w:color w:val="auto"/>
        </w:rPr>
      </w:pPr>
    </w:p>
    <w:p>
      <w:pPr>
        <w:ind w:left="860" w:hanging="366"/>
        <w:spacing w:after="0"/>
        <w:tabs>
          <w:tab w:leader="none" w:pos="86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a Restricted Definitive Note; or</w:t>
      </w:r>
    </w:p>
    <w:p>
      <w:pPr>
        <w:spacing w:after="0" w:line="219" w:lineRule="exact"/>
        <w:rPr>
          <w:rFonts w:ascii="Arial" w:cs="Arial" w:eastAsia="Arial" w:hAnsi="Arial"/>
          <w:sz w:val="22"/>
          <w:szCs w:val="22"/>
          <w:color w:val="auto"/>
        </w:rPr>
      </w:pPr>
    </w:p>
    <w:p>
      <w:pPr>
        <w:ind w:left="840" w:hanging="346"/>
        <w:spacing w:after="0"/>
        <w:tabs>
          <w:tab w:leader="none" w:pos="84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an Unrestricted Definitive Note,</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in accordance with the terms of the Indenture.</w:t>
      </w:r>
    </w:p>
    <w:p>
      <w:pPr>
        <w:sectPr>
          <w:pgSz w:w="11900" w:h="16838" w:orient="portrait"/>
          <w:cols w:equalWidth="0" w:num="1">
            <w:col w:w="10139"/>
          </w:cols>
          <w:pgMar w:left="320" w:top="1428" w:right="1440" w:bottom="1440" w:gutter="0" w:footer="0" w:header="0"/>
        </w:sectPr>
      </w:pPr>
    </w:p>
    <w:bookmarkStart w:id="178" w:name="page179"/>
    <w:bookmarkEnd w:id="178"/>
    <w:p>
      <w:pPr>
        <w:jc w:val="right"/>
        <w:spacing w:after="0"/>
        <w:rPr>
          <w:sz w:val="20"/>
          <w:szCs w:val="20"/>
          <w:color w:val="auto"/>
        </w:rPr>
      </w:pPr>
      <w:r>
        <w:rPr>
          <w:rFonts w:ascii="Arial" w:cs="Arial" w:eastAsia="Arial" w:hAnsi="Arial"/>
          <w:sz w:val="22"/>
          <w:szCs w:val="22"/>
          <w:b w:val="1"/>
          <w:bCs w:val="1"/>
          <w:color w:val="auto"/>
        </w:rPr>
        <w:t>EXHIBIT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CERTIFICATE OF EXCHANGE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Wynn Resorts Finance,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Wynn Resorts Capital Corp.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3131 Las Vegas Boulevard, South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Las Vegas, Nevada 89109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(702) 770-1100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President</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U.S. Bank National Association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EP-MN-WS3C 60 Livingston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St. Paul, Minnesota 55107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No.: (651) 495-8097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Corporate Trust Department – Wynn Administrator</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 7.750% Senior Notes due 2025</w:t>
      </w:r>
    </w:p>
    <w:p>
      <w:pPr>
        <w:spacing w:after="0" w:line="220"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(CUSIP __________)</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Reference is hereby made to the Indenture, dated as of April 14, 2020 (the “</w:t>
      </w:r>
      <w:r>
        <w:rPr>
          <w:rFonts w:ascii="Arial" w:cs="Arial" w:eastAsia="Arial" w:hAnsi="Arial"/>
          <w:sz w:val="22"/>
          <w:szCs w:val="22"/>
          <w:i w:val="1"/>
          <w:iCs w:val="1"/>
          <w:u w:val="single" w:color="auto"/>
          <w:color w:val="auto"/>
        </w:rPr>
        <w:t>Indenture</w:t>
      </w:r>
      <w:r>
        <w:rPr>
          <w:rFonts w:ascii="Arial" w:cs="Arial" w:eastAsia="Arial" w:hAnsi="Arial"/>
          <w:sz w:val="22"/>
          <w:szCs w:val="22"/>
          <w:color w:val="auto"/>
        </w:rPr>
        <w:t>”), among Wynn Resorts Finance, LLC, a Nevada limited liability company (“</w:t>
      </w:r>
      <w:r>
        <w:rPr>
          <w:rFonts w:ascii="Arial" w:cs="Arial" w:eastAsia="Arial" w:hAnsi="Arial"/>
          <w:sz w:val="22"/>
          <w:szCs w:val="22"/>
          <w:i w:val="1"/>
          <w:iCs w:val="1"/>
          <w:u w:val="single" w:color="auto"/>
          <w:color w:val="auto"/>
        </w:rPr>
        <w:t>Wynn Resorts Finance</w:t>
      </w:r>
      <w:r>
        <w:rPr>
          <w:rFonts w:ascii="Arial" w:cs="Arial" w:eastAsia="Arial" w:hAnsi="Arial"/>
          <w:sz w:val="22"/>
          <w:szCs w:val="22"/>
          <w:color w:val="auto"/>
        </w:rPr>
        <w:t>”), Wynn Resorts Capital Corp., a Nevada corporation (“</w:t>
      </w:r>
      <w:r>
        <w:rPr>
          <w:rFonts w:ascii="Arial" w:cs="Arial" w:eastAsia="Arial" w:hAnsi="Arial"/>
          <w:sz w:val="22"/>
          <w:szCs w:val="22"/>
          <w:i w:val="1"/>
          <w:iCs w:val="1"/>
          <w:u w:val="single" w:color="auto"/>
          <w:color w:val="auto"/>
        </w:rPr>
        <w:t>Wynn</w:t>
      </w:r>
      <w:r>
        <w:rPr>
          <w:rFonts w:ascii="Arial" w:cs="Arial" w:eastAsia="Arial" w:hAnsi="Arial"/>
          <w:sz w:val="22"/>
          <w:szCs w:val="22"/>
          <w:color w:val="auto"/>
        </w:rPr>
        <w:t xml:space="preserve"> </w:t>
      </w:r>
      <w:r>
        <w:rPr>
          <w:rFonts w:ascii="Arial" w:cs="Arial" w:eastAsia="Arial" w:hAnsi="Arial"/>
          <w:sz w:val="22"/>
          <w:szCs w:val="22"/>
          <w:i w:val="1"/>
          <w:iCs w:val="1"/>
          <w:u w:val="single" w:color="auto"/>
          <w:color w:val="auto"/>
        </w:rPr>
        <w:t>Resorts Capital</w:t>
      </w:r>
      <w:r>
        <w:rPr>
          <w:rFonts w:ascii="Arial" w:cs="Arial" w:eastAsia="Arial" w:hAnsi="Arial"/>
          <w:sz w:val="22"/>
          <w:szCs w:val="22"/>
          <w:color w:val="auto"/>
        </w:rPr>
        <w:t>” and, together with Wynn Resorts Finance, the “</w:t>
      </w:r>
      <w:r>
        <w:rPr>
          <w:rFonts w:ascii="Arial" w:cs="Arial" w:eastAsia="Arial" w:hAnsi="Arial"/>
          <w:sz w:val="22"/>
          <w:szCs w:val="22"/>
          <w:i w:val="1"/>
          <w:iCs w:val="1"/>
          <w:u w:val="single" w:color="auto"/>
          <w:color w:val="auto"/>
        </w:rPr>
        <w:t>Issuers</w:t>
      </w:r>
      <w:r>
        <w:rPr>
          <w:rFonts w:ascii="Arial" w:cs="Arial" w:eastAsia="Arial" w:hAnsi="Arial"/>
          <w:sz w:val="22"/>
          <w:szCs w:val="22"/>
          <w:color w:val="auto"/>
        </w:rPr>
        <w:t>”), the Guarantors party thereto and U.S. Bank National</w:t>
      </w:r>
      <w:r>
        <w:rPr>
          <w:rFonts w:ascii="Arial" w:cs="Arial" w:eastAsia="Arial" w:hAnsi="Arial"/>
          <w:sz w:val="22"/>
          <w:szCs w:val="22"/>
          <w:i w:val="1"/>
          <w:iCs w:val="1"/>
          <w:color w:val="auto"/>
        </w:rPr>
        <w:t xml:space="preserve"> </w:t>
      </w:r>
      <w:r>
        <w:rPr>
          <w:rFonts w:ascii="Arial" w:cs="Arial" w:eastAsia="Arial" w:hAnsi="Arial"/>
          <w:sz w:val="22"/>
          <w:szCs w:val="22"/>
          <w:color w:val="auto"/>
        </w:rPr>
        <w:t>Association, as trustee (the “</w:t>
      </w:r>
      <w:r>
        <w:rPr>
          <w:rFonts w:ascii="Arial" w:cs="Arial" w:eastAsia="Arial" w:hAnsi="Arial"/>
          <w:sz w:val="22"/>
          <w:szCs w:val="22"/>
          <w:i w:val="1"/>
          <w:iCs w:val="1"/>
          <w:u w:val="single" w:color="auto"/>
          <w:color w:val="auto"/>
        </w:rPr>
        <w:t>Trustee</w:t>
      </w:r>
      <w:r>
        <w:rPr>
          <w:rFonts w:ascii="Arial" w:cs="Arial" w:eastAsia="Arial" w:hAnsi="Arial"/>
          <w:sz w:val="22"/>
          <w:szCs w:val="22"/>
          <w:color w:val="auto"/>
        </w:rPr>
        <w:t>”). Capitalized terms used but not defined herein shall have the meanings given to them in the Indenture.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__________________________, (the “</w:t>
      </w:r>
      <w:r>
        <w:rPr>
          <w:rFonts w:ascii="Arial" w:cs="Arial" w:eastAsia="Arial" w:hAnsi="Arial"/>
          <w:sz w:val="19"/>
          <w:szCs w:val="19"/>
          <w:i w:val="1"/>
          <w:iCs w:val="1"/>
          <w:u w:val="single" w:color="auto"/>
          <w:color w:val="auto"/>
        </w:rPr>
        <w:t>Owner</w:t>
      </w:r>
      <w:r>
        <w:rPr>
          <w:rFonts w:ascii="Arial" w:cs="Arial" w:eastAsia="Arial" w:hAnsi="Arial"/>
          <w:sz w:val="19"/>
          <w:szCs w:val="19"/>
          <w:color w:val="auto"/>
        </w:rPr>
        <w:t>”) owns and proposes to exchange the Note[s] or interest in such Note[s]</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specified herein, in the principal amount of $____________ in such Note[s] or interests (the “</w:t>
      </w:r>
      <w:r>
        <w:rPr>
          <w:rFonts w:ascii="Arial" w:cs="Arial" w:eastAsia="Arial" w:hAnsi="Arial"/>
          <w:sz w:val="19"/>
          <w:szCs w:val="19"/>
          <w:i w:val="1"/>
          <w:iCs w:val="1"/>
          <w:u w:val="single" w:color="auto"/>
          <w:color w:val="auto"/>
        </w:rPr>
        <w:t>Exchange</w:t>
      </w:r>
      <w:r>
        <w:rPr>
          <w:rFonts w:ascii="Arial" w:cs="Arial" w:eastAsia="Arial" w:hAnsi="Arial"/>
          <w:sz w:val="19"/>
          <w:szCs w:val="19"/>
          <w:color w:val="auto"/>
        </w:rPr>
        <w:t>”). In connection with the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Exchange, the Owner hereby certifies that:</w:t>
      </w:r>
    </w:p>
    <w:p>
      <w:pPr>
        <w:spacing w:after="0" w:line="196" w:lineRule="exact"/>
        <w:rPr>
          <w:sz w:val="20"/>
          <w:szCs w:val="20"/>
          <w:color w:val="auto"/>
        </w:rPr>
      </w:pPr>
    </w:p>
    <w:p>
      <w:pPr>
        <w:ind w:right="20" w:firstLine="656"/>
        <w:spacing w:after="0" w:line="269" w:lineRule="auto"/>
        <w:tabs>
          <w:tab w:leader="none" w:pos="1296" w:val="left"/>
        </w:tabs>
        <w:numPr>
          <w:ilvl w:val="0"/>
          <w:numId w:val="199"/>
        </w:numPr>
        <w:rPr>
          <w:rFonts w:ascii="Arial" w:cs="Arial" w:eastAsia="Arial" w:hAnsi="Arial"/>
          <w:sz w:val="22"/>
          <w:szCs w:val="22"/>
          <w:color w:val="auto"/>
        </w:rPr>
      </w:pPr>
      <w:r>
        <w:rPr>
          <w:rFonts w:ascii="Arial" w:cs="Arial" w:eastAsia="Arial" w:hAnsi="Arial"/>
          <w:sz w:val="22"/>
          <w:szCs w:val="22"/>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162" w:lineRule="exact"/>
        <w:rPr>
          <w:sz w:val="20"/>
          <w:szCs w:val="20"/>
          <w:color w:val="auto"/>
        </w:rPr>
      </w:pPr>
    </w:p>
    <w:p>
      <w:pPr>
        <w:jc w:val="both"/>
        <w:ind w:firstLine="656"/>
        <w:spacing w:after="0" w:line="293" w:lineRule="auto"/>
        <w:tabs>
          <w:tab w:leader="none" w:pos="1846" w:val="left"/>
        </w:tabs>
        <w:numPr>
          <w:ilvl w:val="0"/>
          <w:numId w:val="200"/>
        </w:numPr>
        <w:rPr>
          <w:rFonts w:ascii="Arial" w:cs="Arial" w:eastAsia="Arial" w:hAnsi="Arial"/>
          <w:sz w:val="19"/>
          <w:szCs w:val="19"/>
          <w:color w:val="auto"/>
        </w:rPr>
      </w:pPr>
      <w:r>
        <w:rPr>
          <w:rFonts w:ascii="Arial" w:cs="Arial" w:eastAsia="Arial" w:hAnsi="Arial"/>
          <w:sz w:val="19"/>
          <w:szCs w:val="19"/>
          <w:b w:val="1"/>
          <w:bCs w:val="1"/>
          <w:color w:val="auto"/>
        </w:rPr>
        <w:t xml:space="preserve">Check if Exchange is from beneficial interest in a Restricted Global Note to beneficial interest in an Unrestricted Global Note. </w:t>
      </w:r>
      <w:r>
        <w:rPr>
          <w:rFonts w:ascii="Arial" w:cs="Arial" w:eastAsia="Arial" w:hAnsi="Arial"/>
          <w:sz w:val="19"/>
          <w:szCs w:val="19"/>
          <w:color w:val="auto"/>
        </w:rPr>
        <w:t>In connection with the Exchange of the Owner’s beneficial interest in a Restricted Global Note for a</w:t>
      </w:r>
      <w:r>
        <w:rPr>
          <w:rFonts w:ascii="Arial" w:cs="Arial" w:eastAsia="Arial" w:hAnsi="Arial"/>
          <w:sz w:val="19"/>
          <w:szCs w:val="19"/>
          <w:b w:val="1"/>
          <w:bCs w:val="1"/>
          <w:color w:val="auto"/>
        </w:rPr>
        <w:t xml:space="preserve"> </w:t>
      </w:r>
      <w:r>
        <w:rPr>
          <w:rFonts w:ascii="Arial" w:cs="Arial" w:eastAsia="Arial" w:hAnsi="Arial"/>
          <w:sz w:val="19"/>
          <w:szCs w:val="19"/>
          <w:color w:val="auto"/>
        </w:rPr>
        <w:t>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“Securities Act”), (iii) the restrictions on transfer contained in the Indenture and the Private Placement Legend are not required in order to maintain compliance with the Securities Act and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C-1</w:t>
      </w:r>
    </w:p>
    <w:p>
      <w:pPr>
        <w:sectPr>
          <w:pgSz w:w="11900" w:h="16838" w:orient="portrait"/>
          <w:cols w:equalWidth="0" w:num="1">
            <w:col w:w="11240"/>
          </w:cols>
          <w:pgMar w:left="320" w:top="369" w:right="339" w:bottom="1440" w:gutter="0" w:footer="0" w:header="0"/>
        </w:sectPr>
      </w:pPr>
    </w:p>
    <w:bookmarkStart w:id="179" w:name="page180"/>
    <w:bookmarkEnd w:id="179"/>
    <w:p>
      <w:pPr>
        <w:ind w:right="20" w:firstLine="8"/>
        <w:spacing w:after="0" w:line="263" w:lineRule="auto"/>
        <w:tabs>
          <w:tab w:leader="none" w:pos="37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the beneficial interest in an Unrestricted Global Note is being acquired in compliance with any applicable blue sky securities laws of any state of the United States.</w:t>
      </w:r>
    </w:p>
    <w:p>
      <w:pPr>
        <w:spacing w:after="0" w:line="168" w:lineRule="exact"/>
        <w:rPr>
          <w:rFonts w:ascii="Arial" w:cs="Arial" w:eastAsia="Arial" w:hAnsi="Arial"/>
          <w:sz w:val="22"/>
          <w:szCs w:val="22"/>
          <w:color w:val="auto"/>
        </w:rPr>
      </w:pPr>
    </w:p>
    <w:p>
      <w:pPr>
        <w:jc w:val="both"/>
        <w:ind w:firstLine="656"/>
        <w:spacing w:after="0" w:line="293" w:lineRule="auto"/>
        <w:tabs>
          <w:tab w:leader="none" w:pos="1872" w:val="left"/>
        </w:tabs>
        <w:numPr>
          <w:ilvl w:val="1"/>
          <w:numId w:val="201"/>
        </w:numPr>
        <w:rPr>
          <w:rFonts w:ascii="Arial" w:cs="Arial" w:eastAsia="Arial" w:hAnsi="Arial"/>
          <w:sz w:val="19"/>
          <w:szCs w:val="19"/>
          <w:color w:val="auto"/>
        </w:rPr>
      </w:pPr>
      <w:r>
        <w:rPr>
          <w:rFonts w:ascii="Arial" w:cs="Arial" w:eastAsia="Arial" w:hAnsi="Arial"/>
          <w:sz w:val="19"/>
          <w:szCs w:val="19"/>
          <w:b w:val="1"/>
          <w:bCs w:val="1"/>
          <w:color w:val="auto"/>
        </w:rPr>
        <w:t xml:space="preserve">Check if Exchange is from beneficial interest in a Restricted Global Note to Unrestricted Definitive Note. </w:t>
      </w:r>
      <w:r>
        <w:rPr>
          <w:rFonts w:ascii="Arial" w:cs="Arial" w:eastAsia="Arial" w:hAnsi="Arial"/>
          <w:sz w:val="19"/>
          <w:szCs w:val="19"/>
          <w:color w:val="auto"/>
        </w:rPr>
        <w:t>In connection with the Exchange of the Owner’s beneficial interest in a Restricted Global Note for an Unrestricted</w:t>
      </w:r>
      <w:r>
        <w:rPr>
          <w:rFonts w:ascii="Arial" w:cs="Arial" w:eastAsia="Arial" w:hAnsi="Arial"/>
          <w:sz w:val="19"/>
          <w:szCs w:val="19"/>
          <w:b w:val="1"/>
          <w:bCs w:val="1"/>
          <w:color w:val="auto"/>
        </w:rPr>
        <w:t xml:space="preserve"> </w:t>
      </w:r>
      <w:r>
        <w:rPr>
          <w:rFonts w:ascii="Arial" w:cs="Arial" w:eastAsia="Arial" w:hAnsi="Arial"/>
          <w:sz w:val="19"/>
          <w:szCs w:val="19"/>
          <w:color w:val="auto"/>
        </w:rPr>
        <w:t>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44" w:lineRule="exact"/>
        <w:rPr>
          <w:rFonts w:ascii="Arial" w:cs="Arial" w:eastAsia="Arial" w:hAnsi="Arial"/>
          <w:sz w:val="19"/>
          <w:szCs w:val="19"/>
          <w:color w:val="auto"/>
        </w:rPr>
      </w:pPr>
    </w:p>
    <w:p>
      <w:pPr>
        <w:jc w:val="both"/>
        <w:ind w:firstLine="656"/>
        <w:spacing w:after="0" w:line="293" w:lineRule="auto"/>
        <w:tabs>
          <w:tab w:leader="none" w:pos="1833" w:val="left"/>
        </w:tabs>
        <w:numPr>
          <w:ilvl w:val="1"/>
          <w:numId w:val="201"/>
        </w:numPr>
        <w:rPr>
          <w:rFonts w:ascii="Arial" w:cs="Arial" w:eastAsia="Arial" w:hAnsi="Arial"/>
          <w:sz w:val="19"/>
          <w:szCs w:val="19"/>
          <w:color w:val="auto"/>
        </w:rPr>
      </w:pPr>
      <w:r>
        <w:rPr>
          <w:rFonts w:ascii="Arial" w:cs="Arial" w:eastAsia="Arial" w:hAnsi="Arial"/>
          <w:sz w:val="19"/>
          <w:szCs w:val="19"/>
          <w:b w:val="1"/>
          <w:bCs w:val="1"/>
          <w:color w:val="auto"/>
        </w:rPr>
        <w:t xml:space="preserve">Check if Exchange is from Restricted Definitive Note to beneficial interest in an Unrestricted Global Note. </w:t>
      </w:r>
      <w:r>
        <w:rPr>
          <w:rFonts w:ascii="Arial" w:cs="Arial" w:eastAsia="Arial" w:hAnsi="Arial"/>
          <w:sz w:val="19"/>
          <w:szCs w:val="19"/>
          <w:color w:val="auto"/>
        </w:rPr>
        <w:t>In connection with the Owner’s Exchange of a Restricted Definitive Note for a beneficial interest in an Unrestricted Global</w:t>
      </w:r>
      <w:r>
        <w:rPr>
          <w:rFonts w:ascii="Arial" w:cs="Arial" w:eastAsia="Arial" w:hAnsi="Arial"/>
          <w:sz w:val="19"/>
          <w:szCs w:val="19"/>
          <w:b w:val="1"/>
          <w:bCs w:val="1"/>
          <w:color w:val="auto"/>
        </w:rPr>
        <w:t xml:space="preserve"> </w:t>
      </w:r>
      <w:r>
        <w:rPr>
          <w:rFonts w:ascii="Arial" w:cs="Arial" w:eastAsia="Arial" w:hAnsi="Arial"/>
          <w:sz w:val="19"/>
          <w:szCs w:val="19"/>
          <w:color w:val="auto"/>
        </w:rPr>
        <w:t>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44" w:lineRule="exact"/>
        <w:rPr>
          <w:rFonts w:ascii="Arial" w:cs="Arial" w:eastAsia="Arial" w:hAnsi="Arial"/>
          <w:sz w:val="19"/>
          <w:szCs w:val="19"/>
          <w:color w:val="auto"/>
        </w:rPr>
      </w:pPr>
    </w:p>
    <w:p>
      <w:pPr>
        <w:jc w:val="both"/>
        <w:ind w:firstLine="656"/>
        <w:spacing w:after="0" w:line="293" w:lineRule="auto"/>
        <w:tabs>
          <w:tab w:leader="none" w:pos="1723" w:val="left"/>
        </w:tabs>
        <w:numPr>
          <w:ilvl w:val="1"/>
          <w:numId w:val="201"/>
        </w:numPr>
        <w:rPr>
          <w:rFonts w:ascii="Arial" w:cs="Arial" w:eastAsia="Arial" w:hAnsi="Arial"/>
          <w:sz w:val="19"/>
          <w:szCs w:val="19"/>
          <w:color w:val="auto"/>
        </w:rPr>
      </w:pPr>
      <w:r>
        <w:rPr>
          <w:rFonts w:ascii="Arial" w:cs="Arial" w:eastAsia="Arial" w:hAnsi="Arial"/>
          <w:sz w:val="19"/>
          <w:szCs w:val="19"/>
          <w:b w:val="1"/>
          <w:bCs w:val="1"/>
          <w:color w:val="auto"/>
        </w:rPr>
        <w:t xml:space="preserve">Check if Exchange is from Restricted Definitive Note to Unrestricted Definitive Note. </w:t>
      </w:r>
      <w:r>
        <w:rPr>
          <w:rFonts w:ascii="Arial" w:cs="Arial" w:eastAsia="Arial" w:hAnsi="Arial"/>
          <w:sz w:val="19"/>
          <w:szCs w:val="19"/>
          <w:color w:val="auto"/>
        </w:rPr>
        <w:t>In connection with</w:t>
      </w:r>
      <w:r>
        <w:rPr>
          <w:rFonts w:ascii="Arial" w:cs="Arial" w:eastAsia="Arial" w:hAnsi="Arial"/>
          <w:sz w:val="19"/>
          <w:szCs w:val="19"/>
          <w:b w:val="1"/>
          <w:bCs w:val="1"/>
          <w:color w:val="auto"/>
        </w:rPr>
        <w:t xml:space="preserve"> </w:t>
      </w:r>
      <w:r>
        <w:rPr>
          <w:rFonts w:ascii="Arial" w:cs="Arial" w:eastAsia="Arial" w:hAnsi="Arial"/>
          <w:sz w:val="19"/>
          <w:szCs w:val="19"/>
          <w:color w:val="auto"/>
        </w:rPr>
        <w:t>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44" w:lineRule="exact"/>
        <w:rPr>
          <w:sz w:val="20"/>
          <w:szCs w:val="20"/>
          <w:color w:val="auto"/>
        </w:rPr>
      </w:pPr>
    </w:p>
    <w:p>
      <w:pPr>
        <w:ind w:firstLine="656"/>
        <w:spacing w:after="0" w:line="269" w:lineRule="auto"/>
        <w:tabs>
          <w:tab w:leader="none" w:pos="1296" w:val="left"/>
        </w:tabs>
        <w:numPr>
          <w:ilvl w:val="0"/>
          <w:numId w:val="202"/>
        </w:numPr>
        <w:rPr>
          <w:rFonts w:ascii="Arial" w:cs="Arial" w:eastAsia="Arial" w:hAnsi="Arial"/>
          <w:sz w:val="22"/>
          <w:szCs w:val="22"/>
          <w:color w:val="auto"/>
        </w:rPr>
      </w:pPr>
      <w:r>
        <w:rPr>
          <w:rFonts w:ascii="Arial" w:cs="Arial" w:eastAsia="Arial" w:hAnsi="Arial"/>
          <w:sz w:val="22"/>
          <w:szCs w:val="22"/>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162" w:lineRule="exact"/>
        <w:rPr>
          <w:sz w:val="20"/>
          <w:szCs w:val="20"/>
          <w:color w:val="auto"/>
        </w:rPr>
      </w:pPr>
    </w:p>
    <w:p>
      <w:pPr>
        <w:jc w:val="both"/>
        <w:ind w:firstLine="656"/>
        <w:spacing w:after="0" w:line="249" w:lineRule="auto"/>
        <w:tabs>
          <w:tab w:leader="none" w:pos="1752" w:val="left"/>
        </w:tabs>
        <w:numPr>
          <w:ilvl w:val="0"/>
          <w:numId w:val="203"/>
        </w:numPr>
        <w:rPr>
          <w:rFonts w:ascii="Arial" w:cs="Arial" w:eastAsia="Arial" w:hAnsi="Arial"/>
          <w:sz w:val="22"/>
          <w:szCs w:val="22"/>
          <w:color w:val="auto"/>
        </w:rPr>
      </w:pPr>
      <w:r>
        <w:rPr>
          <w:rFonts w:ascii="Arial" w:cs="Arial" w:eastAsia="Arial" w:hAnsi="Arial"/>
          <w:sz w:val="22"/>
          <w:szCs w:val="22"/>
          <w:b w:val="1"/>
          <w:bCs w:val="1"/>
          <w:color w:val="auto"/>
        </w:rPr>
        <w:t xml:space="preserve">Check if Exchange is from beneficial interest in a Restricted Global Note to Restricted Definitive Note. </w:t>
      </w:r>
      <w:r>
        <w:rPr>
          <w:rFonts w:ascii="Arial" w:cs="Arial" w:eastAsia="Arial" w:hAnsi="Arial"/>
          <w:sz w:val="22"/>
          <w:szCs w:val="22"/>
          <w:color w:val="auto"/>
        </w:rPr>
        <w:t>In 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C-2</w:t>
      </w:r>
    </w:p>
    <w:p>
      <w:pPr>
        <w:sectPr>
          <w:pgSz w:w="11900" w:h="16838" w:orient="portrait"/>
          <w:cols w:equalWidth="0" w:num="1">
            <w:col w:w="11240"/>
          </w:cols>
          <w:pgMar w:left="320" w:top="1428" w:right="339" w:bottom="1440" w:gutter="0" w:footer="0" w:header="0"/>
        </w:sectPr>
      </w:pPr>
    </w:p>
    <w:bookmarkStart w:id="180" w:name="page181"/>
    <w:bookmarkEnd w:id="180"/>
    <w:p>
      <w:pPr>
        <w:spacing w:after="0" w:line="263" w:lineRule="auto"/>
        <w:rPr>
          <w:sz w:val="20"/>
          <w:szCs w:val="20"/>
          <w:color w:val="auto"/>
        </w:rPr>
      </w:pPr>
      <w:r>
        <w:rPr>
          <w:rFonts w:ascii="Arial" w:cs="Arial" w:eastAsia="Arial" w:hAnsi="Arial"/>
          <w:sz w:val="22"/>
          <w:szCs w:val="22"/>
          <w:color w:val="auto"/>
        </w:rPr>
        <w:t>be subject to the restrictions on transfer enumerated in the Private Placement Legend printed on the Restricted Definitive Note and in the Indenture and the Securities Act.</w:t>
      </w:r>
    </w:p>
    <w:p>
      <w:pPr>
        <w:spacing w:after="0" w:line="169" w:lineRule="exact"/>
        <w:rPr>
          <w:sz w:val="20"/>
          <w:szCs w:val="20"/>
          <w:color w:val="auto"/>
        </w:rPr>
      </w:pPr>
    </w:p>
    <w:p>
      <w:pPr>
        <w:jc w:val="both"/>
        <w:ind w:firstLine="656"/>
        <w:spacing w:after="0" w:line="259" w:lineRule="auto"/>
        <w:tabs>
          <w:tab w:leader="none" w:pos="1750" w:val="left"/>
        </w:tabs>
        <w:numPr>
          <w:ilvl w:val="0"/>
          <w:numId w:val="204"/>
        </w:numPr>
        <w:rPr>
          <w:rFonts w:ascii="Arial" w:cs="Arial" w:eastAsia="Arial" w:hAnsi="Arial"/>
          <w:sz w:val="21"/>
          <w:szCs w:val="21"/>
          <w:color w:val="auto"/>
        </w:rPr>
      </w:pPr>
      <w:r>
        <w:rPr>
          <w:rFonts w:ascii="Arial" w:cs="Arial" w:eastAsia="Arial" w:hAnsi="Arial"/>
          <w:sz w:val="21"/>
          <w:szCs w:val="21"/>
          <w:b w:val="1"/>
          <w:bCs w:val="1"/>
          <w:color w:val="auto"/>
        </w:rPr>
        <w:t xml:space="preserve">Check if Exchange is from Restricted Definitive Note to beneficial interest in a Restricted Global Note. </w:t>
      </w:r>
      <w:r>
        <w:rPr>
          <w:rFonts w:ascii="Arial" w:cs="Arial" w:eastAsia="Arial" w:hAnsi="Arial"/>
          <w:sz w:val="21"/>
          <w:szCs w:val="21"/>
          <w:color w:val="auto"/>
        </w:rPr>
        <w:t>In connection with the Exchange of the Owner’s Restricted Definitive Note for a beneficial interest in the [CHECK ONE] 144A Global Note, Regulation S Global Note, IAI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certificate and the statements contained herein are made for your benefit and the benefit of Wynn Resorts Finance.</w:t>
      </w:r>
    </w:p>
    <w:p>
      <w:pPr>
        <w:spacing w:after="0" w:line="25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[Insert Name of Transferor]</w:t>
      </w:r>
    </w:p>
    <w:p>
      <w:pPr>
        <w:spacing w:after="0" w:line="200" w:lineRule="exact"/>
        <w:rPr>
          <w:sz w:val="20"/>
          <w:szCs w:val="20"/>
          <w:color w:val="auto"/>
        </w:rPr>
      </w:pPr>
    </w:p>
    <w:p>
      <w:pPr>
        <w:spacing w:after="0" w:line="29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C-3</w:t>
      </w:r>
    </w:p>
    <w:p>
      <w:pPr>
        <w:sectPr>
          <w:pgSz w:w="11900" w:h="16838" w:orient="portrait"/>
          <w:cols w:equalWidth="0" w:num="1">
            <w:col w:w="11240"/>
          </w:cols>
          <w:pgMar w:left="320" w:top="1428"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22"/>
          <w:szCs w:val="22"/>
          <w:b w:val="1"/>
          <w:bCs w:val="1"/>
          <w:color w:val="auto"/>
        </w:rPr>
        <w:t>EXHIBIT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CERTIFICATE FROM</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ACQUIRING INSTITUTIONAL ACCREDITED INVESTOR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Wynn Resorts Finance,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Wynn Resorts Capital Corp.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3131 Las Vegas Boulevard, South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Las Vegas, Nevada 89109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No.: (702) 770-1100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President</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U.S. Bank National Association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EP-MN-WS3C 60 Livingston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St. Paul, Minnesota 55107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No.: (651) 495-8097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Corporate Trust Department – Wynn Administrator</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 7.750% Senior Notes due 2025</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Reference is hereby made to the Indenture, dated as of April 14, 2020 (the “</w:t>
      </w:r>
      <w:r>
        <w:rPr>
          <w:rFonts w:ascii="Arial" w:cs="Arial" w:eastAsia="Arial" w:hAnsi="Arial"/>
          <w:sz w:val="22"/>
          <w:szCs w:val="22"/>
          <w:i w:val="1"/>
          <w:iCs w:val="1"/>
          <w:u w:val="single" w:color="auto"/>
          <w:color w:val="auto"/>
        </w:rPr>
        <w:t>Indenture</w:t>
      </w:r>
      <w:r>
        <w:rPr>
          <w:rFonts w:ascii="Arial" w:cs="Arial" w:eastAsia="Arial" w:hAnsi="Arial"/>
          <w:sz w:val="22"/>
          <w:szCs w:val="22"/>
          <w:color w:val="auto"/>
        </w:rPr>
        <w:t>”), among Wynn Resorts Finance, LLC, a Nevada limited liability company (“</w:t>
      </w:r>
      <w:r>
        <w:rPr>
          <w:rFonts w:ascii="Arial" w:cs="Arial" w:eastAsia="Arial" w:hAnsi="Arial"/>
          <w:sz w:val="22"/>
          <w:szCs w:val="22"/>
          <w:i w:val="1"/>
          <w:iCs w:val="1"/>
          <w:u w:val="single" w:color="auto"/>
          <w:color w:val="auto"/>
        </w:rPr>
        <w:t>Wynn Resorts Finance</w:t>
      </w:r>
      <w:r>
        <w:rPr>
          <w:rFonts w:ascii="Arial" w:cs="Arial" w:eastAsia="Arial" w:hAnsi="Arial"/>
          <w:sz w:val="22"/>
          <w:szCs w:val="22"/>
          <w:color w:val="auto"/>
        </w:rPr>
        <w:t>”), Wynn Resorts Capital Corp., a Nevada corporation (“</w:t>
      </w:r>
      <w:r>
        <w:rPr>
          <w:rFonts w:ascii="Arial" w:cs="Arial" w:eastAsia="Arial" w:hAnsi="Arial"/>
          <w:sz w:val="22"/>
          <w:szCs w:val="22"/>
          <w:i w:val="1"/>
          <w:iCs w:val="1"/>
          <w:u w:val="single" w:color="auto"/>
          <w:color w:val="auto"/>
        </w:rPr>
        <w:t>Wynn</w:t>
      </w:r>
      <w:r>
        <w:rPr>
          <w:rFonts w:ascii="Arial" w:cs="Arial" w:eastAsia="Arial" w:hAnsi="Arial"/>
          <w:sz w:val="22"/>
          <w:szCs w:val="22"/>
          <w:color w:val="auto"/>
        </w:rPr>
        <w:t xml:space="preserve"> </w:t>
      </w:r>
      <w:r>
        <w:rPr>
          <w:rFonts w:ascii="Arial" w:cs="Arial" w:eastAsia="Arial" w:hAnsi="Arial"/>
          <w:sz w:val="22"/>
          <w:szCs w:val="22"/>
          <w:i w:val="1"/>
          <w:iCs w:val="1"/>
          <w:u w:val="single" w:color="auto"/>
          <w:color w:val="auto"/>
        </w:rPr>
        <w:t>Resorts Capital</w:t>
      </w:r>
      <w:r>
        <w:rPr>
          <w:rFonts w:ascii="Arial" w:cs="Arial" w:eastAsia="Arial" w:hAnsi="Arial"/>
          <w:sz w:val="22"/>
          <w:szCs w:val="22"/>
          <w:color w:val="auto"/>
        </w:rPr>
        <w:t>” and, together with Wynn Resorts Finance, the “</w:t>
      </w:r>
      <w:r>
        <w:rPr>
          <w:rFonts w:ascii="Arial" w:cs="Arial" w:eastAsia="Arial" w:hAnsi="Arial"/>
          <w:sz w:val="22"/>
          <w:szCs w:val="22"/>
          <w:i w:val="1"/>
          <w:iCs w:val="1"/>
          <w:u w:val="single" w:color="auto"/>
          <w:color w:val="auto"/>
        </w:rPr>
        <w:t>Issuers</w:t>
      </w:r>
      <w:r>
        <w:rPr>
          <w:rFonts w:ascii="Arial" w:cs="Arial" w:eastAsia="Arial" w:hAnsi="Arial"/>
          <w:sz w:val="22"/>
          <w:szCs w:val="22"/>
          <w:color w:val="auto"/>
        </w:rPr>
        <w:t>”), the Guarantors party thereto and U.S. Bank National</w:t>
      </w:r>
      <w:r>
        <w:rPr>
          <w:rFonts w:ascii="Arial" w:cs="Arial" w:eastAsia="Arial" w:hAnsi="Arial"/>
          <w:sz w:val="22"/>
          <w:szCs w:val="22"/>
          <w:i w:val="1"/>
          <w:iCs w:val="1"/>
          <w:color w:val="auto"/>
        </w:rPr>
        <w:t xml:space="preserve"> </w:t>
      </w:r>
      <w:r>
        <w:rPr>
          <w:rFonts w:ascii="Arial" w:cs="Arial" w:eastAsia="Arial" w:hAnsi="Arial"/>
          <w:sz w:val="22"/>
          <w:szCs w:val="22"/>
          <w:color w:val="auto"/>
        </w:rPr>
        <w:t>Association, as trustee (the “</w:t>
      </w:r>
      <w:r>
        <w:rPr>
          <w:rFonts w:ascii="Arial" w:cs="Arial" w:eastAsia="Arial" w:hAnsi="Arial"/>
          <w:sz w:val="22"/>
          <w:szCs w:val="22"/>
          <w:i w:val="1"/>
          <w:iCs w:val="1"/>
          <w:u w:val="single" w:color="auto"/>
          <w:color w:val="auto"/>
        </w:rPr>
        <w:t>Trustee</w:t>
      </w:r>
      <w:r>
        <w:rPr>
          <w:rFonts w:ascii="Arial" w:cs="Arial" w:eastAsia="Arial" w:hAnsi="Arial"/>
          <w:sz w:val="22"/>
          <w:szCs w:val="22"/>
          <w:color w:val="auto"/>
        </w:rPr>
        <w:t>”). Capitalized terms used but not defined herein shall have the meanings given to them in the Indenture.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connection with our proposed purchase of $____________ aggregate principal amount of:</w:t>
      </w:r>
    </w:p>
    <w:p>
      <w:pPr>
        <w:spacing w:after="0" w:line="220" w:lineRule="exact"/>
        <w:rPr>
          <w:sz w:val="20"/>
          <w:szCs w:val="20"/>
          <w:color w:val="auto"/>
        </w:rPr>
      </w:pPr>
    </w:p>
    <w:p>
      <w:pPr>
        <w:ind w:left="1740" w:hanging="1084"/>
        <w:spacing w:after="0"/>
        <w:tabs>
          <w:tab w:leader="none" w:pos="174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a beneficial interest in a Global Note, or</w:t>
      </w:r>
    </w:p>
    <w:p>
      <w:pPr>
        <w:spacing w:after="0" w:line="219" w:lineRule="exact"/>
        <w:rPr>
          <w:rFonts w:ascii="Arial" w:cs="Arial" w:eastAsia="Arial" w:hAnsi="Arial"/>
          <w:sz w:val="22"/>
          <w:szCs w:val="22"/>
          <w:color w:val="auto"/>
        </w:rPr>
      </w:pPr>
    </w:p>
    <w:p>
      <w:pPr>
        <w:ind w:left="1740" w:hanging="1084"/>
        <w:spacing w:after="0"/>
        <w:tabs>
          <w:tab w:leader="none" w:pos="174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a Definitive Note,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confirm that:</w:t>
      </w:r>
    </w:p>
    <w:p>
      <w:pPr>
        <w:spacing w:after="0" w:line="220" w:lineRule="exact"/>
        <w:rPr>
          <w:sz w:val="20"/>
          <w:szCs w:val="20"/>
          <w:color w:val="auto"/>
        </w:rPr>
      </w:pPr>
    </w:p>
    <w:p>
      <w:pPr>
        <w:jc w:val="both"/>
        <w:ind w:firstLine="656"/>
        <w:spacing w:after="0" w:line="250" w:lineRule="auto"/>
        <w:tabs>
          <w:tab w:leader="none" w:pos="1296" w:val="left"/>
        </w:tabs>
        <w:numPr>
          <w:ilvl w:val="0"/>
          <w:numId w:val="206"/>
        </w:numPr>
        <w:rPr>
          <w:rFonts w:ascii="Arial" w:cs="Arial" w:eastAsia="Arial" w:hAnsi="Arial"/>
          <w:sz w:val="22"/>
          <w:szCs w:val="22"/>
          <w:color w:val="auto"/>
        </w:rPr>
      </w:pPr>
      <w:r>
        <w:rPr>
          <w:rFonts w:ascii="Arial" w:cs="Arial" w:eastAsia="Arial" w:hAnsi="Arial"/>
          <w:sz w:val="22"/>
          <w:szCs w:val="22"/>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Arial" w:cs="Arial" w:eastAsia="Arial" w:hAnsi="Arial"/>
          <w:sz w:val="22"/>
          <w:szCs w:val="22"/>
          <w:i w:val="1"/>
          <w:iCs w:val="1"/>
          <w:u w:val="single" w:color="auto"/>
          <w:color w:val="auto"/>
        </w:rPr>
        <w:t>Securities Act</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firstLine="656"/>
        <w:spacing w:after="0" w:line="265" w:lineRule="auto"/>
        <w:tabs>
          <w:tab w:leader="none" w:pos="1296" w:val="left"/>
        </w:tabs>
        <w:numPr>
          <w:ilvl w:val="0"/>
          <w:numId w:val="206"/>
        </w:numPr>
        <w:rPr>
          <w:rFonts w:ascii="Arial" w:cs="Arial" w:eastAsia="Arial" w:hAnsi="Arial"/>
          <w:sz w:val="21"/>
          <w:szCs w:val="21"/>
          <w:color w:val="auto"/>
        </w:rPr>
      </w:pPr>
      <w:r>
        <w:rPr>
          <w:rFonts w:ascii="Arial" w:cs="Arial" w:eastAsia="Arial" w:hAnsi="Arial"/>
          <w:sz w:val="21"/>
          <w:szCs w:val="21"/>
          <w:color w:val="auto"/>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Wynn Resorts Finance or any subsidiary thereof, (B) in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D-1</w:t>
      </w:r>
    </w:p>
    <w:p>
      <w:pPr>
        <w:sectPr>
          <w:pgSz w:w="11900" w:h="16838" w:orient="portrait"/>
          <w:cols w:equalWidth="0" w:num="1">
            <w:col w:w="11240"/>
          </w:cols>
          <w:pgMar w:left="320" w:top="126" w:right="339" w:bottom="1440" w:gutter="0" w:footer="0" w:header="0"/>
        </w:sectPr>
      </w:pPr>
    </w:p>
    <w:bookmarkStart w:id="182" w:name="page183"/>
    <w:bookmarkEnd w:id="182"/>
    <w:p>
      <w:pPr>
        <w:jc w:val="both"/>
        <w:spacing w:after="0" w:line="284" w:lineRule="auto"/>
        <w:rPr>
          <w:sz w:val="20"/>
          <w:szCs w:val="20"/>
          <w:color w:val="auto"/>
        </w:rPr>
      </w:pPr>
      <w:r>
        <w:rPr>
          <w:rFonts w:ascii="Arial" w:cs="Arial" w:eastAsia="Arial" w:hAnsi="Arial"/>
          <w:sz w:val="19"/>
          <w:szCs w:val="19"/>
          <w:color w:val="auto"/>
        </w:rPr>
        <w:t>accordance with Rule 144A under the Securities Act to a “qualified institutional buyer” (as defined therein), (C) to an institutional “accredited investor” (as defined below) that, prior to such transfer, furnishes (or has furnished on its behalf by a U.S. broker-dealer) to you and to Wynn Resorts Finance a signed letter substantially in the form of this letter and an Opinion of Counsel in form reasonably acceptable to Wynn Resorts Finance to the effect that such transfer is in compliance with the Securities Act, (D) outside the United States in accordance with Rule 904 of Regulation S under the Securities Act, or (E) pursuant to the provisions of Rule 144(k) under the Securities Act, and we further agree to provide to any Person purchasing the Definitive Note or beneficial interest in a Global Note from us in a transaction meeting the requirements of clauses (A) through</w:t>
      </w:r>
    </w:p>
    <w:p>
      <w:pPr>
        <w:spacing w:after="0" w:line="4" w:lineRule="exact"/>
        <w:rPr>
          <w:sz w:val="20"/>
          <w:szCs w:val="20"/>
          <w:color w:val="auto"/>
        </w:rPr>
      </w:pPr>
    </w:p>
    <w:p>
      <w:pPr>
        <w:ind w:left="340" w:hanging="332"/>
        <w:spacing w:after="0"/>
        <w:tabs>
          <w:tab w:leader="none" w:pos="34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of this paragraph a notice advising such purchaser that resales thereof are restricted as stated herein.</w:t>
      </w:r>
    </w:p>
    <w:p>
      <w:pPr>
        <w:spacing w:after="0" w:line="201" w:lineRule="exact"/>
        <w:rPr>
          <w:rFonts w:ascii="Arial" w:cs="Arial" w:eastAsia="Arial" w:hAnsi="Arial"/>
          <w:sz w:val="22"/>
          <w:szCs w:val="22"/>
          <w:color w:val="auto"/>
        </w:rPr>
      </w:pPr>
    </w:p>
    <w:p>
      <w:pPr>
        <w:jc w:val="both"/>
        <w:ind w:firstLine="656"/>
        <w:spacing w:after="0" w:line="265" w:lineRule="auto"/>
        <w:tabs>
          <w:tab w:leader="none" w:pos="1296" w:val="left"/>
        </w:tabs>
        <w:numPr>
          <w:ilvl w:val="1"/>
          <w:numId w:val="207"/>
        </w:numPr>
        <w:rPr>
          <w:rFonts w:ascii="Arial" w:cs="Arial" w:eastAsia="Arial" w:hAnsi="Arial"/>
          <w:sz w:val="21"/>
          <w:szCs w:val="21"/>
          <w:color w:val="auto"/>
        </w:rPr>
      </w:pPr>
      <w:r>
        <w:rPr>
          <w:rFonts w:ascii="Arial" w:cs="Arial" w:eastAsia="Arial" w:hAnsi="Arial"/>
          <w:sz w:val="21"/>
          <w:szCs w:val="21"/>
          <w:color w:val="auto"/>
        </w:rPr>
        <w:t>We understand that, on any proposed resale of the Notes or beneficial interest therein, we will be required to furnish to you and Wynn Resorts Finance such certifications, legal opinions and other information as you and Wynn Resorts Finance may reasonably require to confirm that the proposed sale complies with the foregoing restrictions. We further understand that the Notes purchased by us will bear a legend to the foregoing effect.</w:t>
      </w:r>
    </w:p>
    <w:p>
      <w:pPr>
        <w:spacing w:after="0" w:line="175" w:lineRule="exact"/>
        <w:rPr>
          <w:rFonts w:ascii="Arial" w:cs="Arial" w:eastAsia="Arial" w:hAnsi="Arial"/>
          <w:sz w:val="21"/>
          <w:szCs w:val="21"/>
          <w:color w:val="auto"/>
        </w:rPr>
      </w:pPr>
    </w:p>
    <w:p>
      <w:pPr>
        <w:jc w:val="both"/>
        <w:ind w:firstLine="656"/>
        <w:spacing w:after="0" w:line="250" w:lineRule="auto"/>
        <w:tabs>
          <w:tab w:leader="none" w:pos="1296" w:val="left"/>
        </w:tabs>
        <w:numPr>
          <w:ilvl w:val="1"/>
          <w:numId w:val="207"/>
        </w:numPr>
        <w:rPr>
          <w:rFonts w:ascii="Arial" w:cs="Arial" w:eastAsia="Arial" w:hAnsi="Arial"/>
          <w:sz w:val="22"/>
          <w:szCs w:val="22"/>
          <w:color w:val="auto"/>
        </w:rPr>
      </w:pPr>
      <w:r>
        <w:rPr>
          <w:rFonts w:ascii="Arial" w:cs="Arial" w:eastAsia="Arial" w:hAnsi="Arial"/>
          <w:sz w:val="22"/>
          <w:szCs w:val="22"/>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87" w:lineRule="exact"/>
        <w:rPr>
          <w:rFonts w:ascii="Arial" w:cs="Arial" w:eastAsia="Arial" w:hAnsi="Arial"/>
          <w:sz w:val="22"/>
          <w:szCs w:val="22"/>
          <w:color w:val="auto"/>
        </w:rPr>
      </w:pPr>
    </w:p>
    <w:p>
      <w:pPr>
        <w:ind w:firstLine="656"/>
        <w:spacing w:after="0" w:line="343" w:lineRule="auto"/>
        <w:tabs>
          <w:tab w:leader="none" w:pos="1296" w:val="left"/>
        </w:tabs>
        <w:numPr>
          <w:ilvl w:val="1"/>
          <w:numId w:val="207"/>
        </w:numPr>
        <w:rPr>
          <w:rFonts w:ascii="Arial" w:cs="Arial" w:eastAsia="Arial" w:hAnsi="Arial"/>
          <w:sz w:val="19"/>
          <w:szCs w:val="19"/>
          <w:color w:val="auto"/>
        </w:rPr>
      </w:pPr>
      <w:r>
        <w:rPr>
          <w:rFonts w:ascii="Arial" w:cs="Arial" w:eastAsia="Arial" w:hAnsi="Arial"/>
          <w:sz w:val="19"/>
          <w:szCs w:val="19"/>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1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You and Wynn Resorts Finance are entitled to rely upon this letter and are irrevocably authorized to produce this letter or a copy hereof to any interested party in any administrative or legal proceedings or official inquiry with respect to the matters covered hereby.</w:t>
      </w:r>
    </w:p>
    <w:p>
      <w:pPr>
        <w:spacing w:after="0" w:line="185"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[Insert Name of Accredited Investor]</w:t>
      </w:r>
    </w:p>
    <w:p>
      <w:pPr>
        <w:spacing w:after="0" w:line="200" w:lineRule="exact"/>
        <w:rPr>
          <w:sz w:val="20"/>
          <w:szCs w:val="20"/>
          <w:color w:val="auto"/>
        </w:rPr>
      </w:pPr>
    </w:p>
    <w:p>
      <w:pPr>
        <w:spacing w:after="0" w:line="29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D-2</w:t>
      </w:r>
    </w:p>
    <w:p>
      <w:pPr>
        <w:sectPr>
          <w:pgSz w:w="11900" w:h="16838" w:orient="portrait"/>
          <w:cols w:equalWidth="0" w:num="1">
            <w:col w:w="11240"/>
          </w:cols>
          <w:pgMar w:left="320" w:top="1428"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22"/>
          <w:szCs w:val="22"/>
          <w:b w:val="1"/>
          <w:bCs w:val="1"/>
          <w:color w:val="auto"/>
        </w:rPr>
        <w:t>EXHIBIT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NOTATION OF GUARANTEE]</w:t>
      </w:r>
    </w:p>
    <w:p>
      <w:pPr>
        <w:spacing w:after="0" w:line="22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For value received, each of the Guarantors (which terms include any successor Person under the Indenture) executing this Notation of Guarantee has, jointly and severally, unconditionally guaranteed, to the extent set forth in the Indenture and subject to the provisions in the Indenture dated as of April 14, 2020 (the “</w:t>
      </w:r>
      <w:r>
        <w:rPr>
          <w:rFonts w:ascii="Arial" w:cs="Arial" w:eastAsia="Arial" w:hAnsi="Arial"/>
          <w:sz w:val="19"/>
          <w:szCs w:val="19"/>
          <w:i w:val="1"/>
          <w:iCs w:val="1"/>
          <w:u w:val="single" w:color="auto"/>
          <w:color w:val="auto"/>
        </w:rPr>
        <w:t>Indenture</w:t>
      </w:r>
      <w:r>
        <w:rPr>
          <w:rFonts w:ascii="Arial" w:cs="Arial" w:eastAsia="Arial" w:hAnsi="Arial"/>
          <w:sz w:val="19"/>
          <w:szCs w:val="19"/>
          <w:color w:val="auto"/>
        </w:rPr>
        <w:t>”) among Wynn Resorts Finance, LLC, a Nevada limited liability company (“</w:t>
      </w:r>
      <w:r>
        <w:rPr>
          <w:rFonts w:ascii="Arial" w:cs="Arial" w:eastAsia="Arial" w:hAnsi="Arial"/>
          <w:sz w:val="19"/>
          <w:szCs w:val="19"/>
          <w:i w:val="1"/>
          <w:iCs w:val="1"/>
          <w:u w:val="single" w:color="auto"/>
          <w:color w:val="auto"/>
        </w:rPr>
        <w:t>Wynn Resorts Finance</w:t>
      </w:r>
      <w:r>
        <w:rPr>
          <w:rFonts w:ascii="Arial" w:cs="Arial" w:eastAsia="Arial" w:hAnsi="Arial"/>
          <w:sz w:val="19"/>
          <w:szCs w:val="19"/>
          <w:color w:val="auto"/>
        </w:rPr>
        <w:t>”) and Wynn Resorts Capital Corp., a Nevada corporation (“</w:t>
      </w:r>
      <w:r>
        <w:rPr>
          <w:rFonts w:ascii="Arial" w:cs="Arial" w:eastAsia="Arial" w:hAnsi="Arial"/>
          <w:sz w:val="19"/>
          <w:szCs w:val="19"/>
          <w:i w:val="1"/>
          <w:iCs w:val="1"/>
          <w:u w:val="single" w:color="auto"/>
          <w:color w:val="auto"/>
        </w:rPr>
        <w:t>Wynn Resorts</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Capital</w:t>
      </w:r>
      <w:r>
        <w:rPr>
          <w:rFonts w:ascii="Arial" w:cs="Arial" w:eastAsia="Arial" w:hAnsi="Arial"/>
          <w:sz w:val="19"/>
          <w:szCs w:val="19"/>
          <w:color w:val="auto"/>
        </w:rPr>
        <w:t>,” and together with Wynn Resorts Finance, the “</w:t>
      </w:r>
      <w:r>
        <w:rPr>
          <w:rFonts w:ascii="Arial" w:cs="Arial" w:eastAsia="Arial" w:hAnsi="Arial"/>
          <w:sz w:val="19"/>
          <w:szCs w:val="19"/>
          <w:i w:val="1"/>
          <w:iCs w:val="1"/>
          <w:u w:val="single" w:color="auto"/>
          <w:color w:val="auto"/>
        </w:rPr>
        <w:t>Issuers</w:t>
      </w:r>
      <w:r>
        <w:rPr>
          <w:rFonts w:ascii="Arial" w:cs="Arial" w:eastAsia="Arial" w:hAnsi="Arial"/>
          <w:sz w:val="19"/>
          <w:szCs w:val="19"/>
          <w:color w:val="auto"/>
        </w:rPr>
        <w:t>”), as joint and several obligors, and EBH Holdings, LLC, a</w:t>
      </w:r>
      <w:r>
        <w:rPr>
          <w:rFonts w:ascii="Arial" w:cs="Arial" w:eastAsia="Arial" w:hAnsi="Arial"/>
          <w:sz w:val="19"/>
          <w:szCs w:val="19"/>
          <w:i w:val="1"/>
          <w:iCs w:val="1"/>
          <w:color w:val="auto"/>
        </w:rPr>
        <w:t xml:space="preserve"> </w:t>
      </w:r>
      <w:r>
        <w:rPr>
          <w:rFonts w:ascii="Arial" w:cs="Arial" w:eastAsia="Arial" w:hAnsi="Arial"/>
          <w:sz w:val="19"/>
          <w:szCs w:val="19"/>
          <w:color w:val="auto"/>
        </w:rPr>
        <w:t>Nevada limited liability company, EBH MA Property, LLC, a Massachusetts limited liability company, Wynn Group Asia, Inc., a Nevada corporation, Everett Property, LLC, a Massachusetts limited liability company, Wynn America Group, LLC, a Nevada limited liability company, Wynn Las Vegas Holdings, LLC, a Nevada limited liability company, Wynn Las Vegas, LLC, a Nevada limited liability company, Wynn MA, LLC, a Nevada limited liability company, Wynn Sunrise, LLC, a Nevada limited liability company and Wynn Las Vegas Capital Corp., a Nevada corporation, as guarantors (the “</w:t>
      </w:r>
      <w:r>
        <w:rPr>
          <w:rFonts w:ascii="Arial" w:cs="Arial" w:eastAsia="Arial" w:hAnsi="Arial"/>
          <w:sz w:val="19"/>
          <w:szCs w:val="19"/>
          <w:i w:val="1"/>
          <w:iCs w:val="1"/>
          <w:u w:val="single" w:color="auto"/>
          <w:color w:val="auto"/>
        </w:rPr>
        <w:t>Guarantors</w:t>
      </w:r>
      <w:r>
        <w:rPr>
          <w:rFonts w:ascii="Arial" w:cs="Arial" w:eastAsia="Arial" w:hAnsi="Arial"/>
          <w:sz w:val="19"/>
          <w:szCs w:val="19"/>
          <w:color w:val="auto"/>
        </w:rPr>
        <w:t>”) and U.S. Bank National Association, as trustee (the “</w:t>
      </w:r>
      <w:r>
        <w:rPr>
          <w:rFonts w:ascii="Arial" w:cs="Arial" w:eastAsia="Arial" w:hAnsi="Arial"/>
          <w:sz w:val="19"/>
          <w:szCs w:val="19"/>
          <w:i w:val="1"/>
          <w:iCs w:val="1"/>
          <w:u w:val="single" w:color="auto"/>
          <w:color w:val="auto"/>
        </w:rPr>
        <w:t>Trustee</w:t>
      </w:r>
      <w:r>
        <w:rPr>
          <w:rFonts w:ascii="Arial" w:cs="Arial" w:eastAsia="Arial" w:hAnsi="Arial"/>
          <w:sz w:val="19"/>
          <w:szCs w:val="19"/>
          <w:color w:val="auto"/>
        </w:rPr>
        <w:t>”), (a) the due and punctual payment of the principal of, premium, if any, and interest on the Notes (as defined in the Indenture), whether at maturity, by acceleration, redemption or otherwise, the due and punctual payment of interest on overdue principal of and interest on the Notes, if any, if lawful, and the due and punctual performance of all other obligations of the Issuers to the Holders or the Trustee all in accordance with the terms of the Indenture and (b) in case of any extension of time of payment or renewal of any Notes or any of such other obligations, that the same shall be promptly paid in full when due or performed in accordance with the terms of the extension or renewal, whether at stated maturity, by acceleration or otherwise. The obligations of the Guarantor(s) to the Holders of Notes and to the Trustee pursuant to the Note Guarantee and the Indenture are expressly set forth in Article 11 of the Indenture and reference is hereby made to the Indenture for the precise terms of the Note Guarantee. Each Holder of a Note, by accepting the same, (a) agrees to and shall be bound by such provisions and (b) appoints the Trustee attorney-in-fact of such Holder for such purpose.</w:t>
      </w:r>
    </w:p>
    <w:p>
      <w:pPr>
        <w:spacing w:after="0" w:line="17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 of Guarantor(s)]</w:t>
      </w:r>
    </w:p>
    <w:p>
      <w:pPr>
        <w:spacing w:after="0" w:line="200" w:lineRule="exact"/>
        <w:rPr>
          <w:sz w:val="20"/>
          <w:szCs w:val="20"/>
          <w:color w:val="auto"/>
        </w:rPr>
      </w:pPr>
    </w:p>
    <w:p>
      <w:pPr>
        <w:spacing w:after="0" w:line="29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-17780</wp:posOffset>
            </wp:positionV>
            <wp:extent cx="137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E-1</w:t>
      </w:r>
    </w:p>
    <w:p>
      <w:pPr>
        <w:sectPr>
          <w:pgSz w:w="11900" w:h="16838" w:orient="portrait"/>
          <w:cols w:equalWidth="0" w:num="1">
            <w:col w:w="11240"/>
          </w:cols>
          <w:pgMar w:left="320" w:top="126"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22"/>
          <w:szCs w:val="22"/>
          <w:b w:val="1"/>
          <w:bCs w:val="1"/>
          <w:color w:val="auto"/>
        </w:rPr>
        <w:t>EXHIBIT 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SUPPLEMENTAL INDENTURE TO BE DELIVERED BY SUBSEQUENT GUARANTORS]</w:t>
      </w:r>
    </w:p>
    <w:p>
      <w:pPr>
        <w:spacing w:after="0" w:line="220" w:lineRule="exact"/>
        <w:rPr>
          <w:sz w:val="20"/>
          <w:szCs w:val="20"/>
          <w:color w:val="auto"/>
        </w:rPr>
      </w:pPr>
    </w:p>
    <w:p>
      <w:pPr>
        <w:ind w:left="660"/>
        <w:spacing w:after="0"/>
        <w:tabs>
          <w:tab w:leader="none" w:pos="2040" w:val="left"/>
          <w:tab w:leader="none" w:pos="3080" w:val="left"/>
          <w:tab w:leader="none" w:pos="3680" w:val="left"/>
          <w:tab w:leader="none" w:pos="5180" w:val="left"/>
          <w:tab w:leader="none" w:pos="6440" w:val="left"/>
          <w:tab w:leader="none" w:pos="7120" w:val="left"/>
          <w:tab w:leader="none" w:pos="7520" w:val="left"/>
          <w:tab w:leader="none" w:pos="7920" w:val="left"/>
          <w:tab w:leader="none" w:pos="9920" w:val="left"/>
          <w:tab w:leader="none" w:pos="10620" w:val="left"/>
        </w:tabs>
        <w:rPr>
          <w:sz w:val="20"/>
          <w:szCs w:val="20"/>
          <w:color w:val="auto"/>
        </w:rPr>
      </w:pPr>
      <w:r>
        <w:rPr>
          <w:rFonts w:ascii="Arial" w:cs="Arial" w:eastAsia="Arial" w:hAnsi="Arial"/>
          <w:sz w:val="22"/>
          <w:szCs w:val="22"/>
          <w:color w:val="auto"/>
        </w:rPr>
        <w:t>Supplemental</w:t>
        <w:tab/>
        <w:t>Indenture</w:t>
        <w:tab/>
        <w:t>(this</w:t>
        <w:tab/>
        <w:t>“</w:t>
      </w:r>
      <w:r>
        <w:rPr>
          <w:rFonts w:ascii="Arial" w:cs="Arial" w:eastAsia="Arial" w:hAnsi="Arial"/>
          <w:sz w:val="22"/>
          <w:szCs w:val="22"/>
          <w:i w:val="1"/>
          <w:iCs w:val="1"/>
          <w:u w:val="single" w:color="auto"/>
          <w:color w:val="auto"/>
        </w:rPr>
        <w:t>Supplemental</w:t>
      </w:r>
      <w:r>
        <w:rPr>
          <w:sz w:val="20"/>
          <w:szCs w:val="20"/>
          <w:color w:val="auto"/>
        </w:rPr>
        <w:tab/>
      </w:r>
      <w:r>
        <w:rPr>
          <w:rFonts w:ascii="Arial" w:cs="Arial" w:eastAsia="Arial" w:hAnsi="Arial"/>
          <w:sz w:val="22"/>
          <w:szCs w:val="22"/>
          <w:i w:val="1"/>
          <w:iCs w:val="1"/>
          <w:u w:val="single" w:color="auto"/>
          <w:color w:val="auto"/>
        </w:rPr>
        <w:t>Indenture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dated</w:t>
        <w:tab/>
        <w:t>as</w:t>
        <w:tab/>
        <w:t>of</w:t>
        <w:tab/>
        <w:t>________________,</w:t>
        <w:tab/>
        <w:t>20__,</w:t>
      </w:r>
      <w:r>
        <w:rPr>
          <w:sz w:val="20"/>
          <w:szCs w:val="20"/>
          <w:color w:val="auto"/>
        </w:rPr>
        <w:tab/>
      </w:r>
      <w:r>
        <w:rPr>
          <w:rFonts w:ascii="Arial" w:cs="Arial" w:eastAsia="Arial" w:hAnsi="Arial"/>
          <w:sz w:val="19"/>
          <w:szCs w:val="19"/>
          <w:color w:val="auto"/>
        </w:rPr>
        <w:t>among</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 (the “</w:t>
      </w:r>
      <w:r>
        <w:rPr>
          <w:rFonts w:ascii="Arial" w:cs="Arial" w:eastAsia="Arial" w:hAnsi="Arial"/>
          <w:sz w:val="19"/>
          <w:szCs w:val="19"/>
          <w:i w:val="1"/>
          <w:iCs w:val="1"/>
          <w:u w:val="single" w:color="auto"/>
          <w:color w:val="auto"/>
        </w:rPr>
        <w:t>Guaranteeing Subsidiary</w:t>
      </w:r>
      <w:r>
        <w:rPr>
          <w:rFonts w:ascii="Arial" w:cs="Arial" w:eastAsia="Arial" w:hAnsi="Arial"/>
          <w:sz w:val="19"/>
          <w:szCs w:val="19"/>
          <w:color w:val="auto"/>
        </w:rPr>
        <w:t>”), a subsidiary of Wynn Resorts Finance, LLC, a Nevada limited liability</w:t>
      </w:r>
    </w:p>
    <w:p>
      <w:pPr>
        <w:spacing w:after="0" w:line="3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company (“</w:t>
      </w:r>
      <w:r>
        <w:rPr>
          <w:rFonts w:ascii="Arial" w:cs="Arial" w:eastAsia="Arial" w:hAnsi="Arial"/>
          <w:sz w:val="22"/>
          <w:szCs w:val="22"/>
          <w:i w:val="1"/>
          <w:iCs w:val="1"/>
          <w:u w:val="single" w:color="auto"/>
          <w:color w:val="auto"/>
        </w:rPr>
        <w:t>Wynn Resorts Finance</w:t>
      </w:r>
      <w:r>
        <w:rPr>
          <w:rFonts w:ascii="Arial" w:cs="Arial" w:eastAsia="Arial" w:hAnsi="Arial"/>
          <w:sz w:val="22"/>
          <w:szCs w:val="22"/>
          <w:color w:val="auto"/>
        </w:rPr>
        <w:t>”), Wynn Resorts Capital Corp., a Nevada corporation (“</w:t>
      </w:r>
      <w:r>
        <w:rPr>
          <w:rFonts w:ascii="Arial" w:cs="Arial" w:eastAsia="Arial" w:hAnsi="Arial"/>
          <w:sz w:val="22"/>
          <w:szCs w:val="22"/>
          <w:i w:val="1"/>
          <w:iCs w:val="1"/>
          <w:u w:val="single" w:color="auto"/>
          <w:color w:val="auto"/>
        </w:rPr>
        <w:t>Wynn Resorts Capital</w:t>
      </w:r>
      <w:r>
        <w:rPr>
          <w:rFonts w:ascii="Arial" w:cs="Arial" w:eastAsia="Arial" w:hAnsi="Arial"/>
          <w:sz w:val="22"/>
          <w:szCs w:val="22"/>
          <w:color w:val="auto"/>
        </w:rPr>
        <w:t>,” and together with Wynn Resorts Finance, the “</w:t>
      </w:r>
      <w:r>
        <w:rPr>
          <w:rFonts w:ascii="Arial" w:cs="Arial" w:eastAsia="Arial" w:hAnsi="Arial"/>
          <w:sz w:val="22"/>
          <w:szCs w:val="22"/>
          <w:i w:val="1"/>
          <w:iCs w:val="1"/>
          <w:u w:val="single" w:color="auto"/>
          <w:color w:val="auto"/>
        </w:rPr>
        <w:t>Issuers</w:t>
      </w:r>
      <w:r>
        <w:rPr>
          <w:rFonts w:ascii="Arial" w:cs="Arial" w:eastAsia="Arial" w:hAnsi="Arial"/>
          <w:sz w:val="22"/>
          <w:szCs w:val="22"/>
          <w:color w:val="auto"/>
        </w:rPr>
        <w:t>”) and the Guarantors (as defined in the Indenture referred to herein) and U.S. Bank National Association, as trustee under the Indenture referred to below (the “</w:t>
      </w:r>
      <w:r>
        <w:rPr>
          <w:rFonts w:ascii="Arial" w:cs="Arial" w:eastAsia="Arial" w:hAnsi="Arial"/>
          <w:sz w:val="22"/>
          <w:szCs w:val="22"/>
          <w:i w:val="1"/>
          <w:iCs w:val="1"/>
          <w:u w:val="single" w:color="auto"/>
          <w:color w:val="auto"/>
        </w:rPr>
        <w:t>Trustee</w:t>
      </w:r>
      <w:r>
        <w:rPr>
          <w:rFonts w:ascii="Arial" w:cs="Arial" w:eastAsia="Arial" w:hAnsi="Arial"/>
          <w:sz w:val="22"/>
          <w:szCs w:val="22"/>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Issuers have heretofore executed and delivered to the Trustee an indenture (the “</w:t>
      </w:r>
      <w:r>
        <w:rPr>
          <w:rFonts w:ascii="Arial" w:cs="Arial" w:eastAsia="Arial" w:hAnsi="Arial"/>
          <w:sz w:val="22"/>
          <w:szCs w:val="22"/>
          <w:i w:val="1"/>
          <w:iCs w:val="1"/>
          <w:u w:val="single" w:color="auto"/>
          <w:color w:val="auto"/>
        </w:rPr>
        <w:t>Indenture</w:t>
      </w:r>
      <w:r>
        <w:rPr>
          <w:rFonts w:ascii="Arial" w:cs="Arial" w:eastAsia="Arial" w:hAnsi="Arial"/>
          <w:sz w:val="22"/>
          <w:szCs w:val="22"/>
          <w:color w:val="auto"/>
        </w:rPr>
        <w:t>”), dated as of April 14, 2020 providing for the issuance of an aggregate principal amount of $600,000,000 of 7.750% Senior Notes due 2025 (the “</w:t>
      </w:r>
      <w:r>
        <w:rPr>
          <w:rFonts w:ascii="Arial" w:cs="Arial" w:eastAsia="Arial" w:hAnsi="Arial"/>
          <w:sz w:val="22"/>
          <w:szCs w:val="22"/>
          <w:i w:val="1"/>
          <w:iCs w:val="1"/>
          <w:u w:val="single" w:color="auto"/>
          <w:color w:val="auto"/>
        </w:rPr>
        <w:t>Notes</w:t>
      </w:r>
      <w:r>
        <w:rPr>
          <w:rFonts w:ascii="Arial" w:cs="Arial" w:eastAsia="Arial" w:hAnsi="Arial"/>
          <w:sz w:val="22"/>
          <w:szCs w:val="22"/>
          <w:color w:val="auto"/>
        </w:rPr>
        <w:t>”);</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(the “</w:t>
      </w:r>
      <w:r>
        <w:rPr>
          <w:rFonts w:ascii="Arial" w:cs="Arial" w:eastAsia="Arial" w:hAnsi="Arial"/>
          <w:sz w:val="22"/>
          <w:szCs w:val="22"/>
          <w:i w:val="1"/>
          <w:iCs w:val="1"/>
          <w:u w:val="single" w:color="auto"/>
          <w:color w:val="auto"/>
        </w:rPr>
        <w:t>Note Guarantee</w:t>
      </w:r>
      <w:r>
        <w:rPr>
          <w:rFonts w:ascii="Arial" w:cs="Arial" w:eastAsia="Arial" w:hAnsi="Arial"/>
          <w:sz w:val="22"/>
          <w:szCs w:val="22"/>
          <w:color w:val="auto"/>
        </w:rPr>
        <w:t>”); and</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pursuant to Section 9.01 of the Indenture, the Trustee is authorized to execute and deliver this Supplemental Indenture.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5" w:lineRule="exact"/>
        <w:rPr>
          <w:sz w:val="20"/>
          <w:szCs w:val="20"/>
          <w:color w:val="auto"/>
        </w:rPr>
      </w:pPr>
    </w:p>
    <w:p>
      <w:pPr>
        <w:ind w:left="1300" w:hanging="644"/>
        <w:spacing w:after="0"/>
        <w:tabs>
          <w:tab w:leader="none" w:pos="1300" w:val="left"/>
        </w:tabs>
        <w:numPr>
          <w:ilvl w:val="0"/>
          <w:numId w:val="208"/>
        </w:numPr>
        <w:rPr>
          <w:rFonts w:ascii="Arial" w:cs="Arial" w:eastAsia="Arial" w:hAnsi="Arial"/>
          <w:sz w:val="19"/>
          <w:szCs w:val="19"/>
          <w:color w:val="auto"/>
        </w:rPr>
      </w:pPr>
      <w:r>
        <w:rPr>
          <w:rFonts w:ascii="Arial" w:cs="Arial" w:eastAsia="Arial" w:hAnsi="Arial"/>
          <w:sz w:val="19"/>
          <w:szCs w:val="19"/>
          <w:color w:val="auto"/>
        </w:rPr>
        <w:t>Capitalized Terms. Capitalized terms used herein without definition shall have the meanings assigned to them in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Indenture.</w:t>
      </w:r>
    </w:p>
    <w:p>
      <w:pPr>
        <w:spacing w:after="0" w:line="201" w:lineRule="exact"/>
        <w:rPr>
          <w:rFonts w:ascii="Arial" w:cs="Arial" w:eastAsia="Arial" w:hAnsi="Arial"/>
          <w:sz w:val="19"/>
          <w:szCs w:val="19"/>
          <w:color w:val="auto"/>
        </w:rPr>
      </w:pPr>
    </w:p>
    <w:p>
      <w:pPr>
        <w:ind w:left="1300" w:hanging="644"/>
        <w:spacing w:after="0"/>
        <w:tabs>
          <w:tab w:leader="none" w:pos="1300" w:val="left"/>
        </w:tabs>
        <w:numPr>
          <w:ilvl w:val="0"/>
          <w:numId w:val="208"/>
        </w:numPr>
        <w:rPr>
          <w:rFonts w:ascii="Arial" w:cs="Arial" w:eastAsia="Arial" w:hAnsi="Arial"/>
          <w:sz w:val="22"/>
          <w:szCs w:val="22"/>
          <w:color w:val="auto"/>
        </w:rPr>
      </w:pPr>
      <w:r>
        <w:rPr>
          <w:rFonts w:ascii="Arial" w:cs="Arial" w:eastAsia="Arial" w:hAnsi="Arial"/>
          <w:sz w:val="22"/>
          <w:szCs w:val="22"/>
          <w:color w:val="auto"/>
        </w:rPr>
        <w:t>Agreement to Guarantee. The Guaranteeing Subsidiary hereby agrees as follows:</w:t>
      </w:r>
    </w:p>
    <w:p>
      <w:pPr>
        <w:spacing w:after="0" w:line="219" w:lineRule="exact"/>
        <w:rPr>
          <w:rFonts w:ascii="Arial" w:cs="Arial" w:eastAsia="Arial" w:hAnsi="Arial"/>
          <w:sz w:val="22"/>
          <w:szCs w:val="22"/>
          <w:color w:val="auto"/>
        </w:rPr>
      </w:pPr>
    </w:p>
    <w:p>
      <w:pPr>
        <w:jc w:val="both"/>
        <w:ind w:left="660" w:firstLine="644"/>
        <w:spacing w:after="0" w:line="253" w:lineRule="auto"/>
        <w:tabs>
          <w:tab w:leader="none" w:pos="1953" w:val="left"/>
        </w:tabs>
        <w:numPr>
          <w:ilvl w:val="1"/>
          <w:numId w:val="208"/>
        </w:numPr>
        <w:rPr>
          <w:rFonts w:ascii="Arial" w:cs="Arial" w:eastAsia="Arial" w:hAnsi="Arial"/>
          <w:sz w:val="22"/>
          <w:szCs w:val="22"/>
          <w:color w:val="auto"/>
        </w:rPr>
      </w:pPr>
      <w:r>
        <w:rPr>
          <w:rFonts w:ascii="Arial" w:cs="Arial" w:eastAsia="Arial" w:hAnsi="Arial"/>
          <w:sz w:val="22"/>
          <w:szCs w:val="22"/>
          <w:color w:val="auto"/>
        </w:rPr>
        <w:t>Along with all Guarantors named in the Indenture, to jointly, severally and unconditionally Guarantee to each Holder of a Note authenticated and delivered by the Trustee and to the Trustee and its successors and assigns, the Notes or the obligations of the Issuers hereunder or thereunder, that:</w:t>
      </w:r>
    </w:p>
    <w:p>
      <w:pPr>
        <w:spacing w:after="0" w:line="185" w:lineRule="exact"/>
        <w:rPr>
          <w:sz w:val="20"/>
          <w:szCs w:val="20"/>
          <w:color w:val="auto"/>
        </w:rPr>
      </w:pPr>
    </w:p>
    <w:p>
      <w:pPr>
        <w:jc w:val="both"/>
        <w:ind w:left="1300" w:firstLine="444"/>
        <w:spacing w:after="0" w:line="271" w:lineRule="auto"/>
        <w:rPr>
          <w:sz w:val="20"/>
          <w:szCs w:val="20"/>
          <w:color w:val="auto"/>
        </w:rPr>
      </w:pPr>
      <w:r>
        <w:rPr>
          <w:rFonts w:ascii="Arial" w:cs="Arial" w:eastAsia="Arial" w:hAnsi="Arial"/>
          <w:sz w:val="21"/>
          <w:szCs w:val="21"/>
          <w:color w:val="auto"/>
        </w:rPr>
        <w:t>(i)the principal of, premium, if any, and interest on the Notes shall be promptly paid in full when due, whether at maturity, by acceleration, redemption or otherwise, and interest on the overdue principal of and interest on the Notes, if any, if lawful, and all other obligations of the Issuers to the Holders or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w:t>
      </w:r>
    </w:p>
    <w:p>
      <w:pPr>
        <w:sectPr>
          <w:pgSz w:w="11900" w:h="16838" w:orient="portrait"/>
          <w:cols w:equalWidth="0" w:num="1">
            <w:col w:w="11240"/>
          </w:cols>
          <w:pgMar w:left="320" w:top="126" w:right="339" w:bottom="1440" w:gutter="0" w:footer="0" w:header="0"/>
        </w:sectPr>
      </w:pPr>
    </w:p>
    <w:bookmarkStart w:id="185" w:name="page186"/>
    <w:bookmarkEnd w:id="185"/>
    <w:p>
      <w:pPr>
        <w:jc w:val="both"/>
        <w:ind w:left="1300"/>
        <w:spacing w:after="0" w:line="263" w:lineRule="auto"/>
        <w:rPr>
          <w:sz w:val="20"/>
          <w:szCs w:val="20"/>
          <w:color w:val="auto"/>
        </w:rPr>
      </w:pPr>
      <w:r>
        <w:rPr>
          <w:rFonts w:ascii="Arial" w:cs="Arial" w:eastAsia="Arial" w:hAnsi="Arial"/>
          <w:sz w:val="22"/>
          <w:szCs w:val="22"/>
          <w:color w:val="auto"/>
        </w:rPr>
        <w:t>hereunder or thereunder shall be promptly paid in full or performed, all in accordance with the terms hereof and thereof; and</w:t>
      </w:r>
    </w:p>
    <w:p>
      <w:pPr>
        <w:spacing w:after="0" w:line="175" w:lineRule="exact"/>
        <w:rPr>
          <w:sz w:val="20"/>
          <w:szCs w:val="20"/>
          <w:color w:val="auto"/>
        </w:rPr>
      </w:pPr>
    </w:p>
    <w:p>
      <w:pPr>
        <w:jc w:val="both"/>
        <w:ind w:left="1300" w:firstLine="384"/>
        <w:spacing w:after="0" w:line="253" w:lineRule="auto"/>
        <w:rPr>
          <w:sz w:val="20"/>
          <w:szCs w:val="20"/>
          <w:color w:val="auto"/>
        </w:rPr>
      </w:pPr>
      <w:r>
        <w:rPr>
          <w:rFonts w:ascii="Arial" w:cs="Arial" w:eastAsia="Arial" w:hAnsi="Arial"/>
          <w:sz w:val="22"/>
          <w:szCs w:val="22"/>
          <w:color w:val="auto"/>
        </w:rPr>
        <w:t>(ii)in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Failing payment when due of any amount so guaranteed or any performance so guaranteed for whatever reason, the Guarantors shall be jointly and severally obligated to pay the same immediately.</w:t>
      </w:r>
    </w:p>
    <w:p>
      <w:pPr>
        <w:spacing w:after="0" w:line="175" w:lineRule="exact"/>
        <w:rPr>
          <w:sz w:val="20"/>
          <w:szCs w:val="20"/>
          <w:color w:val="auto"/>
        </w:rPr>
      </w:pPr>
    </w:p>
    <w:p>
      <w:pPr>
        <w:jc w:val="both"/>
        <w:ind w:left="660" w:firstLine="644"/>
        <w:spacing w:after="0" w:line="248" w:lineRule="auto"/>
        <w:tabs>
          <w:tab w:leader="none" w:pos="1951" w:val="left"/>
        </w:tabs>
        <w:numPr>
          <w:ilvl w:val="0"/>
          <w:numId w:val="209"/>
        </w:numPr>
        <w:rPr>
          <w:rFonts w:ascii="Arial" w:cs="Arial" w:eastAsia="Arial" w:hAnsi="Arial"/>
          <w:sz w:val="22"/>
          <w:szCs w:val="22"/>
          <w:color w:val="auto"/>
        </w:rPr>
      </w:pPr>
      <w:r>
        <w:rPr>
          <w:rFonts w:ascii="Arial" w:cs="Arial" w:eastAsia="Arial" w:hAnsi="Arial"/>
          <w:sz w:val="22"/>
          <w:szCs w:val="22"/>
          <w:color w:val="auto"/>
        </w:rPr>
        <w:t>The obligations hereunder shall be unconditional, irrespective of the validity, regularity or enforceability of the Notes or the Indenture, the absence of any action to enforce the same, any waiver or consent by any Holder of the Notes with respect to any provisions hereof or thereof, the recovery of any judgment against the Issuers, any action to enforce the same or any other circumstance which might otherwise constitute a legal or equitable discharge or defense of a Guarantor.</w:t>
      </w:r>
    </w:p>
    <w:p>
      <w:pPr>
        <w:spacing w:after="0" w:line="191" w:lineRule="exact"/>
        <w:rPr>
          <w:rFonts w:ascii="Arial" w:cs="Arial" w:eastAsia="Arial" w:hAnsi="Arial"/>
          <w:sz w:val="22"/>
          <w:szCs w:val="22"/>
          <w:color w:val="auto"/>
        </w:rPr>
      </w:pPr>
    </w:p>
    <w:p>
      <w:pPr>
        <w:jc w:val="both"/>
        <w:ind w:left="660" w:firstLine="644"/>
        <w:spacing w:after="0" w:line="261" w:lineRule="auto"/>
        <w:tabs>
          <w:tab w:leader="none" w:pos="1953" w:val="left"/>
        </w:tabs>
        <w:numPr>
          <w:ilvl w:val="0"/>
          <w:numId w:val="209"/>
        </w:numPr>
        <w:rPr>
          <w:rFonts w:ascii="Arial" w:cs="Arial" w:eastAsia="Arial" w:hAnsi="Arial"/>
          <w:sz w:val="21"/>
          <w:szCs w:val="21"/>
          <w:color w:val="auto"/>
        </w:rPr>
      </w:pPr>
      <w:r>
        <w:rPr>
          <w:rFonts w:ascii="Arial" w:cs="Arial" w:eastAsia="Arial" w:hAnsi="Arial"/>
          <w:sz w:val="21"/>
          <w:szCs w:val="21"/>
          <w:color w:val="auto"/>
        </w:rPr>
        <w:t>The following is hereby waived: diligence, presentment, demand of payment, filing of claims with a court in the event of insolvency or bankruptcy of either Issuer, any right to require a proceeding first against the Issuers, protest, notice and all demands whatsoever, any right or claims of right to cause a marshalling of the Issuers’ or any Guarantor’s assets or to proceed against any Guarantor, any Issuer or any other guarantor of any Obligations which are Guaranteed in any particular order, including, but not limited to, any right arising out of Nevada Revised Statutes 40.430, to the fullest extent permitted by Nevada Revised Statutes 40.495(2).</w:t>
      </w:r>
    </w:p>
    <w:p>
      <w:pPr>
        <w:spacing w:after="0" w:line="179" w:lineRule="exact"/>
        <w:rPr>
          <w:rFonts w:ascii="Arial" w:cs="Arial" w:eastAsia="Arial" w:hAnsi="Arial"/>
          <w:sz w:val="21"/>
          <w:szCs w:val="21"/>
          <w:color w:val="auto"/>
        </w:rPr>
      </w:pPr>
    </w:p>
    <w:p>
      <w:pPr>
        <w:jc w:val="both"/>
        <w:ind w:left="660" w:firstLine="644"/>
        <w:spacing w:after="0" w:line="253" w:lineRule="auto"/>
        <w:tabs>
          <w:tab w:leader="none" w:pos="1951" w:val="left"/>
        </w:tabs>
        <w:numPr>
          <w:ilvl w:val="0"/>
          <w:numId w:val="209"/>
        </w:numPr>
        <w:rPr>
          <w:rFonts w:ascii="Arial" w:cs="Arial" w:eastAsia="Arial" w:hAnsi="Arial"/>
          <w:sz w:val="22"/>
          <w:szCs w:val="22"/>
          <w:color w:val="auto"/>
        </w:rPr>
      </w:pPr>
      <w:r>
        <w:rPr>
          <w:rFonts w:ascii="Arial" w:cs="Arial" w:eastAsia="Arial" w:hAnsi="Arial"/>
          <w:sz w:val="22"/>
          <w:szCs w:val="22"/>
          <w:color w:val="auto"/>
        </w:rPr>
        <w:t>This Note Guarantee shall not be discharged except by complete performance of the obligations contained in the Notes and the Indenture, and the Guaranteeing Subsidiary accepts all obligations of a Guarantor under the Indenture.</w:t>
      </w:r>
    </w:p>
    <w:p>
      <w:pPr>
        <w:spacing w:after="0" w:line="185" w:lineRule="exact"/>
        <w:rPr>
          <w:rFonts w:ascii="Arial" w:cs="Arial" w:eastAsia="Arial" w:hAnsi="Arial"/>
          <w:sz w:val="22"/>
          <w:szCs w:val="22"/>
          <w:color w:val="auto"/>
        </w:rPr>
      </w:pPr>
    </w:p>
    <w:p>
      <w:pPr>
        <w:jc w:val="both"/>
        <w:ind w:left="660" w:firstLine="644"/>
        <w:spacing w:after="0" w:line="250" w:lineRule="auto"/>
        <w:tabs>
          <w:tab w:leader="none" w:pos="1953" w:val="left"/>
        </w:tabs>
        <w:numPr>
          <w:ilvl w:val="0"/>
          <w:numId w:val="209"/>
        </w:numPr>
        <w:rPr>
          <w:rFonts w:ascii="Arial" w:cs="Arial" w:eastAsia="Arial" w:hAnsi="Arial"/>
          <w:sz w:val="22"/>
          <w:szCs w:val="22"/>
          <w:color w:val="auto"/>
        </w:rPr>
      </w:pPr>
      <w:r>
        <w:rPr>
          <w:rFonts w:ascii="Arial" w:cs="Arial" w:eastAsia="Arial" w:hAnsi="Arial"/>
          <w:sz w:val="22"/>
          <w:szCs w:val="22"/>
          <w:color w:val="auto"/>
        </w:rPr>
        <w:t>If any Holder or the Trustee is required by any court or otherwise to return to the Issuers, the Guarantors or any custodian, trustee, liquidator or other similar official acting in relation to either of the Issuers or any Guarantor, any amount paid by either to the Trustee or such Holder, this Note Guarantee, to the extent theretofore discharged, shall be reinstated in full force and effect.</w:t>
      </w:r>
    </w:p>
    <w:p>
      <w:pPr>
        <w:spacing w:after="0" w:line="187" w:lineRule="exact"/>
        <w:rPr>
          <w:rFonts w:ascii="Arial" w:cs="Arial" w:eastAsia="Arial" w:hAnsi="Arial"/>
          <w:sz w:val="22"/>
          <w:szCs w:val="22"/>
          <w:color w:val="auto"/>
        </w:rPr>
      </w:pPr>
    </w:p>
    <w:p>
      <w:pPr>
        <w:ind w:left="660" w:firstLine="644"/>
        <w:spacing w:after="0" w:line="287" w:lineRule="auto"/>
        <w:tabs>
          <w:tab w:leader="none" w:pos="1956" w:val="left"/>
        </w:tabs>
        <w:numPr>
          <w:ilvl w:val="0"/>
          <w:numId w:val="209"/>
        </w:numPr>
        <w:rPr>
          <w:rFonts w:ascii="Arial" w:cs="Arial" w:eastAsia="Arial" w:hAnsi="Arial"/>
          <w:sz w:val="21"/>
          <w:szCs w:val="21"/>
          <w:color w:val="auto"/>
        </w:rPr>
      </w:pPr>
      <w:r>
        <w:rPr>
          <w:rFonts w:ascii="Arial" w:cs="Arial" w:eastAsia="Arial" w:hAnsi="Arial"/>
          <w:sz w:val="21"/>
          <w:szCs w:val="21"/>
          <w:color w:val="auto"/>
        </w:rPr>
        <w:t>The Guaranteeing Subsidiary shall not be entitled to any right of subrogation in relation to the Holders in respect of any obligations guaranteed hereby until payment in full of all obligations guaranteed hereby.</w:t>
      </w:r>
    </w:p>
    <w:p>
      <w:pPr>
        <w:spacing w:after="0" w:line="151" w:lineRule="exact"/>
        <w:rPr>
          <w:rFonts w:ascii="Arial" w:cs="Arial" w:eastAsia="Arial" w:hAnsi="Arial"/>
          <w:sz w:val="21"/>
          <w:szCs w:val="21"/>
          <w:color w:val="auto"/>
        </w:rPr>
      </w:pPr>
    </w:p>
    <w:p>
      <w:pPr>
        <w:jc w:val="both"/>
        <w:ind w:left="660" w:firstLine="644"/>
        <w:spacing w:after="0" w:line="271" w:lineRule="auto"/>
        <w:tabs>
          <w:tab w:leader="none" w:pos="1951" w:val="left"/>
        </w:tabs>
        <w:numPr>
          <w:ilvl w:val="0"/>
          <w:numId w:val="209"/>
        </w:numPr>
        <w:rPr>
          <w:rFonts w:ascii="Arial" w:cs="Arial" w:eastAsia="Arial" w:hAnsi="Arial"/>
          <w:sz w:val="21"/>
          <w:szCs w:val="21"/>
          <w:color w:val="auto"/>
        </w:rPr>
      </w:pPr>
      <w:r>
        <w:rPr>
          <w:rFonts w:ascii="Arial" w:cs="Arial" w:eastAsia="Arial" w:hAnsi="Arial"/>
          <w:sz w:val="21"/>
          <w:szCs w:val="21"/>
          <w:color w:val="auto"/>
        </w:rPr>
        <w:t>As between the Guarantors, on the one hand, and the Holders and the Trustee, on the other hand, (x) the maturity of the obligations guaranteed hereby may be accelerated as provided in Article 6 of the Indenture for the purposes of this Note Guarantee, notwithstanding any stay, injunction or other prohibition preventing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w:t>
      </w:r>
    </w:p>
    <w:p>
      <w:pPr>
        <w:sectPr>
          <w:pgSz w:w="11900" w:h="16838" w:orient="portrait"/>
          <w:cols w:equalWidth="0" w:num="1">
            <w:col w:w="11240"/>
          </w:cols>
          <w:pgMar w:left="320" w:top="1428" w:right="339" w:bottom="1440" w:gutter="0" w:footer="0" w:header="0"/>
        </w:sectPr>
      </w:pPr>
    </w:p>
    <w:bookmarkStart w:id="186" w:name="page187"/>
    <w:bookmarkEnd w:id="186"/>
    <w:p>
      <w:pPr>
        <w:jc w:val="both"/>
        <w:ind w:left="660"/>
        <w:spacing w:after="0" w:line="271" w:lineRule="auto"/>
        <w:rPr>
          <w:sz w:val="20"/>
          <w:szCs w:val="20"/>
          <w:color w:val="auto"/>
        </w:rPr>
      </w:pPr>
      <w:r>
        <w:rPr>
          <w:rFonts w:ascii="Arial" w:cs="Arial" w:eastAsia="Arial" w:hAnsi="Arial"/>
          <w:sz w:val="21"/>
          <w:szCs w:val="21"/>
          <w:color w:val="auto"/>
        </w:rPr>
        <w:t>acceleration in respect of the obligations guaranteed hereby, and (y) in the event of any declaration of acceleration of such obligations as provided in Article 6 of the Indenture, such obligations (whether or not due and payable) shall forthwith become due and payable by the Guarantors for the purpose of this Note Guarantee.</w:t>
      </w:r>
    </w:p>
    <w:p>
      <w:pPr>
        <w:spacing w:after="0" w:line="167" w:lineRule="exact"/>
        <w:rPr>
          <w:sz w:val="20"/>
          <w:szCs w:val="20"/>
          <w:color w:val="auto"/>
        </w:rPr>
      </w:pPr>
    </w:p>
    <w:p>
      <w:pPr>
        <w:ind w:left="660" w:firstLine="644"/>
        <w:spacing w:after="0" w:line="263" w:lineRule="auto"/>
        <w:tabs>
          <w:tab w:leader="none" w:pos="1951" w:val="left"/>
        </w:tabs>
        <w:numPr>
          <w:ilvl w:val="1"/>
          <w:numId w:val="210"/>
        </w:numPr>
        <w:rPr>
          <w:rFonts w:ascii="Arial" w:cs="Arial" w:eastAsia="Arial" w:hAnsi="Arial"/>
          <w:sz w:val="22"/>
          <w:szCs w:val="22"/>
          <w:color w:val="auto"/>
        </w:rPr>
      </w:pPr>
      <w:r>
        <w:rPr>
          <w:rFonts w:ascii="Arial" w:cs="Arial" w:eastAsia="Arial" w:hAnsi="Arial"/>
          <w:sz w:val="22"/>
          <w:szCs w:val="22"/>
          <w:color w:val="auto"/>
        </w:rPr>
        <w:t>The Guarantors shall have the right to seek contribution from any non-paying Guarantor so long as the exercise of such right does not impair the rights of the Holders under the Note Guarantee.</w:t>
      </w:r>
    </w:p>
    <w:p>
      <w:pPr>
        <w:spacing w:after="0" w:line="174" w:lineRule="exact"/>
        <w:rPr>
          <w:rFonts w:ascii="Arial" w:cs="Arial" w:eastAsia="Arial" w:hAnsi="Arial"/>
          <w:sz w:val="22"/>
          <w:szCs w:val="22"/>
          <w:color w:val="auto"/>
        </w:rPr>
      </w:pPr>
    </w:p>
    <w:p>
      <w:pPr>
        <w:jc w:val="both"/>
        <w:ind w:left="660" w:firstLine="644"/>
        <w:spacing w:after="0" w:line="261" w:lineRule="auto"/>
        <w:tabs>
          <w:tab w:leader="none" w:pos="1944" w:val="left"/>
        </w:tabs>
        <w:numPr>
          <w:ilvl w:val="1"/>
          <w:numId w:val="210"/>
        </w:numPr>
        <w:rPr>
          <w:rFonts w:ascii="Arial" w:cs="Arial" w:eastAsia="Arial" w:hAnsi="Arial"/>
          <w:sz w:val="21"/>
          <w:szCs w:val="21"/>
          <w:color w:val="auto"/>
        </w:rPr>
      </w:pPr>
      <w:r>
        <w:rPr>
          <w:rFonts w:ascii="Arial" w:cs="Arial" w:eastAsia="Arial" w:hAnsi="Arial"/>
          <w:sz w:val="21"/>
          <w:szCs w:val="21"/>
          <w:color w:val="auto"/>
        </w:rPr>
        <w:t>Pursuant to Section 11.02 of the Indenture, after giving effect to any maximum amount and all other contingent and fixed liabilities that are relevant under any applicable Bankruptcy Law or fraudulent conveyance laws, and after giving effect to any collections from, rights to receive contribution from or payments made by or on behalf of any other Guarantor in respect of the obligations of such other Guarantor under Article 11 of the Indenture, this new Note Guarantee shall be limited to the maximum amount permissible such that the obligations of such Guarantor under this Note Guarantee shall not constitute a fraudulent transfer or conveyance.</w:t>
      </w:r>
    </w:p>
    <w:p>
      <w:pPr>
        <w:spacing w:after="0" w:line="179" w:lineRule="exact"/>
        <w:rPr>
          <w:rFonts w:ascii="Arial" w:cs="Arial" w:eastAsia="Arial" w:hAnsi="Arial"/>
          <w:sz w:val="21"/>
          <w:szCs w:val="21"/>
          <w:color w:val="auto"/>
        </w:rPr>
      </w:pPr>
    </w:p>
    <w:p>
      <w:pPr>
        <w:ind w:right="20" w:firstLine="656"/>
        <w:spacing w:after="0" w:line="263" w:lineRule="auto"/>
        <w:tabs>
          <w:tab w:leader="none" w:pos="1296" w:val="left"/>
        </w:tabs>
        <w:numPr>
          <w:ilvl w:val="0"/>
          <w:numId w:val="211"/>
        </w:numPr>
        <w:rPr>
          <w:rFonts w:ascii="Arial" w:cs="Arial" w:eastAsia="Arial" w:hAnsi="Arial"/>
          <w:sz w:val="22"/>
          <w:szCs w:val="22"/>
          <w:color w:val="auto"/>
        </w:rPr>
      </w:pPr>
      <w:r>
        <w:rPr>
          <w:rFonts w:ascii="Arial" w:cs="Arial" w:eastAsia="Arial" w:hAnsi="Arial"/>
          <w:sz w:val="22"/>
          <w:szCs w:val="22"/>
          <w:color w:val="auto"/>
        </w:rPr>
        <w:t>Execution and Delivery. Each Guaranteeing Subsidiary agrees that the Note Guarantees shall remain in full force and effect notwithstanding any failure to endorse on each Note a notation of such Note Guarantee.</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211"/>
        </w:numPr>
        <w:rPr>
          <w:rFonts w:ascii="Arial" w:cs="Arial" w:eastAsia="Arial" w:hAnsi="Arial"/>
          <w:sz w:val="22"/>
          <w:szCs w:val="22"/>
          <w:color w:val="auto"/>
        </w:rPr>
      </w:pPr>
      <w:r>
        <w:rPr>
          <w:rFonts w:ascii="Arial" w:cs="Arial" w:eastAsia="Arial" w:hAnsi="Arial"/>
          <w:sz w:val="22"/>
          <w:szCs w:val="22"/>
          <w:color w:val="auto"/>
        </w:rPr>
        <w:t>Guaranteeing Subsidiary may Consolidate, etc. on Certain Terms.</w:t>
      </w:r>
    </w:p>
    <w:p>
      <w:pPr>
        <w:spacing w:after="0" w:line="219" w:lineRule="exact"/>
        <w:rPr>
          <w:rFonts w:ascii="Arial" w:cs="Arial" w:eastAsia="Arial" w:hAnsi="Arial"/>
          <w:sz w:val="22"/>
          <w:szCs w:val="22"/>
          <w:color w:val="auto"/>
        </w:rPr>
      </w:pPr>
    </w:p>
    <w:p>
      <w:pPr>
        <w:jc w:val="both"/>
        <w:ind w:left="660" w:firstLine="644"/>
        <w:spacing w:after="0" w:line="253" w:lineRule="auto"/>
        <w:tabs>
          <w:tab w:leader="none" w:pos="1953" w:val="left"/>
        </w:tabs>
        <w:numPr>
          <w:ilvl w:val="1"/>
          <w:numId w:val="211"/>
        </w:numPr>
        <w:rPr>
          <w:rFonts w:ascii="Arial" w:cs="Arial" w:eastAsia="Arial" w:hAnsi="Arial"/>
          <w:sz w:val="22"/>
          <w:szCs w:val="22"/>
          <w:color w:val="auto"/>
        </w:rPr>
      </w:pPr>
      <w:r>
        <w:rPr>
          <w:rFonts w:ascii="Arial" w:cs="Arial" w:eastAsia="Arial" w:hAnsi="Arial"/>
          <w:sz w:val="22"/>
          <w:szCs w:val="22"/>
          <w:color w:val="auto"/>
        </w:rPr>
        <w:t>A Guaranteeing Subsidiary may not consolidate with or merge with or into (whether or not such Guaranteeing Subsidiary is the surviving Person) another Person, other than either of the Issuers or another Guarantor, except as set forth in the Indenture.</w:t>
      </w:r>
    </w:p>
    <w:p>
      <w:pPr>
        <w:spacing w:after="0" w:line="185" w:lineRule="exact"/>
        <w:rPr>
          <w:rFonts w:ascii="Arial" w:cs="Arial" w:eastAsia="Arial" w:hAnsi="Arial"/>
          <w:sz w:val="22"/>
          <w:szCs w:val="22"/>
          <w:color w:val="auto"/>
        </w:rPr>
      </w:pPr>
    </w:p>
    <w:p>
      <w:pPr>
        <w:ind w:left="660" w:firstLine="644"/>
        <w:spacing w:after="0" w:line="343" w:lineRule="auto"/>
        <w:tabs>
          <w:tab w:leader="none" w:pos="1951" w:val="left"/>
        </w:tabs>
        <w:numPr>
          <w:ilvl w:val="1"/>
          <w:numId w:val="211"/>
        </w:numPr>
        <w:rPr>
          <w:rFonts w:ascii="Arial" w:cs="Arial" w:eastAsia="Arial" w:hAnsi="Arial"/>
          <w:sz w:val="19"/>
          <w:szCs w:val="19"/>
          <w:color w:val="auto"/>
        </w:rPr>
      </w:pPr>
      <w:r>
        <w:rPr>
          <w:rFonts w:ascii="Arial" w:cs="Arial" w:eastAsia="Arial" w:hAnsi="Arial"/>
          <w:sz w:val="19"/>
          <w:szCs w:val="19"/>
          <w:color w:val="auto"/>
        </w:rPr>
        <w:t>Notwithstanding the foregoing provisions of this Section 4 or the provisions of Section 11.04 of the Indenture, each Guarantor is permitted to reorganize as a corporation pursuant to a Permitted C-Corp. Conversion.</w:t>
      </w:r>
    </w:p>
    <w:p>
      <w:pPr>
        <w:spacing w:after="0" w:line="104" w:lineRule="exact"/>
        <w:rPr>
          <w:rFonts w:ascii="Arial" w:cs="Arial" w:eastAsia="Arial" w:hAnsi="Arial"/>
          <w:sz w:val="19"/>
          <w:szCs w:val="19"/>
          <w:color w:val="auto"/>
        </w:rPr>
      </w:pPr>
    </w:p>
    <w:p>
      <w:pPr>
        <w:ind w:left="1300" w:hanging="644"/>
        <w:spacing w:after="0"/>
        <w:tabs>
          <w:tab w:leader="none" w:pos="1300" w:val="left"/>
        </w:tabs>
        <w:numPr>
          <w:ilvl w:val="0"/>
          <w:numId w:val="211"/>
        </w:numPr>
        <w:rPr>
          <w:rFonts w:ascii="Arial" w:cs="Arial" w:eastAsia="Arial" w:hAnsi="Arial"/>
          <w:sz w:val="22"/>
          <w:szCs w:val="22"/>
          <w:color w:val="auto"/>
        </w:rPr>
      </w:pPr>
      <w:r>
        <w:rPr>
          <w:rFonts w:ascii="Arial" w:cs="Arial" w:eastAsia="Arial" w:hAnsi="Arial"/>
          <w:sz w:val="22"/>
          <w:szCs w:val="22"/>
          <w:color w:val="auto"/>
        </w:rPr>
        <w:t>Releases.</w:t>
      </w:r>
    </w:p>
    <w:p>
      <w:pPr>
        <w:spacing w:after="0" w:line="220"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Subject to compliance with the provisions described in Section 4 above and under Article 11 of the Indenture, the Note Guarantee of a Guaranteeing Subsidiary will be released on the terms set forth in the Indenture.</w:t>
      </w:r>
    </w:p>
    <w:p>
      <w:pPr>
        <w:spacing w:after="0" w:line="151" w:lineRule="exact"/>
        <w:rPr>
          <w:sz w:val="20"/>
          <w:szCs w:val="20"/>
          <w:color w:val="auto"/>
        </w:rPr>
      </w:pPr>
    </w:p>
    <w:p>
      <w:pPr>
        <w:jc w:val="both"/>
        <w:ind w:firstLine="656"/>
        <w:spacing w:after="0" w:line="297" w:lineRule="auto"/>
        <w:tabs>
          <w:tab w:leader="none" w:pos="1296" w:val="left"/>
        </w:tabs>
        <w:numPr>
          <w:ilvl w:val="0"/>
          <w:numId w:val="212"/>
        </w:numPr>
        <w:rPr>
          <w:rFonts w:ascii="Arial" w:cs="Arial" w:eastAsia="Arial" w:hAnsi="Arial"/>
          <w:sz w:val="19"/>
          <w:szCs w:val="19"/>
          <w:color w:val="auto"/>
        </w:rPr>
      </w:pPr>
      <w:r>
        <w:rPr>
          <w:rFonts w:ascii="Arial" w:cs="Arial" w:eastAsia="Arial" w:hAnsi="Arial"/>
          <w:sz w:val="19"/>
          <w:szCs w:val="19"/>
          <w:color w:val="auto"/>
        </w:rPr>
        <w:t>No Recourse Against Others. No past, present or future director, officer, employee, incorporator, organizer, equity holder or member of any Guarantor, as such, shall have any liability for any obligations of either Issuer or any Guarantor under the Notes, the Note Guarantees or the Indenture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w:t>
      </w:r>
    </w:p>
    <w:p>
      <w:pPr>
        <w:sectPr>
          <w:pgSz w:w="11900" w:h="16838" w:orient="portrait"/>
          <w:cols w:equalWidth="0" w:num="1">
            <w:col w:w="11240"/>
          </w:cols>
          <w:pgMar w:left="320" w:top="1428" w:right="339" w:bottom="1440" w:gutter="0" w:footer="0" w:header="0"/>
        </w:sectPr>
      </w:pPr>
    </w:p>
    <w:bookmarkStart w:id="187" w:name="page188"/>
    <w:bookmarkEnd w:id="187"/>
    <w:p>
      <w:pPr>
        <w:jc w:val="both"/>
        <w:ind w:firstLine="656"/>
        <w:spacing w:after="0" w:line="253" w:lineRule="auto"/>
        <w:tabs>
          <w:tab w:leader="none" w:pos="1296" w:val="left"/>
        </w:tabs>
        <w:numPr>
          <w:ilvl w:val="0"/>
          <w:numId w:val="213"/>
        </w:numPr>
        <w:rPr>
          <w:rFonts w:ascii="Arial" w:cs="Arial" w:eastAsia="Arial" w:hAnsi="Arial"/>
          <w:sz w:val="22"/>
          <w:szCs w:val="22"/>
          <w:color w:val="auto"/>
        </w:rPr>
      </w:pPr>
      <w:r>
        <w:rPr>
          <w:rFonts w:ascii="Arial" w:cs="Arial" w:eastAsia="Arial" w:hAnsi="Arial"/>
          <w:sz w:val="22"/>
          <w:szCs w:val="22"/>
          <w:color w:val="auto"/>
        </w:rPr>
        <w:t>NEW YORK LAW TO GOVERN. THIS SUPPLEMENTAL INDENTURE SHALL BE GOVERNED BY AND CONSTRUED IN ACCORDANCE WITH THE LAWS OF THE STATE OF NEW YORK, INCLUDING, WITHOUT LIMITATION, SECTION 4-1401 OF THE NEW YORK OBLIGATIONS LAW.</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296" w:val="left"/>
        </w:tabs>
        <w:numPr>
          <w:ilvl w:val="0"/>
          <w:numId w:val="213"/>
        </w:numPr>
        <w:rPr>
          <w:rFonts w:ascii="Arial" w:cs="Arial" w:eastAsia="Arial" w:hAnsi="Arial"/>
          <w:sz w:val="22"/>
          <w:szCs w:val="22"/>
          <w:color w:val="auto"/>
        </w:rPr>
      </w:pPr>
      <w:r>
        <w:rPr>
          <w:rFonts w:ascii="Arial" w:cs="Arial" w:eastAsia="Arial" w:hAnsi="Arial"/>
          <w:sz w:val="22"/>
          <w:szCs w:val="22"/>
          <w:color w:val="auto"/>
        </w:rPr>
        <w:t>Conflicts with Indenture. This Supplemental Indenture is subject to all terms of the Indenture. To the extent any provision of this Supplemental Indenture conflicts with express provisions of the Indenture, the provisions of the Indenture shall govern and be controlling.</w:t>
      </w:r>
    </w:p>
    <w:p>
      <w:pPr>
        <w:spacing w:after="0" w:line="185" w:lineRule="exact"/>
        <w:rPr>
          <w:rFonts w:ascii="Arial" w:cs="Arial" w:eastAsia="Arial" w:hAnsi="Arial"/>
          <w:sz w:val="22"/>
          <w:szCs w:val="22"/>
          <w:color w:val="auto"/>
        </w:rPr>
      </w:pPr>
    </w:p>
    <w:p>
      <w:pPr>
        <w:ind w:firstLine="656"/>
        <w:spacing w:after="0" w:line="263" w:lineRule="auto"/>
        <w:tabs>
          <w:tab w:leader="none" w:pos="1296" w:val="left"/>
        </w:tabs>
        <w:numPr>
          <w:ilvl w:val="0"/>
          <w:numId w:val="213"/>
        </w:numPr>
        <w:rPr>
          <w:rFonts w:ascii="Arial" w:cs="Arial" w:eastAsia="Arial" w:hAnsi="Arial"/>
          <w:sz w:val="22"/>
          <w:szCs w:val="22"/>
          <w:color w:val="auto"/>
        </w:rPr>
      </w:pPr>
      <w:r>
        <w:rPr>
          <w:rFonts w:ascii="Arial" w:cs="Arial" w:eastAsia="Arial" w:hAnsi="Arial"/>
          <w:sz w:val="22"/>
          <w:szCs w:val="22"/>
          <w:color w:val="auto"/>
        </w:rPr>
        <w:t>Counterparts. The parties may sign any number of copies of this Supplemental Indenture. Each signed copy shall be an original, but all of them together represent the same agreement.</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213"/>
        </w:numPr>
        <w:rPr>
          <w:rFonts w:ascii="Arial" w:cs="Arial" w:eastAsia="Arial" w:hAnsi="Arial"/>
          <w:sz w:val="19"/>
          <w:szCs w:val="19"/>
          <w:color w:val="auto"/>
        </w:rPr>
      </w:pPr>
      <w:r>
        <w:rPr>
          <w:rFonts w:ascii="Arial" w:cs="Arial" w:eastAsia="Arial" w:hAnsi="Arial"/>
          <w:sz w:val="19"/>
          <w:szCs w:val="19"/>
          <w:color w:val="auto"/>
        </w:rPr>
        <w:t>Effect of Headings. The Section headings herein are for convenience only and shall not affect the construction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201" w:lineRule="exact"/>
        <w:rPr>
          <w:rFonts w:ascii="Arial" w:cs="Arial" w:eastAsia="Arial" w:hAnsi="Arial"/>
          <w:sz w:val="19"/>
          <w:szCs w:val="19"/>
          <w:color w:val="auto"/>
        </w:rPr>
      </w:pPr>
    </w:p>
    <w:p>
      <w:pPr>
        <w:jc w:val="both"/>
        <w:ind w:firstLine="656"/>
        <w:spacing w:after="0" w:line="253" w:lineRule="auto"/>
        <w:tabs>
          <w:tab w:leader="none" w:pos="1288" w:val="left"/>
        </w:tabs>
        <w:numPr>
          <w:ilvl w:val="0"/>
          <w:numId w:val="213"/>
        </w:numPr>
        <w:rPr>
          <w:rFonts w:ascii="Arial" w:cs="Arial" w:eastAsia="Arial" w:hAnsi="Arial"/>
          <w:sz w:val="22"/>
          <w:szCs w:val="22"/>
          <w:color w:val="auto"/>
        </w:rPr>
      </w:pPr>
      <w:r>
        <w:rPr>
          <w:rFonts w:ascii="Arial" w:cs="Arial" w:eastAsia="Arial" w:hAnsi="Arial"/>
          <w:sz w:val="22"/>
          <w:szCs w:val="22"/>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Issuers.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F-4</w:t>
      </w:r>
    </w:p>
    <w:p>
      <w:pPr>
        <w:sectPr>
          <w:pgSz w:w="11900" w:h="16838" w:orient="portrait"/>
          <w:cols w:equalWidth="0" w:num="1">
            <w:col w:w="11240"/>
          </w:cols>
          <w:pgMar w:left="320" w:top="1428" w:right="339" w:bottom="1440" w:gutter="0" w:footer="0" w:header="0"/>
        </w:sectPr>
      </w:pPr>
    </w:p>
    <w:bookmarkStart w:id="188" w:name="page189"/>
    <w:bookmarkEnd w:id="188"/>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Supplemental Indenture to be duly executed and attested, all as of the date first above written.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Dated: _______________, 20___</w:t>
      </w:r>
    </w:p>
    <w:p>
      <w:pPr>
        <w:spacing w:after="0" w:line="21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[Guaranteeing Subsidiary]</w:t>
      </w:r>
    </w:p>
    <w:p>
      <w:pPr>
        <w:spacing w:after="0" w:line="24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_______________________________</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21"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Issuers:</w:t>
      </w: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WYNN RESORTS FINANCE, LLC</w:t>
      </w:r>
      <w:r>
        <w:rPr>
          <w:rFonts w:ascii="Arial" w:cs="Arial" w:eastAsia="Arial" w:hAnsi="Arial"/>
          <w:sz w:val="20"/>
          <w:szCs w:val="20"/>
          <w:color w:val="auto"/>
        </w:rPr>
        <w:t>,</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 Nevada limited liability company</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Wynn Resorts Holdings, LLC, its sole member</w:t>
      </w: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By: Wynn Resorts, Limited, its sole member</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By:_________________________________</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Craig S. Billings</w:t>
      </w:r>
    </w:p>
    <w:p>
      <w:pPr>
        <w:ind w:left="3900"/>
        <w:spacing w:after="0"/>
        <w:rPr>
          <w:sz w:val="20"/>
          <w:szCs w:val="20"/>
          <w:color w:val="auto"/>
        </w:rPr>
      </w:pPr>
      <w:r>
        <w:rPr>
          <w:rFonts w:ascii="Arial" w:cs="Arial" w:eastAsia="Arial" w:hAnsi="Arial"/>
          <w:sz w:val="20"/>
          <w:szCs w:val="20"/>
          <w:color w:val="auto"/>
        </w:rPr>
        <w:t>Title: President, Chief Financial Officer and Treasurer</w:t>
      </w:r>
    </w:p>
    <w:p>
      <w:pPr>
        <w:spacing w:after="0" w:line="194"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WYNN RESORTS CAPITAL CORP.</w:t>
      </w:r>
      <w:r>
        <w:rPr>
          <w:rFonts w:ascii="Arial" w:cs="Arial" w:eastAsia="Arial" w:hAnsi="Arial"/>
          <w:sz w:val="20"/>
          <w:szCs w:val="20"/>
          <w:color w:val="auto"/>
        </w:rPr>
        <w:t>, a Nevada corporation</w:t>
      </w:r>
    </w:p>
    <w:p>
      <w:pPr>
        <w:spacing w:after="0" w:line="22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By:_________________________________</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Craig S. Billings</w:t>
      </w:r>
    </w:p>
    <w:p>
      <w:pPr>
        <w:ind w:left="3900"/>
        <w:spacing w:after="0"/>
        <w:rPr>
          <w:sz w:val="20"/>
          <w:szCs w:val="20"/>
          <w:color w:val="auto"/>
        </w:rPr>
      </w:pPr>
      <w:r>
        <w:rPr>
          <w:rFonts w:ascii="Arial" w:cs="Arial" w:eastAsia="Arial" w:hAnsi="Arial"/>
          <w:sz w:val="20"/>
          <w:szCs w:val="20"/>
          <w:color w:val="auto"/>
        </w:rPr>
        <w:t>Title: President and Treasurer</w:t>
      </w:r>
    </w:p>
    <w:p>
      <w:pPr>
        <w:spacing w:after="0" w:line="221" w:lineRule="exact"/>
        <w:rPr>
          <w:sz w:val="20"/>
          <w:szCs w:val="20"/>
          <w:color w:val="auto"/>
        </w:rPr>
      </w:pPr>
    </w:p>
    <w:p>
      <w:pPr>
        <w:ind w:left="1240"/>
        <w:spacing w:after="0"/>
        <w:rPr>
          <w:sz w:val="20"/>
          <w:szCs w:val="20"/>
          <w:color w:val="auto"/>
        </w:rPr>
      </w:pPr>
      <w:r>
        <w:rPr>
          <w:rFonts w:ascii="Arial" w:cs="Arial" w:eastAsia="Arial" w:hAnsi="Arial"/>
          <w:sz w:val="20"/>
          <w:szCs w:val="20"/>
          <w:b w:val="1"/>
          <w:bCs w:val="1"/>
          <w:color w:val="auto"/>
        </w:rPr>
        <w:t>Guarantors:</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EBH HOLDINGS, LLC</w:t>
      </w:r>
    </w:p>
    <w:p>
      <w:pPr>
        <w:spacing w:after="0" w:line="24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Wynn MA, LLC, its sole member</w:t>
      </w: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Wynn America Group, LLC, its sole member</w:t>
      </w: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Wynn Resorts Finance, LLC, its sole member</w:t>
      </w: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Wynn Resorts Holdings, LLC, its sole member</w:t>
      </w: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Wynn Resorts, Limited, its sole member</w:t>
      </w: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-14605</wp:posOffset>
            </wp:positionV>
            <wp:extent cx="1568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 Craig S. Billings</w:t>
      </w:r>
    </w:p>
    <w:p>
      <w:pPr>
        <w:ind w:left="3900"/>
        <w:spacing w:after="0"/>
        <w:rPr>
          <w:sz w:val="20"/>
          <w:szCs w:val="20"/>
          <w:color w:val="auto"/>
        </w:rPr>
      </w:pPr>
      <w:r>
        <w:rPr>
          <w:rFonts w:ascii="Arial" w:cs="Arial" w:eastAsia="Arial" w:hAnsi="Arial"/>
          <w:sz w:val="20"/>
          <w:szCs w:val="20"/>
          <w:color w:val="auto"/>
        </w:rPr>
        <w:t>Title: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F-5</w:t>
      </w:r>
    </w:p>
    <w:p>
      <w:pPr>
        <w:sectPr>
          <w:pgSz w:w="11900" w:h="16838" w:orient="portrait"/>
          <w:cols w:equalWidth="0" w:num="1">
            <w:col w:w="11120"/>
          </w:cols>
          <w:pgMar w:left="320" w:top="1419" w:right="459" w:bottom="1440" w:gutter="0" w:footer="0" w:header="0"/>
        </w:sectPr>
      </w:pPr>
    </w:p>
    <w:bookmarkStart w:id="189" w:name="page190"/>
    <w:bookmarkEnd w:id="189"/>
    <w:p>
      <w:pPr>
        <w:spacing w:after="0" w:line="200" w:lineRule="exact"/>
        <w:rPr>
          <w:sz w:val="20"/>
          <w:szCs w:val="20"/>
          <w:color w:val="auto"/>
        </w:rPr>
      </w:pPr>
    </w:p>
    <w:p>
      <w:pPr>
        <w:spacing w:after="0" w:line="232"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EBH MA PROPERTY, LLC</w:t>
      </w:r>
    </w:p>
    <w:p>
      <w:pPr>
        <w:spacing w:after="0" w:line="24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Wynn MA, LLC, its managing member</w:t>
      </w:r>
    </w:p>
    <w:p>
      <w:pPr>
        <w:spacing w:after="0" w:line="24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Wynn America Group, LLC, its sole member</w:t>
      </w:r>
    </w:p>
    <w:p>
      <w:pPr>
        <w:spacing w:after="0" w:line="243"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Finance, LLC, its sole member</w:t>
      </w:r>
    </w:p>
    <w:p>
      <w:pPr>
        <w:spacing w:after="0" w:line="254"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Holdings, LLC, its sole member</w:t>
      </w:r>
    </w:p>
    <w:p>
      <w:pPr>
        <w:spacing w:after="0" w:line="25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30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1568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15684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 Craig S. Billings</w:t>
      </w:r>
    </w:p>
    <w:p>
      <w:pPr>
        <w:ind w:left="2780"/>
        <w:spacing w:after="0"/>
        <w:rPr>
          <w:sz w:val="20"/>
          <w:szCs w:val="20"/>
          <w:color w:val="auto"/>
        </w:rPr>
      </w:pPr>
      <w:r>
        <w:rPr>
          <w:rFonts w:ascii="Arial" w:cs="Arial" w:eastAsia="Arial" w:hAnsi="Arial"/>
          <w:sz w:val="18"/>
          <w:szCs w:val="18"/>
          <w:color w:val="auto"/>
        </w:rPr>
        <w:t>Title: President, Chief Financial Officer and Treasurer</w:t>
      </w:r>
    </w:p>
    <w:p>
      <w:pPr>
        <w:spacing w:after="0" w:line="200" w:lineRule="exact"/>
        <w:rPr>
          <w:sz w:val="20"/>
          <w:szCs w:val="20"/>
          <w:color w:val="auto"/>
        </w:rPr>
      </w:pPr>
    </w:p>
    <w:p>
      <w:pPr>
        <w:spacing w:after="0" w:line="287"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WYNN GROUP ASIA, INC.</w:t>
      </w:r>
    </w:p>
    <w:p>
      <w:pPr>
        <w:spacing w:after="0" w:line="200" w:lineRule="exact"/>
        <w:rPr>
          <w:sz w:val="20"/>
          <w:szCs w:val="20"/>
          <w:color w:val="auto"/>
        </w:rPr>
      </w:pPr>
    </w:p>
    <w:p>
      <w:pPr>
        <w:spacing w:after="0" w:line="29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1568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15684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 Craig S. Billings</w:t>
      </w:r>
    </w:p>
    <w:p>
      <w:pPr>
        <w:ind w:left="278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w:t>
      </w:r>
    </w:p>
    <w:p>
      <w:pPr>
        <w:sectPr>
          <w:pgSz w:w="11900" w:h="16838" w:orient="portrait"/>
          <w:cols w:equalWidth="0" w:num="1">
            <w:col w:w="9019"/>
          </w:cols>
          <w:pgMar w:left="1440" w:top="1440" w:right="1440" w:bottom="1440" w:gutter="0" w:footer="0" w:header="0"/>
        </w:sectPr>
      </w:pPr>
    </w:p>
    <w:bookmarkStart w:id="190" w:name="page191"/>
    <w:bookmarkEnd w:id="190"/>
    <w:p>
      <w:pPr>
        <w:ind w:left="2780"/>
        <w:spacing w:after="0"/>
        <w:rPr>
          <w:sz w:val="20"/>
          <w:szCs w:val="20"/>
          <w:color w:val="auto"/>
        </w:rPr>
      </w:pPr>
      <w:r>
        <w:rPr>
          <w:rFonts w:ascii="Arial" w:cs="Arial" w:eastAsia="Arial" w:hAnsi="Arial"/>
          <w:sz w:val="20"/>
          <w:szCs w:val="20"/>
          <w:b w:val="1"/>
          <w:bCs w:val="1"/>
          <w:color w:val="auto"/>
        </w:rPr>
        <w:t>EVERETT PROPERTY, LLC</w:t>
      </w:r>
    </w:p>
    <w:p>
      <w:pPr>
        <w:spacing w:after="0" w:line="24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Wynn America Group, LLC, its sole member</w:t>
      </w:r>
    </w:p>
    <w:p>
      <w:pPr>
        <w:spacing w:after="0" w:line="243"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Finance, LLC, its sole member</w:t>
      </w:r>
    </w:p>
    <w:p>
      <w:pPr>
        <w:spacing w:after="0" w:line="254"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Holdings, LLC, its sole member</w:t>
      </w:r>
    </w:p>
    <w:p>
      <w:pPr>
        <w:spacing w:after="0" w:line="25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30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15684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 Craig S. Billings</w:t>
      </w:r>
    </w:p>
    <w:p>
      <w:pPr>
        <w:ind w:left="2780"/>
        <w:spacing w:after="0"/>
        <w:rPr>
          <w:sz w:val="20"/>
          <w:szCs w:val="20"/>
          <w:color w:val="auto"/>
        </w:rPr>
      </w:pPr>
      <w:r>
        <w:rPr>
          <w:rFonts w:ascii="Arial" w:cs="Arial" w:eastAsia="Arial" w:hAnsi="Arial"/>
          <w:sz w:val="18"/>
          <w:szCs w:val="18"/>
          <w:color w:val="auto"/>
        </w:rPr>
        <w:t>Title: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WYNN AMERICA GROUP, LLC</w:t>
      </w:r>
    </w:p>
    <w:p>
      <w:pPr>
        <w:spacing w:after="0" w:line="249"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Finance, LLC, its sole member</w:t>
      </w:r>
    </w:p>
    <w:p>
      <w:pPr>
        <w:spacing w:after="0" w:line="254"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Holdings, LLC, its sole member</w:t>
      </w:r>
    </w:p>
    <w:p>
      <w:pPr>
        <w:spacing w:after="0" w:line="25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30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1568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 Craig S. Billings</w:t>
      </w:r>
    </w:p>
    <w:p>
      <w:pPr>
        <w:ind w:left="2780"/>
        <w:spacing w:after="0"/>
        <w:rPr>
          <w:sz w:val="20"/>
          <w:szCs w:val="20"/>
          <w:color w:val="auto"/>
        </w:rPr>
      </w:pPr>
      <w:r>
        <w:rPr>
          <w:rFonts w:ascii="Arial" w:cs="Arial" w:eastAsia="Arial" w:hAnsi="Arial"/>
          <w:sz w:val="18"/>
          <w:szCs w:val="18"/>
          <w:color w:val="auto"/>
        </w:rPr>
        <w:t>Title: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WYNN LAS VEGAS HOLDINGS, LLC</w:t>
      </w:r>
    </w:p>
    <w:p>
      <w:pPr>
        <w:spacing w:after="0" w:line="249"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Finance, LLC, its sole member</w:t>
      </w:r>
    </w:p>
    <w:p>
      <w:pPr>
        <w:spacing w:after="0" w:line="254"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Holdings, LLC, its sole member</w:t>
      </w:r>
    </w:p>
    <w:p>
      <w:pPr>
        <w:spacing w:after="0" w:line="25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30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1568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15684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 Craig S. Billings</w:t>
      </w:r>
    </w:p>
    <w:p>
      <w:pPr>
        <w:ind w:left="2780"/>
        <w:spacing w:after="0"/>
        <w:rPr>
          <w:sz w:val="20"/>
          <w:szCs w:val="20"/>
          <w:color w:val="auto"/>
        </w:rPr>
      </w:pPr>
      <w:r>
        <w:rPr>
          <w:rFonts w:ascii="Arial" w:cs="Arial" w:eastAsia="Arial" w:hAnsi="Arial"/>
          <w:sz w:val="18"/>
          <w:szCs w:val="18"/>
          <w:color w:val="auto"/>
        </w:rPr>
        <w:t>Title: President, Chief Financial Officer and Treasurer</w:t>
      </w:r>
    </w:p>
    <w:p>
      <w:pPr>
        <w:sectPr>
          <w:pgSz w:w="11900" w:h="16838" w:orient="portrait"/>
          <w:cols w:equalWidth="0" w:num="1">
            <w:col w:w="9019"/>
          </w:cols>
          <w:pgMar w:left="1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F-7</w:t>
      </w:r>
    </w:p>
    <w:p>
      <w:pPr>
        <w:sectPr>
          <w:pgSz w:w="11900" w:h="16838" w:orient="portrait"/>
          <w:cols w:equalWidth="0" w:num="1">
            <w:col w:w="9019"/>
          </w:cols>
          <w:pgMar w:left="1440" w:top="1413" w:right="1440" w:bottom="1440" w:gutter="0" w:footer="0" w:header="0"/>
          <w:type w:val="continuous"/>
        </w:sectPr>
      </w:pPr>
    </w:p>
    <w:bookmarkStart w:id="191" w:name="page192"/>
    <w:bookmarkEnd w:id="191"/>
    <w:p>
      <w:pPr>
        <w:ind w:left="2780"/>
        <w:spacing w:after="0"/>
        <w:rPr>
          <w:sz w:val="20"/>
          <w:szCs w:val="20"/>
          <w:color w:val="auto"/>
        </w:rPr>
      </w:pPr>
      <w:r>
        <w:rPr>
          <w:rFonts w:ascii="Arial" w:cs="Arial" w:eastAsia="Arial" w:hAnsi="Arial"/>
          <w:sz w:val="20"/>
          <w:szCs w:val="20"/>
          <w:b w:val="1"/>
          <w:bCs w:val="1"/>
          <w:color w:val="auto"/>
        </w:rPr>
        <w:t>WYNN LAS VEGAS, LLC</w:t>
      </w:r>
    </w:p>
    <w:p>
      <w:pPr>
        <w:spacing w:after="0" w:line="24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By: Wynn Las Vegas Holdings, LLC, its sole member</w:t>
      </w:r>
    </w:p>
    <w:p>
      <w:pPr>
        <w:spacing w:after="0" w:line="266"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Finance, LLC, its sole member</w:t>
      </w:r>
    </w:p>
    <w:p>
      <w:pPr>
        <w:spacing w:after="0" w:line="254"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Holdings, LLC, its sole member</w:t>
      </w:r>
    </w:p>
    <w:p>
      <w:pPr>
        <w:spacing w:after="0" w:line="25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30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15684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 Craig S. Billings</w:t>
      </w:r>
    </w:p>
    <w:p>
      <w:pPr>
        <w:ind w:left="2780"/>
        <w:spacing w:after="0"/>
        <w:rPr>
          <w:sz w:val="20"/>
          <w:szCs w:val="20"/>
          <w:color w:val="auto"/>
        </w:rPr>
      </w:pPr>
      <w:r>
        <w:rPr>
          <w:rFonts w:ascii="Arial" w:cs="Arial" w:eastAsia="Arial" w:hAnsi="Arial"/>
          <w:sz w:val="18"/>
          <w:szCs w:val="18"/>
          <w:color w:val="auto"/>
        </w:rPr>
        <w:t>Title: President, Chief Financial Officer and Treasurer</w:t>
      </w:r>
    </w:p>
    <w:p>
      <w:pPr>
        <w:spacing w:after="0" w:line="200" w:lineRule="exact"/>
        <w:rPr>
          <w:sz w:val="20"/>
          <w:szCs w:val="20"/>
          <w:color w:val="auto"/>
        </w:rPr>
      </w:pPr>
    </w:p>
    <w:p>
      <w:pPr>
        <w:spacing w:after="0" w:line="295"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WYNN MA, LLC</w:t>
      </w:r>
    </w:p>
    <w:p>
      <w:pPr>
        <w:spacing w:after="0" w:line="24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Wynn America Group, LLC, its sole member</w:t>
      </w:r>
    </w:p>
    <w:p>
      <w:pPr>
        <w:spacing w:after="0" w:line="243"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Finance, LLC, its sole member</w:t>
      </w:r>
    </w:p>
    <w:p>
      <w:pPr>
        <w:spacing w:after="0" w:line="254"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Holdings, LLC, its sole member</w:t>
      </w:r>
    </w:p>
    <w:p>
      <w:pPr>
        <w:spacing w:after="0" w:line="25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30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1568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15684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 Craig S. Billings</w:t>
      </w:r>
    </w:p>
    <w:p>
      <w:pPr>
        <w:ind w:left="2780"/>
        <w:spacing w:after="0"/>
        <w:rPr>
          <w:sz w:val="20"/>
          <w:szCs w:val="20"/>
          <w:color w:val="auto"/>
        </w:rPr>
      </w:pPr>
      <w:r>
        <w:rPr>
          <w:rFonts w:ascii="Arial" w:cs="Arial" w:eastAsia="Arial" w:hAnsi="Arial"/>
          <w:sz w:val="18"/>
          <w:szCs w:val="18"/>
          <w:color w:val="auto"/>
        </w:rPr>
        <w:t>Title: President, Chief Financial Officer and Treasurer</w:t>
      </w:r>
    </w:p>
    <w:p>
      <w:pPr>
        <w:sectPr>
          <w:pgSz w:w="11900" w:h="16838" w:orient="portrait"/>
          <w:cols w:equalWidth="0" w:num="1">
            <w:col w:w="9019"/>
          </w:cols>
          <w:pgMar w:left="1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F-8</w:t>
      </w:r>
    </w:p>
    <w:p>
      <w:pPr>
        <w:sectPr>
          <w:pgSz w:w="11900" w:h="16838" w:orient="portrait"/>
          <w:cols w:equalWidth="0" w:num="1">
            <w:col w:w="9019"/>
          </w:cols>
          <w:pgMar w:left="1440" w:top="1413" w:right="1440" w:bottom="1440" w:gutter="0" w:footer="0" w:header="0"/>
          <w:type w:val="continuous"/>
        </w:sectPr>
      </w:pPr>
    </w:p>
    <w:bookmarkStart w:id="192" w:name="page193"/>
    <w:bookmarkEnd w:id="192"/>
    <w:p>
      <w:pPr>
        <w:ind w:left="2780"/>
        <w:spacing w:after="0"/>
        <w:rPr>
          <w:sz w:val="20"/>
          <w:szCs w:val="20"/>
          <w:color w:val="auto"/>
        </w:rPr>
      </w:pPr>
      <w:r>
        <w:rPr>
          <w:rFonts w:ascii="Arial" w:cs="Arial" w:eastAsia="Arial" w:hAnsi="Arial"/>
          <w:sz w:val="20"/>
          <w:szCs w:val="20"/>
          <w:b w:val="1"/>
          <w:bCs w:val="1"/>
          <w:color w:val="auto"/>
        </w:rPr>
        <w:t>WYNN SUNRISE, LLC</w:t>
      </w:r>
    </w:p>
    <w:p>
      <w:pPr>
        <w:spacing w:after="0" w:line="24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Wynn Las Vegas, LLC its sole member</w:t>
      </w:r>
    </w:p>
    <w:p>
      <w:pPr>
        <w:spacing w:after="0" w:line="24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By: Wynn Las Vegas Holdings, LLC, its sole member</w:t>
      </w:r>
    </w:p>
    <w:p>
      <w:pPr>
        <w:spacing w:after="0" w:line="266"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Finance, LLC, its sole member</w:t>
      </w:r>
    </w:p>
    <w:p>
      <w:pPr>
        <w:spacing w:after="0" w:line="254"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Holdings, LLC, its sole member</w:t>
      </w:r>
    </w:p>
    <w:p>
      <w:pPr>
        <w:spacing w:after="0" w:line="25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30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1568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 Craig S. Billings</w:t>
      </w:r>
    </w:p>
    <w:p>
      <w:pPr>
        <w:ind w:left="2780"/>
        <w:spacing w:after="0"/>
        <w:rPr>
          <w:sz w:val="20"/>
          <w:szCs w:val="20"/>
          <w:color w:val="auto"/>
        </w:rPr>
      </w:pPr>
      <w:r>
        <w:rPr>
          <w:rFonts w:ascii="Arial" w:cs="Arial" w:eastAsia="Arial" w:hAnsi="Arial"/>
          <w:sz w:val="18"/>
          <w:szCs w:val="18"/>
          <w:color w:val="auto"/>
        </w:rPr>
        <w:t>Title: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color w:val="auto"/>
        </w:rPr>
        <w:t>WYNN LAS VEGAS CAPITAL CORP.</w:t>
      </w:r>
    </w:p>
    <w:p>
      <w:pPr>
        <w:spacing w:after="0" w:line="200" w:lineRule="exact"/>
        <w:rPr>
          <w:sz w:val="20"/>
          <w:szCs w:val="20"/>
          <w:color w:val="auto"/>
        </w:rPr>
      </w:pPr>
    </w:p>
    <w:p>
      <w:pPr>
        <w:spacing w:after="0" w:line="30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1568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15684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 Craig S. Billings</w:t>
      </w:r>
    </w:p>
    <w:p>
      <w:pPr>
        <w:ind w:left="2780"/>
        <w:spacing w:after="0"/>
        <w:rPr>
          <w:sz w:val="20"/>
          <w:szCs w:val="20"/>
          <w:color w:val="auto"/>
        </w:rPr>
      </w:pPr>
      <w:r>
        <w:rPr>
          <w:rFonts w:ascii="Arial" w:cs="Arial" w:eastAsia="Arial" w:hAnsi="Arial"/>
          <w:sz w:val="20"/>
          <w:szCs w:val="20"/>
          <w:color w:val="auto"/>
        </w:rPr>
        <w:t>Title: President, Chief Financial Officer</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F-9</w:t>
      </w:r>
    </w:p>
    <w:p>
      <w:pPr>
        <w:sectPr>
          <w:pgSz w:w="11900" w:h="16838" w:orient="portrait"/>
          <w:cols w:equalWidth="0" w:num="1">
            <w:col w:w="9019"/>
          </w:cols>
          <w:pgMar w:left="1440" w:top="1413" w:right="1440" w:bottom="1440" w:gutter="0" w:footer="0" w:header="0"/>
        </w:sectPr>
      </w:pPr>
    </w:p>
    <w:bookmarkStart w:id="193" w:name="page194"/>
    <w:bookmarkEnd w:id="193"/>
    <w:p>
      <w:pPr>
        <w:spacing w:after="0" w:line="200" w:lineRule="exact"/>
        <w:rPr>
          <w:sz w:val="20"/>
          <w:szCs w:val="20"/>
          <w:color w:val="auto"/>
        </w:rPr>
      </w:pPr>
    </w:p>
    <w:p>
      <w:pPr>
        <w:spacing w:after="0" w:line="268" w:lineRule="exact"/>
        <w:rPr>
          <w:sz w:val="20"/>
          <w:szCs w:val="20"/>
          <w:color w:val="auto"/>
        </w:rPr>
      </w:pPr>
    </w:p>
    <w:p>
      <w:pPr>
        <w:ind w:left="2780"/>
        <w:spacing w:after="0"/>
        <w:rPr>
          <w:sz w:val="20"/>
          <w:szCs w:val="20"/>
          <w:color w:val="auto"/>
        </w:rPr>
      </w:pPr>
      <w:r>
        <w:rPr>
          <w:rFonts w:ascii="Arial" w:cs="Arial" w:eastAsia="Arial" w:hAnsi="Arial"/>
          <w:sz w:val="21"/>
          <w:szCs w:val="21"/>
          <w:b w:val="1"/>
          <w:bCs w:val="1"/>
          <w:color w:val="auto"/>
        </w:rPr>
        <w:t>U.S. BANK NATIONAL ASSOCIATION,</w:t>
      </w:r>
    </w:p>
    <w:p>
      <w:pPr>
        <w:spacing w:after="0" w:line="3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as Trustee</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_______________________________</w:t>
      </w:r>
    </w:p>
    <w:p>
      <w:pPr>
        <w:spacing w:after="0" w:line="3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F-10</w:t>
      </w:r>
    </w:p>
    <w:p>
      <w:pPr>
        <w:sectPr>
          <w:pgSz w:w="11900" w:h="16838" w:orient="portrait"/>
          <w:cols w:equalWidth="0" w:num="1">
            <w:col w:w="9019"/>
          </w:cols>
          <w:pgMar w:left="1440" w:top="1440" w:right="1440" w:bottom="1440" w:gutter="0" w:footer="0" w:header="0"/>
        </w:sectPr>
      </w:pPr>
    </w:p>
    <w:bookmarkStart w:id="194" w:name="page195"/>
    <w:bookmarkEnd w:id="19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95" w:name="page196"/>
    <w:bookmarkEnd w:id="195"/>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39" w:lineRule="exact"/>
        <w:rPr>
          <w:sz w:val="20"/>
          <w:szCs w:val="20"/>
          <w:color w:val="auto"/>
        </w:rPr>
      </w:pPr>
    </w:p>
    <w:p>
      <w:pPr>
        <w:jc w:val="both"/>
        <w:ind w:firstLine="755"/>
        <w:spacing w:after="0" w:line="255" w:lineRule="auto"/>
        <w:rPr>
          <w:sz w:val="20"/>
          <w:szCs w:val="20"/>
          <w:color w:val="auto"/>
        </w:rPr>
      </w:pPr>
      <w:r>
        <w:rPr>
          <w:rFonts w:ascii="Arial" w:cs="Arial" w:eastAsia="Arial" w:hAnsi="Arial"/>
          <w:sz w:val="20"/>
          <w:szCs w:val="20"/>
          <w:color w:val="auto"/>
        </w:rPr>
        <w:t>This AMENDMENT NO. 1 (this “</w:t>
      </w:r>
      <w:r>
        <w:rPr>
          <w:rFonts w:ascii="Arial" w:cs="Arial" w:eastAsia="Arial" w:hAnsi="Arial"/>
          <w:sz w:val="21"/>
          <w:szCs w:val="21"/>
          <w:u w:val="single" w:color="auto"/>
          <w:color w:val="auto"/>
        </w:rPr>
        <w:t>Amendment</w:t>
      </w:r>
      <w:r>
        <w:rPr>
          <w:rFonts w:ascii="Arial" w:cs="Arial" w:eastAsia="Arial" w:hAnsi="Arial"/>
          <w:sz w:val="20"/>
          <w:szCs w:val="20"/>
          <w:color w:val="auto"/>
        </w:rPr>
        <w:t>”), dated as of April 10, 2020 and effective as of the Amendment No. 1 Effective Date (as hereinafter defined), is made and entered into by and among WYNN RESORTS FINANCE, LLC, a Nevada limited liability company (the “</w:t>
      </w:r>
      <w:r>
        <w:rPr>
          <w:rFonts w:ascii="Arial" w:cs="Arial" w:eastAsia="Arial" w:hAnsi="Arial"/>
          <w:sz w:val="21"/>
          <w:szCs w:val="21"/>
          <w:u w:val="single" w:color="auto"/>
          <w:color w:val="auto"/>
        </w:rPr>
        <w:t>Borrower</w:t>
      </w:r>
      <w:r>
        <w:rPr>
          <w:rFonts w:ascii="Arial" w:cs="Arial" w:eastAsia="Arial" w:hAnsi="Arial"/>
          <w:sz w:val="20"/>
          <w:szCs w:val="20"/>
          <w:color w:val="auto"/>
        </w:rPr>
        <w:t>”), the GUARANTORS, each LENDER party hereto, and DEUTSCHE BANK AG NEW YORK BRANCH, as administrative agent for the Lenders under the Existing Credit Agreement (as hereinafter defined) (in such capacity, the “</w:t>
      </w:r>
      <w:r>
        <w:rPr>
          <w:rFonts w:ascii="Arial" w:cs="Arial" w:eastAsia="Arial" w:hAnsi="Arial"/>
          <w:sz w:val="21"/>
          <w:szCs w:val="21"/>
          <w:u w:val="single" w:color="auto"/>
          <w:color w:val="auto"/>
        </w:rPr>
        <w:t>Administrative</w:t>
      </w:r>
      <w:r>
        <w:rPr>
          <w:rFonts w:ascii="Arial" w:cs="Arial" w:eastAsia="Arial" w:hAnsi="Arial"/>
          <w:sz w:val="20"/>
          <w:szCs w:val="20"/>
          <w:color w:val="auto"/>
        </w:rPr>
        <w:t xml:space="preserve"> </w:t>
      </w:r>
      <w:r>
        <w:rPr>
          <w:rFonts w:ascii="Arial" w:cs="Arial" w:eastAsia="Arial" w:hAnsi="Arial"/>
          <w:sz w:val="21"/>
          <w:szCs w:val="21"/>
          <w:u w:val="single" w:color="auto"/>
          <w:color w:val="auto"/>
        </w:rPr>
        <w:t>Agent</w:t>
      </w:r>
      <w:r>
        <w:rPr>
          <w:rFonts w:ascii="Arial" w:cs="Arial" w:eastAsia="Arial" w:hAnsi="Arial"/>
          <w:sz w:val="19"/>
          <w:szCs w:val="19"/>
          <w:color w:val="auto"/>
        </w:rPr>
        <w:t>”).</w:t>
      </w:r>
    </w:p>
    <w:p>
      <w:pPr>
        <w:spacing w:after="0" w:line="194" w:lineRule="exact"/>
        <w:rPr>
          <w:sz w:val="20"/>
          <w:szCs w:val="20"/>
          <w:color w:val="auto"/>
        </w:rPr>
      </w:pPr>
    </w:p>
    <w:p>
      <w:pPr>
        <w:jc w:val="center"/>
        <w:ind w:left="740"/>
        <w:spacing w:after="0"/>
        <w:rPr>
          <w:sz w:val="20"/>
          <w:szCs w:val="20"/>
          <w:color w:val="auto"/>
        </w:rPr>
      </w:pPr>
      <w:r>
        <w:rPr>
          <w:rFonts w:ascii="Arial" w:cs="Arial" w:eastAsia="Arial" w:hAnsi="Arial"/>
          <w:sz w:val="22"/>
          <w:szCs w:val="22"/>
          <w:b w:val="1"/>
          <w:bCs w:val="1"/>
          <w:color w:val="auto"/>
        </w:rPr>
        <w:t>RECITALS:</w:t>
      </w:r>
    </w:p>
    <w:p>
      <w:pPr>
        <w:spacing w:after="0" w:line="257" w:lineRule="exact"/>
        <w:rPr>
          <w:sz w:val="20"/>
          <w:szCs w:val="20"/>
          <w:color w:val="auto"/>
        </w:rPr>
      </w:pPr>
    </w:p>
    <w:p>
      <w:pPr>
        <w:jc w:val="both"/>
        <w:ind w:firstLine="755"/>
        <w:spacing w:after="0" w:line="290" w:lineRule="auto"/>
        <w:rPr>
          <w:sz w:val="20"/>
          <w:szCs w:val="20"/>
          <w:color w:val="auto"/>
        </w:rPr>
      </w:pPr>
      <w:r>
        <w:rPr>
          <w:rFonts w:ascii="Arial" w:cs="Arial" w:eastAsia="Arial" w:hAnsi="Arial"/>
          <w:sz w:val="18"/>
          <w:szCs w:val="18"/>
          <w:color w:val="auto"/>
        </w:rPr>
        <w:t>WHEREAS, reference is hereby made to the Credit Agreement, dated as of September 20, 2019 (as amended, restated, amended and restated, replaced, supplemented, or otherwise modified prior to giving effect to the amendments contemplated by this Amendment, the “</w:t>
      </w:r>
      <w:r>
        <w:rPr>
          <w:rFonts w:ascii="Arial" w:cs="Arial" w:eastAsia="Arial" w:hAnsi="Arial"/>
          <w:sz w:val="19"/>
          <w:szCs w:val="19"/>
          <w:u w:val="single" w:color="auto"/>
          <w:color w:val="auto"/>
        </w:rPr>
        <w:t>Existing Credit Agreement</w:t>
      </w:r>
      <w:r>
        <w:rPr>
          <w:rFonts w:ascii="Arial" w:cs="Arial" w:eastAsia="Arial" w:hAnsi="Arial"/>
          <w:sz w:val="18"/>
          <w:szCs w:val="18"/>
          <w:color w:val="auto"/>
        </w:rPr>
        <w:t>” and, after giving effect to the amendments contemplated by this Amendment, the “</w:t>
      </w:r>
      <w:r>
        <w:rPr>
          <w:rFonts w:ascii="Arial" w:cs="Arial" w:eastAsia="Arial" w:hAnsi="Arial"/>
          <w:sz w:val="19"/>
          <w:szCs w:val="19"/>
          <w:u w:val="single" w:color="auto"/>
          <w:color w:val="auto"/>
        </w:rPr>
        <w:t>Credit Agreement</w:t>
      </w:r>
      <w:r>
        <w:rPr>
          <w:rFonts w:ascii="Arial" w:cs="Arial" w:eastAsia="Arial" w:hAnsi="Arial"/>
          <w:sz w:val="18"/>
          <w:szCs w:val="18"/>
          <w:color w:val="auto"/>
        </w:rPr>
        <w:t>”), among the Borrower, the Guarantors, the Lenders party thereto from time to time, the Administrative Agent, Deutsche Bank AG New York Branch, as collateral agent for the Secured Parties (as defined in the Credit Agreement), and the other parties thereto;</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WHEREAS, the Borrower has requested certain amendments to the Existing Credit Agreement;</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and</w:t>
      </w:r>
    </w:p>
    <w:p>
      <w:pPr>
        <w:spacing w:after="0" w:line="213" w:lineRule="exact"/>
        <w:rPr>
          <w:sz w:val="20"/>
          <w:szCs w:val="20"/>
          <w:color w:val="auto"/>
        </w:rPr>
      </w:pPr>
    </w:p>
    <w:p>
      <w:pPr>
        <w:jc w:val="both"/>
        <w:ind w:firstLine="755"/>
        <w:spacing w:after="0" w:line="228" w:lineRule="auto"/>
        <w:rPr>
          <w:sz w:val="20"/>
          <w:szCs w:val="20"/>
          <w:color w:val="auto"/>
        </w:rPr>
      </w:pPr>
      <w:r>
        <w:rPr>
          <w:rFonts w:ascii="Arial" w:cs="Arial" w:eastAsia="Arial" w:hAnsi="Arial"/>
          <w:sz w:val="20"/>
          <w:szCs w:val="20"/>
          <w:color w:val="auto"/>
        </w:rPr>
        <w:t xml:space="preserve">WHEREAS, the Administrative Agent, the Borrower and the Lenders party hereto, constituting the Required Lenders, are willing to agree to such amendments pursuant to </w:t>
      </w:r>
      <w:r>
        <w:rPr>
          <w:rFonts w:ascii="Arial" w:cs="Arial" w:eastAsia="Arial" w:hAnsi="Arial"/>
          <w:sz w:val="21"/>
          <w:szCs w:val="21"/>
          <w:u w:val="single" w:color="auto"/>
          <w:color w:val="auto"/>
        </w:rPr>
        <w:t>Section 13.04</w:t>
      </w:r>
      <w:r>
        <w:rPr>
          <w:rFonts w:ascii="Arial" w:cs="Arial" w:eastAsia="Arial" w:hAnsi="Arial"/>
          <w:sz w:val="20"/>
          <w:szCs w:val="20"/>
          <w:color w:val="auto"/>
        </w:rPr>
        <w:t xml:space="preserve"> of the Credit Agreement, subject to the terms and conditions set forth in this Amendment.</w:t>
      </w:r>
    </w:p>
    <w:p>
      <w:pPr>
        <w:spacing w:after="0" w:line="211" w:lineRule="exact"/>
        <w:rPr>
          <w:sz w:val="20"/>
          <w:szCs w:val="20"/>
          <w:color w:val="auto"/>
        </w:rPr>
      </w:pPr>
    </w:p>
    <w:p>
      <w:pPr>
        <w:jc w:val="both"/>
        <w:ind w:firstLine="755"/>
        <w:spacing w:after="0" w:line="332" w:lineRule="auto"/>
        <w:rPr>
          <w:sz w:val="20"/>
          <w:szCs w:val="20"/>
          <w:color w:val="auto"/>
        </w:rPr>
      </w:pPr>
      <w:r>
        <w:rPr>
          <w:rFonts w:ascii="Arial" w:cs="Arial" w:eastAsia="Arial" w:hAnsi="Arial"/>
          <w:sz w:val="18"/>
          <w:szCs w:val="18"/>
          <w:color w:val="auto"/>
        </w:rPr>
        <w:t>NOW, THEREFORE, in consideration of the premises and agreements, provisions, and covenants herein contained and other good and valuable consideration, the receipt and sufficiency of which are hereby acknowledged, the parties hereto agree as follows:</w:t>
      </w:r>
    </w:p>
    <w:p>
      <w:pPr>
        <w:spacing w:after="0" w:line="132" w:lineRule="exact"/>
        <w:rPr>
          <w:sz w:val="20"/>
          <w:szCs w:val="20"/>
          <w:color w:val="auto"/>
        </w:rPr>
      </w:pPr>
    </w:p>
    <w:p>
      <w:pPr>
        <w:ind w:left="5440"/>
        <w:spacing w:after="0"/>
        <w:rPr>
          <w:sz w:val="20"/>
          <w:szCs w:val="20"/>
          <w:color w:val="auto"/>
        </w:rPr>
      </w:pPr>
      <w:r>
        <w:rPr>
          <w:rFonts w:ascii="Arial" w:cs="Arial" w:eastAsia="Arial" w:hAnsi="Arial"/>
          <w:sz w:val="22"/>
          <w:szCs w:val="22"/>
          <w:b w:val="1"/>
          <w:bCs w:val="1"/>
          <w:color w:val="auto"/>
        </w:rPr>
        <w:t>ARTICLE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39" w:lineRule="exact"/>
        <w:rPr>
          <w:sz w:val="20"/>
          <w:szCs w:val="20"/>
          <w:color w:val="auto"/>
        </w:rPr>
      </w:pPr>
    </w:p>
    <w:p>
      <w:pPr>
        <w:jc w:val="both"/>
        <w:ind w:firstLine="756"/>
        <w:spacing w:after="0" w:line="266"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1"/>
          <w:szCs w:val="21"/>
          <w:u w:val="single" w:color="auto"/>
          <w:color w:val="auto"/>
        </w:rPr>
        <w:t>Definitions</w:t>
      </w:r>
      <w:r>
        <w:rPr>
          <w:rFonts w:ascii="Arial" w:cs="Arial" w:eastAsia="Arial" w:hAnsi="Arial"/>
          <w:sz w:val="20"/>
          <w:szCs w:val="20"/>
          <w:color w:val="auto"/>
        </w:rPr>
        <w:t>. Except as otherwise expressly provided herein, capitalized terms used in this Amendment (including in the Recitals and the introductory paragraph above) shall have the meanings given in the Credit Agreement, and the rules of construction set forth in the Credit Agreement shall apply to this Amendment.</w:t>
      </w:r>
    </w:p>
    <w:p>
      <w:pPr>
        <w:spacing w:after="0" w:line="189" w:lineRule="exact"/>
        <w:rPr>
          <w:sz w:val="20"/>
          <w:szCs w:val="20"/>
          <w:color w:val="auto"/>
        </w:rPr>
      </w:pPr>
    </w:p>
    <w:p>
      <w:pPr>
        <w:ind w:left="5400"/>
        <w:spacing w:after="0"/>
        <w:rPr>
          <w:sz w:val="20"/>
          <w:szCs w:val="20"/>
          <w:color w:val="auto"/>
        </w:rPr>
      </w:pPr>
      <w:r>
        <w:rPr>
          <w:rFonts w:ascii="Arial" w:cs="Arial" w:eastAsia="Arial" w:hAnsi="Arial"/>
          <w:sz w:val="22"/>
          <w:szCs w:val="22"/>
          <w:b w:val="1"/>
          <w:bCs w:val="1"/>
          <w:color w:val="auto"/>
        </w:rPr>
        <w:t>ARTICLE II</w:t>
      </w:r>
    </w:p>
    <w:p>
      <w:pPr>
        <w:spacing w:after="0" w:line="233"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AMENDMENTS TO EXISTING CREDIT AGREEMENT</w:t>
      </w:r>
    </w:p>
    <w:p>
      <w:pPr>
        <w:spacing w:after="0" w:line="239" w:lineRule="exact"/>
        <w:rPr>
          <w:sz w:val="20"/>
          <w:szCs w:val="20"/>
          <w:color w:val="auto"/>
        </w:rPr>
      </w:pPr>
    </w:p>
    <w:p>
      <w:pPr>
        <w:jc w:val="both"/>
        <w:ind w:firstLine="755"/>
        <w:spacing w:after="0" w:line="242" w:lineRule="auto"/>
        <w:rPr>
          <w:sz w:val="20"/>
          <w:szCs w:val="20"/>
          <w:color w:val="auto"/>
        </w:rPr>
      </w:pPr>
      <w:r>
        <w:rPr>
          <w:rFonts w:ascii="Arial" w:cs="Arial" w:eastAsia="Arial" w:hAnsi="Arial"/>
          <w:sz w:val="20"/>
          <w:szCs w:val="20"/>
          <w:color w:val="auto"/>
        </w:rPr>
        <w:t xml:space="preserve">SECTION 2.1 </w:t>
      </w:r>
      <w:r>
        <w:rPr>
          <w:rFonts w:ascii="Arial" w:cs="Arial" w:eastAsia="Arial" w:hAnsi="Arial"/>
          <w:sz w:val="21"/>
          <w:szCs w:val="21"/>
          <w:u w:val="single" w:color="auto"/>
          <w:color w:val="auto"/>
        </w:rPr>
        <w:t>Amendments to Existing Credit Agreement</w:t>
      </w:r>
      <w:r>
        <w:rPr>
          <w:rFonts w:ascii="Arial" w:cs="Arial" w:eastAsia="Arial" w:hAnsi="Arial"/>
          <w:sz w:val="20"/>
          <w:szCs w:val="20"/>
          <w:color w:val="auto"/>
        </w:rPr>
        <w:t>. The following amendments to the Existing Credit Agreement shall take effect and become operative upon the earlier of (x) the receipt by the Borrower of up to $600.0 million in gross proceeds from the offering of senior unsecured notes by the Borrower and Wynn Resorts Capital Corp., as co-issuers, and (y) the date that is 45 days following the Amendment No. 1 Effective Date (the “</w:t>
      </w:r>
      <w:r>
        <w:rPr>
          <w:rFonts w:ascii="Arial" w:cs="Arial" w:eastAsia="Arial" w:hAnsi="Arial"/>
          <w:sz w:val="21"/>
          <w:szCs w:val="21"/>
          <w:u w:val="single" w:color="auto"/>
          <w:color w:val="auto"/>
        </w:rPr>
        <w:t>Section 2.1 Effective Date</w:t>
      </w:r>
      <w:r>
        <w:rPr>
          <w:rFonts w:ascii="Arial" w:cs="Arial" w:eastAsia="Arial" w:hAnsi="Arial"/>
          <w:sz w:val="20"/>
          <w:szCs w:val="20"/>
          <w:color w:val="auto"/>
        </w:rPr>
        <w:t>”):</w:t>
      </w:r>
    </w:p>
    <w:p>
      <w:pPr>
        <w:sectPr>
          <w:pgSz w:w="11900" w:h="16838" w:orient="portrait"/>
          <w:cols w:equalWidth="0" w:num="1">
            <w:col w:w="11240"/>
          </w:cols>
          <w:pgMar w:left="320" w:top="118" w:right="339" w:bottom="1440" w:gutter="0" w:footer="0" w:header="0"/>
        </w:sectPr>
      </w:pPr>
    </w:p>
    <w:bookmarkStart w:id="196" w:name="page197"/>
    <w:bookmarkEnd w:id="196"/>
    <w:p>
      <w:pPr>
        <w:spacing w:after="0" w:line="204" w:lineRule="exact"/>
        <w:rPr>
          <w:sz w:val="20"/>
          <w:szCs w:val="20"/>
          <w:color w:val="auto"/>
        </w:rPr>
      </w:pPr>
    </w:p>
    <w:p>
      <w:pPr>
        <w:ind w:left="328" w:right="360" w:hanging="328"/>
        <w:spacing w:after="0" w:line="253" w:lineRule="auto"/>
        <w:tabs>
          <w:tab w:leader="none" w:pos="317" w:val="left"/>
        </w:tabs>
        <w:numPr>
          <w:ilvl w:val="0"/>
          <w:numId w:val="214"/>
        </w:numPr>
        <w:rPr>
          <w:rFonts w:ascii="Arial" w:cs="Arial" w:eastAsia="Arial" w:hAnsi="Arial"/>
          <w:sz w:val="20"/>
          <w:szCs w:val="20"/>
          <w:color w:val="auto"/>
        </w:rPr>
      </w:pPr>
      <w:r>
        <w:rPr>
          <w:rFonts w:ascii="Arial" w:cs="Arial" w:eastAsia="Arial" w:hAnsi="Arial"/>
          <w:sz w:val="20"/>
          <w:szCs w:val="20"/>
          <w:color w:val="auto"/>
        </w:rPr>
        <w:t xml:space="preserve">The definition of “Consolidated EBITDA” set forth in </w:t>
      </w:r>
      <w:r>
        <w:rPr>
          <w:rFonts w:ascii="Arial" w:cs="Arial" w:eastAsia="Arial" w:hAnsi="Arial"/>
          <w:sz w:val="21"/>
          <w:szCs w:val="21"/>
          <w:u w:val="single" w:color="auto"/>
          <w:color w:val="auto"/>
        </w:rPr>
        <w:t>Section 1.01</w:t>
      </w:r>
      <w:r>
        <w:rPr>
          <w:rFonts w:ascii="Arial" w:cs="Arial" w:eastAsia="Arial" w:hAnsi="Arial"/>
          <w:sz w:val="20"/>
          <w:szCs w:val="20"/>
          <w:color w:val="auto"/>
        </w:rPr>
        <w:t xml:space="preserve"> of the Existing Credit Agreement is hereby amended to add clause (g) below:</w:t>
      </w:r>
    </w:p>
    <w:p>
      <w:pPr>
        <w:spacing w:after="0" w:line="209" w:lineRule="exact"/>
        <w:rPr>
          <w:rFonts w:ascii="Arial" w:cs="Arial" w:eastAsia="Arial" w:hAnsi="Arial"/>
          <w:sz w:val="20"/>
          <w:szCs w:val="20"/>
          <w:color w:val="auto"/>
        </w:rPr>
      </w:pPr>
    </w:p>
    <w:p>
      <w:pPr>
        <w:jc w:val="both"/>
        <w:ind w:left="328" w:hanging="4"/>
        <w:spacing w:after="0" w:line="251" w:lineRule="auto"/>
        <w:tabs>
          <w:tab w:leader="none" w:pos="625" w:val="left"/>
        </w:tabs>
        <w:numPr>
          <w:ilvl w:val="1"/>
          <w:numId w:val="214"/>
        </w:numPr>
        <w:rPr>
          <w:rFonts w:ascii="Arial" w:cs="Arial" w:eastAsia="Arial" w:hAnsi="Arial"/>
          <w:sz w:val="20"/>
          <w:szCs w:val="20"/>
          <w:color w:val="auto"/>
        </w:rPr>
      </w:pPr>
      <w:r>
        <w:rPr>
          <w:rFonts w:ascii="Arial" w:cs="Arial" w:eastAsia="Arial" w:hAnsi="Arial"/>
          <w:sz w:val="20"/>
          <w:szCs w:val="20"/>
          <w:color w:val="auto"/>
        </w:rPr>
        <w:t>to provide that, as of the last day of any fiscal quarter occurring during the Financial Covenant Increase Period, no more than $200.0 million of the dividends and distributions paid or, at Borrower’s election, declared to Wynn Group Asia by its direct and indirect Subsidiaries that are included in Consolidated Net Income pursuant to clause (c) of the definition thereof during the applicable Test Period will be included in the calculation hereof.</w:t>
      </w:r>
    </w:p>
    <w:p>
      <w:pPr>
        <w:spacing w:after="0" w:line="194" w:lineRule="exact"/>
        <w:rPr>
          <w:rFonts w:ascii="Arial" w:cs="Arial" w:eastAsia="Arial" w:hAnsi="Arial"/>
          <w:sz w:val="20"/>
          <w:szCs w:val="20"/>
          <w:color w:val="auto"/>
        </w:rPr>
      </w:pPr>
    </w:p>
    <w:p>
      <w:pPr>
        <w:ind w:left="328" w:right="220" w:hanging="328"/>
        <w:spacing w:after="0" w:line="253" w:lineRule="auto"/>
        <w:tabs>
          <w:tab w:leader="none" w:pos="317" w:val="left"/>
        </w:tabs>
        <w:numPr>
          <w:ilvl w:val="0"/>
          <w:numId w:val="214"/>
        </w:numPr>
        <w:rPr>
          <w:rFonts w:ascii="Arial" w:cs="Arial" w:eastAsia="Arial" w:hAnsi="Arial"/>
          <w:sz w:val="20"/>
          <w:szCs w:val="20"/>
          <w:color w:val="auto"/>
        </w:rPr>
      </w:pPr>
      <w:r>
        <w:rPr>
          <w:rFonts w:ascii="Arial" w:cs="Arial" w:eastAsia="Arial" w:hAnsi="Arial"/>
          <w:sz w:val="20"/>
          <w:szCs w:val="20"/>
          <w:color w:val="auto"/>
        </w:rPr>
        <w:t xml:space="preserve">The definition of “Material Adverse Effect” set forth in </w:t>
      </w:r>
      <w:r>
        <w:rPr>
          <w:rFonts w:ascii="Arial" w:cs="Arial" w:eastAsia="Arial" w:hAnsi="Arial"/>
          <w:sz w:val="21"/>
          <w:szCs w:val="21"/>
          <w:u w:val="single" w:color="auto"/>
          <w:color w:val="auto"/>
        </w:rPr>
        <w:t>Section 1.01</w:t>
      </w:r>
      <w:r>
        <w:rPr>
          <w:rFonts w:ascii="Arial" w:cs="Arial" w:eastAsia="Arial" w:hAnsi="Arial"/>
          <w:sz w:val="20"/>
          <w:szCs w:val="20"/>
          <w:color w:val="auto"/>
        </w:rPr>
        <w:t xml:space="preserve"> of the Existing Credit Agreement is hereby replaced with the following definition:</w:t>
      </w:r>
    </w:p>
    <w:p>
      <w:pPr>
        <w:spacing w:after="0" w:line="185" w:lineRule="exact"/>
        <w:rPr>
          <w:rFonts w:ascii="Arial" w:cs="Arial" w:eastAsia="Arial" w:hAnsi="Arial"/>
          <w:sz w:val="20"/>
          <w:szCs w:val="20"/>
          <w:color w:val="auto"/>
        </w:rPr>
      </w:pPr>
    </w:p>
    <w:p>
      <w:pPr>
        <w:jc w:val="both"/>
        <w:ind w:left="328"/>
        <w:spacing w:after="0" w:line="263" w:lineRule="auto"/>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20"/>
          <w:szCs w:val="20"/>
          <w:b w:val="1"/>
          <w:bCs w:val="1"/>
          <w:color w:val="auto"/>
        </w:rPr>
        <w:t>Material Adverse Effect</w:t>
      </w:r>
      <w:r>
        <w:rPr>
          <w:rFonts w:ascii="Arial" w:cs="Arial" w:eastAsia="Arial" w:hAnsi="Arial"/>
          <w:sz w:val="19"/>
          <w:szCs w:val="19"/>
          <w:color w:val="auto"/>
        </w:rPr>
        <w:t xml:space="preserve">” shall mean (a) a material adverse effect on the business, assets, financial condition or results of operations of Borrower and its Restricted Subsidiaries, taken as a whole and after giving effect to the Transactions, (b) a material adverse effect on the ability of the Credit Parties (taken as a whole) to satisfy their material payment Obligations under the Credit Documents or (c) a material adverse effect on the legality, binding effect or enforceability against any material Credit Party, of the Credit Documents to which it is a party or any of the material rights and remedies of any Secured Party thereunder or the legality, priority or enforceability of the Liens on a material portion of the Collateral; </w:t>
      </w:r>
      <w:r>
        <w:rPr>
          <w:rFonts w:ascii="Arial" w:cs="Arial" w:eastAsia="Arial" w:hAnsi="Arial"/>
          <w:sz w:val="20"/>
          <w:szCs w:val="20"/>
          <w:i w:val="1"/>
          <w:iCs w:val="1"/>
          <w:color w:val="auto"/>
        </w:rPr>
        <w:t>provided</w:t>
      </w:r>
      <w:r>
        <w:rPr>
          <w:rFonts w:ascii="Arial" w:cs="Arial" w:eastAsia="Arial" w:hAnsi="Arial"/>
          <w:sz w:val="19"/>
          <w:szCs w:val="19"/>
          <w:color w:val="auto"/>
        </w:rPr>
        <w:t>, that neither (x) any litigation challenging the issuance of a Gaming License nor (y) in the case of clauses (a) and (b) above, the effects of the novel coronavirus pandemic or, in each case, any matters arising therefrom shall constitute, result or otherwise have (or reasonably be expected to constitute, result or otherwise have) a Material Adverse Effect.</w:t>
      </w:r>
    </w:p>
    <w:p>
      <w:pPr>
        <w:spacing w:after="0" w:line="201" w:lineRule="exact"/>
        <w:rPr>
          <w:rFonts w:ascii="Arial" w:cs="Arial" w:eastAsia="Arial" w:hAnsi="Arial"/>
          <w:sz w:val="20"/>
          <w:szCs w:val="20"/>
          <w:color w:val="auto"/>
        </w:rPr>
      </w:pPr>
    </w:p>
    <w:p>
      <w:pPr>
        <w:ind w:left="328" w:right="1000" w:hanging="328"/>
        <w:spacing w:after="0" w:line="245" w:lineRule="auto"/>
        <w:tabs>
          <w:tab w:leader="none" w:pos="320" w:val="left"/>
        </w:tabs>
        <w:numPr>
          <w:ilvl w:val="0"/>
          <w:numId w:val="214"/>
        </w:numPr>
        <w:rPr>
          <w:rFonts w:ascii="Arial" w:cs="Arial" w:eastAsia="Arial" w:hAnsi="Arial"/>
          <w:sz w:val="20"/>
          <w:szCs w:val="20"/>
          <w:color w:val="auto"/>
        </w:rPr>
      </w:pP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w:t>
      </w:r>
      <w:r>
        <w:rPr>
          <w:rFonts w:ascii="Arial" w:cs="Arial" w:eastAsia="Arial" w:hAnsi="Arial"/>
          <w:sz w:val="19"/>
          <w:szCs w:val="19"/>
          <w:color w:val="auto"/>
        </w:rPr>
        <w:t>of the Existing Credit Agreement is hereby amended by adding the following definitions in the appropriate</w:t>
      </w:r>
      <w:r>
        <w:rPr>
          <w:rFonts w:ascii="Arial" w:cs="Arial" w:eastAsia="Arial" w:hAnsi="Arial"/>
          <w:sz w:val="22"/>
          <w:szCs w:val="22"/>
          <w:color w:val="auto"/>
        </w:rPr>
        <w:t xml:space="preserve"> </w:t>
      </w:r>
      <w:r>
        <w:rPr>
          <w:rFonts w:ascii="Arial" w:cs="Arial" w:eastAsia="Arial" w:hAnsi="Arial"/>
          <w:sz w:val="19"/>
          <w:szCs w:val="19"/>
          <w:color w:val="auto"/>
        </w:rPr>
        <w:t>alphabetical order:</w:t>
      </w:r>
    </w:p>
    <w:p>
      <w:pPr>
        <w:spacing w:after="0" w:line="206" w:lineRule="exact"/>
        <w:rPr>
          <w:rFonts w:ascii="Arial" w:cs="Arial" w:eastAsia="Arial" w:hAnsi="Arial"/>
          <w:sz w:val="20"/>
          <w:szCs w:val="20"/>
          <w:color w:val="auto"/>
        </w:rPr>
      </w:pPr>
    </w:p>
    <w:p>
      <w:pPr>
        <w:jc w:val="both"/>
        <w:ind w:left="328"/>
        <w:spacing w:after="0" w:line="278" w:lineRule="auto"/>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b w:val="1"/>
          <w:bCs w:val="1"/>
          <w:color w:val="auto"/>
        </w:rPr>
        <w:t>Financial Covenant Increase Period</w:t>
      </w:r>
      <w:r>
        <w:rPr>
          <w:rFonts w:ascii="Arial" w:cs="Arial" w:eastAsia="Arial" w:hAnsi="Arial"/>
          <w:sz w:val="18"/>
          <w:szCs w:val="18"/>
          <w:color w:val="auto"/>
        </w:rPr>
        <w:t xml:space="preserve">” shall mean the period commencing on the first day after the expiration of the Financial Covenant Relief Period and ending on the earlier of (x) the first day of the fourth fiscal quarter after the expiration of the Financial Covenant Relief Period and (y) the day upon which the Borrower shall have notified the Administrative Agent in writing that it has elected to end the Financial Covenant Increase Period; </w:t>
      </w:r>
      <w:r>
        <w:rPr>
          <w:rFonts w:ascii="Arial" w:cs="Arial" w:eastAsia="Arial" w:hAnsi="Arial"/>
          <w:sz w:val="19"/>
          <w:szCs w:val="19"/>
          <w:i w:val="1"/>
          <w:iCs w:val="1"/>
          <w:color w:val="auto"/>
        </w:rPr>
        <w:t>provided</w:t>
      </w:r>
      <w:r>
        <w:rPr>
          <w:rFonts w:ascii="Arial" w:cs="Arial" w:eastAsia="Arial" w:hAnsi="Arial"/>
          <w:sz w:val="18"/>
          <w:szCs w:val="18"/>
          <w:color w:val="auto"/>
        </w:rPr>
        <w:t>, that (i) if the Borrower elects to end the Financial Covenant Increase Period pursuant to clause (y) above, the Financial Covenant Increase Period cannot be reinstated.</w:t>
      </w:r>
    </w:p>
    <w:p>
      <w:pPr>
        <w:spacing w:after="0" w:line="178" w:lineRule="exact"/>
        <w:rPr>
          <w:rFonts w:ascii="Arial" w:cs="Arial" w:eastAsia="Arial" w:hAnsi="Arial"/>
          <w:sz w:val="20"/>
          <w:szCs w:val="20"/>
          <w:color w:val="auto"/>
        </w:rPr>
      </w:pPr>
    </w:p>
    <w:p>
      <w:pPr>
        <w:jc w:val="both"/>
        <w:ind w:left="328"/>
        <w:spacing w:after="0" w:line="248" w:lineRule="auto"/>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1"/>
          <w:szCs w:val="21"/>
          <w:b w:val="1"/>
          <w:bCs w:val="1"/>
          <w:color w:val="auto"/>
        </w:rPr>
        <w:t>Financial Covenant Relief Period</w:t>
      </w:r>
      <w:r>
        <w:rPr>
          <w:rFonts w:ascii="Arial" w:cs="Arial" w:eastAsia="Arial" w:hAnsi="Arial"/>
          <w:sz w:val="20"/>
          <w:szCs w:val="20"/>
          <w:color w:val="auto"/>
        </w:rPr>
        <w:t xml:space="preserve">” shall mean the period commencing on the Section 2.1 Effective Date and ending on the earlier of (x) the first day of the fiscal quarter beginning April 1, 2021 and (y) the day upon which the Borrower shall have notified the Administrative Agent in writing that it has elected to end the Financial Covenant Relief Period; </w:t>
      </w:r>
      <w:r>
        <w:rPr>
          <w:rFonts w:ascii="Arial" w:cs="Arial" w:eastAsia="Arial" w:hAnsi="Arial"/>
          <w:sz w:val="21"/>
          <w:szCs w:val="21"/>
          <w:i w:val="1"/>
          <w:iCs w:val="1"/>
          <w:color w:val="auto"/>
        </w:rPr>
        <w:t>provided</w:t>
      </w:r>
      <w:r>
        <w:rPr>
          <w:rFonts w:ascii="Arial" w:cs="Arial" w:eastAsia="Arial" w:hAnsi="Arial"/>
          <w:sz w:val="20"/>
          <w:szCs w:val="20"/>
          <w:color w:val="auto"/>
        </w:rPr>
        <w:t>, that if the Borrower elects to end the Financial Covenant Relief Period pursuant to clause (y) above, the Financial Covenant Relief Period cannot be reinstated.</w:t>
      </w:r>
    </w:p>
    <w:p>
      <w:pPr>
        <w:spacing w:after="0" w:line="192" w:lineRule="exact"/>
        <w:rPr>
          <w:rFonts w:ascii="Arial" w:cs="Arial" w:eastAsia="Arial" w:hAnsi="Arial"/>
          <w:sz w:val="20"/>
          <w:szCs w:val="20"/>
          <w:color w:val="auto"/>
        </w:rPr>
      </w:pPr>
    </w:p>
    <w:p>
      <w:pPr>
        <w:jc w:val="both"/>
        <w:ind w:left="328"/>
        <w:spacing w:after="0" w:line="283" w:lineRule="auto"/>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20"/>
          <w:szCs w:val="20"/>
          <w:b w:val="1"/>
          <w:bCs w:val="1"/>
          <w:color w:val="auto"/>
        </w:rPr>
        <w:t>Liquidity</w:t>
      </w:r>
      <w:r>
        <w:rPr>
          <w:rFonts w:ascii="Arial" w:cs="Arial" w:eastAsia="Arial" w:hAnsi="Arial"/>
          <w:sz w:val="19"/>
          <w:szCs w:val="19"/>
          <w:color w:val="auto"/>
        </w:rPr>
        <w:t xml:space="preserve">” means, on any date, the sum of (i) the aggregate amount of Unrestricted Operating Cash of the Borrower and its Restricted Subsidiaries in accordance with GAAP on such date </w:t>
      </w:r>
      <w:r>
        <w:rPr>
          <w:rFonts w:ascii="Arial" w:cs="Arial" w:eastAsia="Arial" w:hAnsi="Arial"/>
          <w:sz w:val="20"/>
          <w:szCs w:val="20"/>
          <w:u w:val="single" w:color="auto"/>
          <w:color w:val="auto"/>
        </w:rPr>
        <w:t>plus</w:t>
      </w:r>
      <w:r>
        <w:rPr>
          <w:rFonts w:ascii="Arial" w:cs="Arial" w:eastAsia="Arial" w:hAnsi="Arial"/>
          <w:sz w:val="19"/>
          <w:szCs w:val="19"/>
          <w:color w:val="auto"/>
        </w:rPr>
        <w:t xml:space="preserve"> (ii) the excess of the aggregate principal amount of Revolving Commitments in effect on such date over the aggregate Revolving Tranche Exposures of all Lenders on such date.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908"/>
          </w:cols>
          <w:pgMar w:left="652" w:top="1440" w:right="339" w:bottom="1440" w:gutter="0" w:footer="0" w:header="0"/>
        </w:sectPr>
      </w:pPr>
    </w:p>
    <w:bookmarkStart w:id="197" w:name="page198"/>
    <w:bookmarkEnd w:id="197"/>
    <w:p>
      <w:pPr>
        <w:spacing w:after="0" w:line="218" w:lineRule="exact"/>
        <w:rPr>
          <w:sz w:val="20"/>
          <w:szCs w:val="20"/>
          <w:color w:val="auto"/>
        </w:rPr>
      </w:pPr>
    </w:p>
    <w:p>
      <w:pPr>
        <w:ind w:left="308" w:hanging="308"/>
        <w:spacing w:after="0"/>
        <w:tabs>
          <w:tab w:leader="none" w:pos="308" w:val="left"/>
        </w:tabs>
        <w:numPr>
          <w:ilvl w:val="0"/>
          <w:numId w:val="215"/>
        </w:numPr>
        <w:rPr>
          <w:rFonts w:ascii="Arial" w:cs="Arial" w:eastAsia="Arial" w:hAnsi="Arial"/>
          <w:sz w:val="20"/>
          <w:szCs w:val="20"/>
          <w:color w:val="auto"/>
        </w:rPr>
      </w:pPr>
      <w:r>
        <w:rPr>
          <w:rFonts w:ascii="Arial" w:cs="Arial" w:eastAsia="Arial" w:hAnsi="Arial"/>
          <w:sz w:val="22"/>
          <w:szCs w:val="22"/>
          <w:u w:val="single" w:color="auto"/>
          <w:color w:val="auto"/>
        </w:rPr>
        <w:t>Section 9.04(a)</w:t>
      </w:r>
      <w:r>
        <w:rPr>
          <w:rFonts w:ascii="Arial" w:cs="Arial" w:eastAsia="Arial" w:hAnsi="Arial"/>
          <w:sz w:val="22"/>
          <w:szCs w:val="22"/>
          <w:color w:val="auto"/>
        </w:rPr>
        <w:t xml:space="preserve"> </w:t>
      </w:r>
      <w:r>
        <w:rPr>
          <w:rFonts w:ascii="Arial" w:cs="Arial" w:eastAsia="Arial" w:hAnsi="Arial"/>
          <w:sz w:val="19"/>
          <w:szCs w:val="19"/>
          <w:color w:val="auto"/>
        </w:rPr>
        <w:t>of the Existing Credit Agreement is hereby amended and replaced with the following:</w:t>
      </w:r>
    </w:p>
    <w:p>
      <w:pPr>
        <w:spacing w:after="0" w:line="227" w:lineRule="exact"/>
        <w:rPr>
          <w:rFonts w:ascii="Arial" w:cs="Arial" w:eastAsia="Arial" w:hAnsi="Arial"/>
          <w:sz w:val="20"/>
          <w:szCs w:val="20"/>
          <w:color w:val="auto"/>
        </w:rPr>
      </w:pPr>
    </w:p>
    <w:p>
      <w:pPr>
        <w:ind w:left="328"/>
        <w:spacing w:after="0"/>
        <w:rPr>
          <w:rFonts w:ascii="Arial" w:cs="Arial" w:eastAsia="Arial" w:hAnsi="Arial"/>
          <w:sz w:val="20"/>
          <w:szCs w:val="20"/>
          <w:color w:val="auto"/>
        </w:rPr>
      </w:pPr>
      <w:r>
        <w:rPr>
          <w:rFonts w:ascii="Arial" w:cs="Arial" w:eastAsia="Arial" w:hAnsi="Arial"/>
          <w:sz w:val="21"/>
          <w:szCs w:val="21"/>
          <w:b w:val="1"/>
          <w:bCs w:val="1"/>
          <w:color w:val="auto"/>
        </w:rPr>
        <w:t>Quarterly Financials</w:t>
      </w:r>
      <w:r>
        <w:rPr>
          <w:rFonts w:ascii="Arial" w:cs="Arial" w:eastAsia="Arial" w:hAnsi="Arial"/>
          <w:sz w:val="18"/>
          <w:szCs w:val="18"/>
          <w:color w:val="auto"/>
        </w:rPr>
        <w:t>. As soon as available and in any event prior to (x) during the Financial Covenant Relief Period, the later of</w:t>
      </w:r>
    </w:p>
    <w:p>
      <w:pPr>
        <w:spacing w:after="0" w:line="38" w:lineRule="exact"/>
        <w:rPr>
          <w:rFonts w:ascii="Arial" w:cs="Arial" w:eastAsia="Arial" w:hAnsi="Arial"/>
          <w:sz w:val="20"/>
          <w:szCs w:val="20"/>
          <w:color w:val="auto"/>
        </w:rPr>
      </w:pPr>
    </w:p>
    <w:p>
      <w:pPr>
        <w:jc w:val="both"/>
        <w:ind w:left="328"/>
        <w:spacing w:after="0" w:line="257" w:lineRule="auto"/>
        <w:rPr>
          <w:rFonts w:ascii="Arial" w:cs="Arial" w:eastAsia="Arial" w:hAnsi="Arial"/>
          <w:sz w:val="20"/>
          <w:szCs w:val="20"/>
          <w:color w:val="auto"/>
        </w:rPr>
      </w:pPr>
      <w:r>
        <w:rPr>
          <w:rFonts w:ascii="Arial" w:cs="Arial" w:eastAsia="Arial" w:hAnsi="Arial"/>
          <w:sz w:val="19"/>
          <w:szCs w:val="19"/>
          <w:color w:val="auto"/>
        </w:rPr>
        <w:t>(A) 90 days after the end of each of the first three quarterly fiscal periods of each fiscal year and (B) the date on which Wynn Resorts is required to file its Form 10-Q under SEC rules then in effect and (y) after the Financial Covenant Relief Period, 45 days after the end of each of the first three quarterly fiscal periods of each fiscal year, consolidated statements of operations, cash flows and stockholders’ equity of Consolidated Companies for such period and for the period from the beginning of the respective fiscal year to the end of such period, and the related consolidated balance sheet of Consolidated Companies as at the end of such period, setting forth in each case in comparative form the corresponding consolidated statements of operations, cash flows and stockholders’ equity for the corresponding period in the preceding fiscal year to the extent such financial statements are available, accompanied by a certificate of a Responsible Officer of Borrower, which certificate shall state that said consolidated financial statements fairly present in all material respects the consolidated financial condition, results of operations and cash flows of Consolidated Companies in accordance with GAAP, consistently applied, as at the end of, and for, such period (subject to normal year-end audit adjustments and except for the absence of footnotes);</w:t>
      </w:r>
    </w:p>
    <w:p>
      <w:pPr>
        <w:spacing w:after="0" w:line="202" w:lineRule="exact"/>
        <w:rPr>
          <w:rFonts w:ascii="Arial" w:cs="Arial" w:eastAsia="Arial" w:hAnsi="Arial"/>
          <w:sz w:val="20"/>
          <w:szCs w:val="20"/>
          <w:color w:val="auto"/>
        </w:rPr>
      </w:pPr>
    </w:p>
    <w:p>
      <w:pPr>
        <w:ind w:left="308" w:hanging="308"/>
        <w:spacing w:after="0"/>
        <w:tabs>
          <w:tab w:leader="none" w:pos="308" w:val="left"/>
        </w:tabs>
        <w:numPr>
          <w:ilvl w:val="0"/>
          <w:numId w:val="215"/>
        </w:numPr>
        <w:rPr>
          <w:rFonts w:ascii="Arial" w:cs="Arial" w:eastAsia="Arial" w:hAnsi="Arial"/>
          <w:sz w:val="20"/>
          <w:szCs w:val="20"/>
          <w:color w:val="auto"/>
        </w:rPr>
      </w:pPr>
      <w:r>
        <w:rPr>
          <w:rFonts w:ascii="Arial" w:cs="Arial" w:eastAsia="Arial" w:hAnsi="Arial"/>
          <w:sz w:val="22"/>
          <w:szCs w:val="22"/>
          <w:u w:val="single" w:color="auto"/>
          <w:color w:val="auto"/>
        </w:rPr>
        <w:t>Section 9.04(b)</w:t>
      </w:r>
      <w:r>
        <w:rPr>
          <w:rFonts w:ascii="Arial" w:cs="Arial" w:eastAsia="Arial" w:hAnsi="Arial"/>
          <w:sz w:val="22"/>
          <w:szCs w:val="22"/>
          <w:color w:val="auto"/>
        </w:rPr>
        <w:t xml:space="preserve"> </w:t>
      </w:r>
      <w:r>
        <w:rPr>
          <w:rFonts w:ascii="Arial" w:cs="Arial" w:eastAsia="Arial" w:hAnsi="Arial"/>
          <w:sz w:val="19"/>
          <w:szCs w:val="19"/>
          <w:color w:val="auto"/>
        </w:rPr>
        <w:t>of the Existing Credit Agreement is hereby amended and replaced with the following:</w:t>
      </w:r>
    </w:p>
    <w:p>
      <w:pPr>
        <w:spacing w:after="0" w:line="227" w:lineRule="exact"/>
        <w:rPr>
          <w:rFonts w:ascii="Arial" w:cs="Arial" w:eastAsia="Arial" w:hAnsi="Arial"/>
          <w:sz w:val="20"/>
          <w:szCs w:val="20"/>
          <w:color w:val="auto"/>
        </w:rPr>
      </w:pPr>
    </w:p>
    <w:p>
      <w:pPr>
        <w:jc w:val="both"/>
        <w:ind w:left="328"/>
        <w:spacing w:after="0" w:line="283" w:lineRule="auto"/>
        <w:rPr>
          <w:rFonts w:ascii="Arial" w:cs="Arial" w:eastAsia="Arial" w:hAnsi="Arial"/>
          <w:sz w:val="20"/>
          <w:szCs w:val="20"/>
          <w:color w:val="auto"/>
        </w:rPr>
      </w:pPr>
      <w:r>
        <w:rPr>
          <w:rFonts w:ascii="Arial" w:cs="Arial" w:eastAsia="Arial" w:hAnsi="Arial"/>
          <w:sz w:val="20"/>
          <w:szCs w:val="20"/>
          <w:b w:val="1"/>
          <w:bCs w:val="1"/>
          <w:color w:val="auto"/>
        </w:rPr>
        <w:t>Annual Financials</w:t>
      </w:r>
      <w:r>
        <w:rPr>
          <w:rFonts w:ascii="Arial" w:cs="Arial" w:eastAsia="Arial" w:hAnsi="Arial"/>
          <w:sz w:val="17"/>
          <w:szCs w:val="17"/>
          <w:color w:val="auto"/>
        </w:rPr>
        <w:t>. As soon as available and in any event prior to (x) during the Financial Covenant Relief Period, the later of (A)</w:t>
      </w:r>
      <w:r>
        <w:rPr>
          <w:rFonts w:ascii="Arial" w:cs="Arial" w:eastAsia="Arial" w:hAnsi="Arial"/>
          <w:sz w:val="20"/>
          <w:szCs w:val="20"/>
          <w:b w:val="1"/>
          <w:bCs w:val="1"/>
          <w:color w:val="auto"/>
        </w:rPr>
        <w:t xml:space="preserve"> </w:t>
      </w:r>
      <w:r>
        <w:rPr>
          <w:rFonts w:ascii="Arial" w:cs="Arial" w:eastAsia="Arial" w:hAnsi="Arial"/>
          <w:sz w:val="17"/>
          <w:szCs w:val="17"/>
          <w:color w:val="auto"/>
        </w:rPr>
        <w:t xml:space="preserve">135 days after the end of each fiscal year and (B) the date on which Wynn Resorts is required to file its Form 10- K under SEC rules then in effect and (y) after the Financial Covenant Relief Period, within 90 days after the end of each fiscal year, consolidated statements of operations, cash flows and stockholders’ equity of Consolidated Companies for such year and the related consolidated balance sheet of Consolidated Companies as at the end of such year, setting forth in each case in comparative form the corresponding information as of the end of and for the preceding fiscal year to the extent such financial statements are available, and, in the case of such consolidated financial statements, accompanied by an opinion, without a going concern or similar qualification or exception as to scope (other than any going concern or similar qualification or exception related to (i) an upcoming maturity date within twelve (12) months under any Indebtedness, (ii) any prospective or actual default of any financial covenant or event of default under </w:t>
      </w:r>
      <w:r>
        <w:rPr>
          <w:rFonts w:ascii="Arial" w:cs="Arial" w:eastAsia="Arial" w:hAnsi="Arial"/>
          <w:sz w:val="19"/>
          <w:szCs w:val="19"/>
          <w:u w:val="single" w:color="auto"/>
          <w:color w:val="auto"/>
        </w:rPr>
        <w:t>Section 10.08</w:t>
      </w:r>
      <w:r>
        <w:rPr>
          <w:rFonts w:ascii="Arial" w:cs="Arial" w:eastAsia="Arial" w:hAnsi="Arial"/>
          <w:sz w:val="19"/>
          <w:szCs w:val="19"/>
          <w:color w:val="auto"/>
        </w:rPr>
        <w:t xml:space="preserve"> </w:t>
      </w:r>
      <w:r>
        <w:rPr>
          <w:rFonts w:ascii="Arial" w:cs="Arial" w:eastAsia="Arial" w:hAnsi="Arial"/>
          <w:sz w:val="17"/>
          <w:szCs w:val="17"/>
          <w:color w:val="auto"/>
        </w:rPr>
        <w:t>or any other financial covenant with respect to the credit facilities hereunder or any other Indebtedness or (iii) solely</w:t>
      </w:r>
      <w:r>
        <w:rPr>
          <w:rFonts w:ascii="Arial" w:cs="Arial" w:eastAsia="Arial" w:hAnsi="Arial"/>
          <w:sz w:val="19"/>
          <w:szCs w:val="19"/>
          <w:color w:val="auto"/>
        </w:rPr>
        <w:t xml:space="preserve"> </w:t>
      </w:r>
      <w:r>
        <w:rPr>
          <w:rFonts w:ascii="Arial" w:cs="Arial" w:eastAsia="Arial" w:hAnsi="Arial"/>
          <w:sz w:val="17"/>
          <w:szCs w:val="17"/>
          <w:color w:val="auto"/>
        </w:rPr>
        <w:t>for periods ending or otherwise containing periods during the Financial Covenant Relief Period, to the extent related to, arising from, or in connection with the novel coronavirus pandemic, thereon of Ernst &amp; Young LLP or other independent certified public accountants of recognized national standing which opinion shall state that said consolidated financial statements fairly present in all material respects the consolidated financial condition, results of operations and cash flows of Consolidated Companies as at the end of, and for, such fiscal year in conformity with GAAP, consistently applied (except as noted therein);</w:t>
      </w:r>
    </w:p>
    <w:p>
      <w:pPr>
        <w:spacing w:after="0" w:line="179" w:lineRule="exact"/>
        <w:rPr>
          <w:rFonts w:ascii="Arial" w:cs="Arial" w:eastAsia="Arial" w:hAnsi="Arial"/>
          <w:sz w:val="20"/>
          <w:szCs w:val="20"/>
          <w:color w:val="auto"/>
        </w:rPr>
      </w:pPr>
    </w:p>
    <w:p>
      <w:pPr>
        <w:ind w:left="328" w:right="240" w:hanging="328"/>
        <w:spacing w:after="0" w:line="274" w:lineRule="auto"/>
        <w:tabs>
          <w:tab w:leader="none" w:pos="316" w:val="left"/>
        </w:tabs>
        <w:numPr>
          <w:ilvl w:val="0"/>
          <w:numId w:val="215"/>
        </w:numPr>
        <w:rPr>
          <w:rFonts w:ascii="Arial" w:cs="Arial" w:eastAsia="Arial" w:hAnsi="Arial"/>
          <w:sz w:val="20"/>
          <w:szCs w:val="20"/>
          <w:color w:val="auto"/>
        </w:rPr>
      </w:pPr>
      <w:r>
        <w:rPr>
          <w:rFonts w:ascii="Arial" w:cs="Arial" w:eastAsia="Arial" w:hAnsi="Arial"/>
          <w:sz w:val="20"/>
          <w:szCs w:val="20"/>
          <w:color w:val="auto"/>
        </w:rPr>
        <w:t xml:space="preserve">The Existing Credit Agreement is hereby amended to include a new </w:t>
      </w:r>
      <w:r>
        <w:rPr>
          <w:rFonts w:ascii="Arial" w:cs="Arial" w:eastAsia="Arial" w:hAnsi="Arial"/>
          <w:sz w:val="21"/>
          <w:szCs w:val="21"/>
          <w:u w:val="single" w:color="auto"/>
          <w:color w:val="auto"/>
        </w:rPr>
        <w:t>Section 9.04(l)</w:t>
      </w:r>
      <w:r>
        <w:rPr>
          <w:rFonts w:ascii="Arial" w:cs="Arial" w:eastAsia="Arial" w:hAnsi="Arial"/>
          <w:sz w:val="20"/>
          <w:szCs w:val="20"/>
          <w:color w:val="auto"/>
        </w:rPr>
        <w:t xml:space="preserve"> (with the existing </w:t>
      </w:r>
      <w:r>
        <w:rPr>
          <w:rFonts w:ascii="Arial" w:cs="Arial" w:eastAsia="Arial" w:hAnsi="Arial"/>
          <w:sz w:val="21"/>
          <w:szCs w:val="21"/>
          <w:u w:val="single" w:color="auto"/>
          <w:color w:val="auto"/>
        </w:rPr>
        <w:t>Section 9.04(l)</w:t>
      </w:r>
      <w:r>
        <w:rPr>
          <w:rFonts w:ascii="Arial" w:cs="Arial" w:eastAsia="Arial" w:hAnsi="Arial"/>
          <w:sz w:val="20"/>
          <w:szCs w:val="20"/>
          <w:color w:val="auto"/>
        </w:rPr>
        <w:t xml:space="preserve"> becoming </w:t>
      </w:r>
      <w:r>
        <w:rPr>
          <w:rFonts w:ascii="Arial" w:cs="Arial" w:eastAsia="Arial" w:hAnsi="Arial"/>
          <w:sz w:val="21"/>
          <w:szCs w:val="21"/>
          <w:u w:val="single" w:color="auto"/>
          <w:color w:val="auto"/>
        </w:rPr>
        <w:t>Section 9.04(m)</w:t>
      </w:r>
      <w:r>
        <w:rPr>
          <w:rFonts w:ascii="Arial" w:cs="Arial" w:eastAsia="Arial" w:hAnsi="Arial"/>
          <w:sz w:val="19"/>
          <w:szCs w:val="19"/>
          <w:color w:val="auto"/>
        </w:rPr>
        <w:t>) as set forth below:</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908"/>
          </w:cols>
          <w:pgMar w:left="652" w:top="1440" w:right="339" w:bottom="1440" w:gutter="0" w:footer="0" w:header="0"/>
        </w:sectPr>
      </w:pPr>
    </w:p>
    <w:bookmarkStart w:id="198" w:name="page199"/>
    <w:bookmarkEnd w:id="198"/>
    <w:p>
      <w:pPr>
        <w:spacing w:after="0" w:line="212" w:lineRule="exact"/>
        <w:rPr>
          <w:sz w:val="20"/>
          <w:szCs w:val="20"/>
          <w:color w:val="auto"/>
        </w:rPr>
      </w:pPr>
    </w:p>
    <w:p>
      <w:pPr>
        <w:jc w:val="both"/>
        <w:ind w:left="328"/>
        <w:spacing w:after="0" w:line="248" w:lineRule="auto"/>
        <w:rPr>
          <w:sz w:val="20"/>
          <w:szCs w:val="20"/>
          <w:color w:val="auto"/>
        </w:rPr>
      </w:pPr>
      <w:r>
        <w:rPr>
          <w:rFonts w:ascii="Arial" w:cs="Arial" w:eastAsia="Arial" w:hAnsi="Arial"/>
          <w:sz w:val="22"/>
          <w:szCs w:val="22"/>
          <w:b w:val="1"/>
          <w:bCs w:val="1"/>
          <w:color w:val="auto"/>
        </w:rPr>
        <w:t>(l) Minimum Liquidity Compliance Certificate</w:t>
      </w:r>
      <w:r>
        <w:rPr>
          <w:rFonts w:ascii="Arial" w:cs="Arial" w:eastAsia="Arial" w:hAnsi="Arial"/>
          <w:sz w:val="19"/>
          <w:szCs w:val="19"/>
          <w:color w:val="auto"/>
        </w:rPr>
        <w:t>. As soon as available and in any event within 5 Business Days following the</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last day of each calendar month occurring during the Financial Covenant Relief Period, Borrower shall furnish a certificate of a Responsible Officer of Borrower setting forth in reasonable detail the computations necessary to determine whether Borrower and its Restricted Subsidiaries were in compliance with </w:t>
      </w:r>
      <w:r>
        <w:rPr>
          <w:rFonts w:ascii="Arial" w:cs="Arial" w:eastAsia="Arial" w:hAnsi="Arial"/>
          <w:sz w:val="21"/>
          <w:szCs w:val="21"/>
          <w:u w:val="single" w:color="auto"/>
          <w:color w:val="auto"/>
        </w:rPr>
        <w:t>Section 10.13</w:t>
      </w:r>
      <w:r>
        <w:rPr>
          <w:rFonts w:ascii="Arial" w:cs="Arial" w:eastAsia="Arial" w:hAnsi="Arial"/>
          <w:sz w:val="19"/>
          <w:szCs w:val="19"/>
          <w:color w:val="auto"/>
        </w:rPr>
        <w:t xml:space="preserve"> during each day of the Financial Covenant Relief Period during the calendar month to which the certificate relates.</w:t>
      </w:r>
    </w:p>
    <w:p>
      <w:pPr>
        <w:spacing w:after="0" w:line="213" w:lineRule="exact"/>
        <w:rPr>
          <w:sz w:val="20"/>
          <w:szCs w:val="20"/>
          <w:color w:val="auto"/>
        </w:rPr>
      </w:pPr>
    </w:p>
    <w:p>
      <w:pPr>
        <w:ind w:left="308" w:hanging="308"/>
        <w:spacing w:after="0"/>
        <w:tabs>
          <w:tab w:leader="none" w:pos="308" w:val="left"/>
        </w:tabs>
        <w:numPr>
          <w:ilvl w:val="0"/>
          <w:numId w:val="216"/>
        </w:numPr>
        <w:rPr>
          <w:rFonts w:ascii="Arial" w:cs="Arial" w:eastAsia="Arial" w:hAnsi="Arial"/>
          <w:sz w:val="20"/>
          <w:szCs w:val="20"/>
          <w:color w:val="auto"/>
        </w:rPr>
      </w:pPr>
      <w:r>
        <w:rPr>
          <w:rFonts w:ascii="Arial" w:cs="Arial" w:eastAsia="Arial" w:hAnsi="Arial"/>
          <w:sz w:val="20"/>
          <w:szCs w:val="20"/>
          <w:color w:val="auto"/>
        </w:rPr>
        <w:t xml:space="preserve">The Existing Credit Agreement is hereby amended to include the following proviso at the end of </w:t>
      </w:r>
      <w:r>
        <w:rPr>
          <w:rFonts w:ascii="Arial" w:cs="Arial" w:eastAsia="Arial" w:hAnsi="Arial"/>
          <w:sz w:val="21"/>
          <w:szCs w:val="21"/>
          <w:u w:val="single" w:color="auto"/>
          <w:color w:val="auto"/>
        </w:rPr>
        <w:t>Section 10.06</w:t>
      </w:r>
      <w:r>
        <w:rPr>
          <w:rFonts w:ascii="Arial" w:cs="Arial" w:eastAsia="Arial" w:hAnsi="Arial"/>
          <w:sz w:val="20"/>
          <w:szCs w:val="20"/>
          <w:color w:val="auto"/>
        </w:rPr>
        <w:t>:</w:t>
      </w:r>
    </w:p>
    <w:p>
      <w:pPr>
        <w:spacing w:after="0" w:line="244" w:lineRule="exact"/>
        <w:rPr>
          <w:rFonts w:ascii="Arial" w:cs="Arial" w:eastAsia="Arial" w:hAnsi="Arial"/>
          <w:sz w:val="20"/>
          <w:szCs w:val="20"/>
          <w:color w:val="auto"/>
        </w:rPr>
      </w:pPr>
    </w:p>
    <w:p>
      <w:pPr>
        <w:jc w:val="both"/>
        <w:ind w:left="328" w:right="20"/>
        <w:spacing w:after="0" w:line="276" w:lineRule="auto"/>
        <w:rPr>
          <w:rFonts w:ascii="Arial" w:cs="Arial" w:eastAsia="Arial" w:hAnsi="Arial"/>
          <w:sz w:val="20"/>
          <w:szCs w:val="20"/>
          <w:color w:val="auto"/>
        </w:rPr>
      </w:pPr>
      <w:r>
        <w:rPr>
          <w:rFonts w:ascii="Arial" w:cs="Arial" w:eastAsia="Arial" w:hAnsi="Arial"/>
          <w:sz w:val="20"/>
          <w:szCs w:val="20"/>
          <w:i w:val="1"/>
          <w:iCs w:val="1"/>
          <w:color w:val="auto"/>
        </w:rPr>
        <w:t>provided</w:t>
      </w:r>
      <w:r>
        <w:rPr>
          <w:rFonts w:ascii="Arial" w:cs="Arial" w:eastAsia="Arial" w:hAnsi="Arial"/>
          <w:sz w:val="17"/>
          <w:szCs w:val="17"/>
          <w:color w:val="auto"/>
        </w:rPr>
        <w:t>, that (i) during the Financial Covenant Relief Period (x) the Borrower and its Restricted Subsidiaries will not directly or</w:t>
      </w:r>
      <w:r>
        <w:rPr>
          <w:rFonts w:ascii="Arial" w:cs="Arial" w:eastAsia="Arial" w:hAnsi="Arial"/>
          <w:sz w:val="20"/>
          <w:szCs w:val="20"/>
          <w:i w:val="1"/>
          <w:iCs w:val="1"/>
          <w:color w:val="auto"/>
        </w:rPr>
        <w:t xml:space="preserve"> </w:t>
      </w:r>
      <w:r>
        <w:rPr>
          <w:rFonts w:ascii="Arial" w:cs="Arial" w:eastAsia="Arial" w:hAnsi="Arial"/>
          <w:sz w:val="17"/>
          <w:szCs w:val="17"/>
          <w:color w:val="auto"/>
        </w:rPr>
        <w:t xml:space="preserve">indirectly, declare, order, make or set apart any sum for or pay any Restricted Payment pursuant to foregoing </w:t>
      </w:r>
      <w:r>
        <w:rPr>
          <w:rFonts w:ascii="Arial" w:cs="Arial" w:eastAsia="Arial" w:hAnsi="Arial"/>
          <w:sz w:val="19"/>
          <w:szCs w:val="19"/>
          <w:u w:val="single" w:color="auto"/>
          <w:color w:val="auto"/>
        </w:rPr>
        <w:t>Sections 10.06(a)</w:t>
      </w:r>
      <w:r>
        <w:rPr>
          <w:rFonts w:ascii="Arial" w:cs="Arial" w:eastAsia="Arial" w:hAnsi="Arial"/>
          <w:sz w:val="17"/>
          <w:szCs w:val="17"/>
          <w:color w:val="auto"/>
        </w:rPr>
        <w:t xml:space="preserve">, </w:t>
      </w:r>
      <w:r>
        <w:rPr>
          <w:rFonts w:ascii="Arial" w:cs="Arial" w:eastAsia="Arial" w:hAnsi="Arial"/>
          <w:sz w:val="19"/>
          <w:szCs w:val="19"/>
          <w:u w:val="single" w:color="auto"/>
          <w:color w:val="auto"/>
        </w:rPr>
        <w:t>(i)</w:t>
      </w:r>
      <w:r>
        <w:rPr>
          <w:rFonts w:ascii="Arial" w:cs="Arial" w:eastAsia="Arial" w:hAnsi="Arial"/>
          <w:sz w:val="17"/>
          <w:szCs w:val="17"/>
          <w:color w:val="auto"/>
        </w:rPr>
        <w:t>,</w:t>
      </w:r>
    </w:p>
    <w:p>
      <w:pPr>
        <w:spacing w:after="0" w:line="1" w:lineRule="exact"/>
        <w:rPr>
          <w:rFonts w:ascii="Arial" w:cs="Arial" w:eastAsia="Arial" w:hAnsi="Arial"/>
          <w:sz w:val="20"/>
          <w:szCs w:val="20"/>
          <w:color w:val="auto"/>
        </w:rPr>
      </w:pPr>
    </w:p>
    <w:p>
      <w:pPr>
        <w:jc w:val="both"/>
        <w:ind w:left="328"/>
        <w:spacing w:after="0" w:line="266" w:lineRule="auto"/>
        <w:rPr>
          <w:rFonts w:ascii="Arial" w:cs="Arial" w:eastAsia="Arial" w:hAnsi="Arial"/>
          <w:sz w:val="20"/>
          <w:szCs w:val="20"/>
          <w:color w:val="auto"/>
        </w:rPr>
      </w:pPr>
      <w:r>
        <w:rPr>
          <w:rFonts w:ascii="Arial" w:cs="Arial" w:eastAsia="Arial" w:hAnsi="Arial"/>
          <w:sz w:val="21"/>
          <w:szCs w:val="21"/>
          <w:u w:val="single" w:color="auto"/>
          <w:color w:val="auto"/>
        </w:rPr>
        <w:t>(l)</w:t>
      </w:r>
      <w:r>
        <w:rPr>
          <w:rFonts w:ascii="Arial" w:cs="Arial" w:eastAsia="Arial" w:hAnsi="Arial"/>
          <w:sz w:val="18"/>
          <w:szCs w:val="18"/>
          <w:color w:val="auto"/>
        </w:rPr>
        <w:t>,</w:t>
      </w:r>
      <w:r>
        <w:rPr>
          <w:rFonts w:ascii="Arial" w:cs="Arial" w:eastAsia="Arial" w:hAnsi="Arial"/>
          <w:sz w:val="21"/>
          <w:szCs w:val="21"/>
          <w:color w:val="auto"/>
        </w:rPr>
        <w:t xml:space="preserve"> </w:t>
      </w:r>
      <w:r>
        <w:rPr>
          <w:rFonts w:ascii="Arial" w:cs="Arial" w:eastAsia="Arial" w:hAnsi="Arial"/>
          <w:sz w:val="21"/>
          <w:szCs w:val="21"/>
          <w:u w:val="single" w:color="auto"/>
          <w:color w:val="auto"/>
        </w:rPr>
        <w:t>(p)</w:t>
      </w:r>
      <w:r>
        <w:rPr>
          <w:rFonts w:ascii="Arial" w:cs="Arial" w:eastAsia="Arial" w:hAnsi="Arial"/>
          <w:sz w:val="18"/>
          <w:szCs w:val="18"/>
          <w:color w:val="auto"/>
        </w:rPr>
        <w:t>,</w:t>
      </w:r>
      <w:r>
        <w:rPr>
          <w:rFonts w:ascii="Arial" w:cs="Arial" w:eastAsia="Arial" w:hAnsi="Arial"/>
          <w:sz w:val="21"/>
          <w:szCs w:val="21"/>
          <w:color w:val="auto"/>
        </w:rPr>
        <w:t xml:space="preserve"> </w:t>
      </w:r>
      <w:r>
        <w:rPr>
          <w:rFonts w:ascii="Arial" w:cs="Arial" w:eastAsia="Arial" w:hAnsi="Arial"/>
          <w:sz w:val="21"/>
          <w:szCs w:val="21"/>
          <w:u w:val="single" w:color="auto"/>
          <w:color w:val="auto"/>
        </w:rPr>
        <w:t>(q)</w:t>
      </w:r>
      <w:r>
        <w:rPr>
          <w:rFonts w:ascii="Arial" w:cs="Arial" w:eastAsia="Arial" w:hAnsi="Arial"/>
          <w:sz w:val="18"/>
          <w:szCs w:val="18"/>
          <w:color w:val="auto"/>
        </w:rPr>
        <w:t>,</w:t>
      </w:r>
      <w:r>
        <w:rPr>
          <w:rFonts w:ascii="Arial" w:cs="Arial" w:eastAsia="Arial" w:hAnsi="Arial"/>
          <w:sz w:val="21"/>
          <w:szCs w:val="21"/>
          <w:color w:val="auto"/>
        </w:rPr>
        <w:t xml:space="preserve"> </w:t>
      </w:r>
      <w:r>
        <w:rPr>
          <w:rFonts w:ascii="Arial" w:cs="Arial" w:eastAsia="Arial" w:hAnsi="Arial"/>
          <w:sz w:val="21"/>
          <w:szCs w:val="21"/>
          <w:u w:val="single" w:color="auto"/>
          <w:color w:val="auto"/>
        </w:rPr>
        <w:t>(r)</w:t>
      </w:r>
      <w:r>
        <w:rPr>
          <w:rFonts w:ascii="Arial" w:cs="Arial" w:eastAsia="Arial" w:hAnsi="Arial"/>
          <w:sz w:val="21"/>
          <w:szCs w:val="21"/>
          <w:color w:val="auto"/>
        </w:rPr>
        <w:t xml:space="preserve"> </w:t>
      </w:r>
      <w:r>
        <w:rPr>
          <w:rFonts w:ascii="Arial" w:cs="Arial" w:eastAsia="Arial" w:hAnsi="Arial"/>
          <w:sz w:val="18"/>
          <w:szCs w:val="18"/>
          <w:color w:val="auto"/>
        </w:rPr>
        <w:t>and</w:t>
      </w:r>
      <w:r>
        <w:rPr>
          <w:rFonts w:ascii="Arial" w:cs="Arial" w:eastAsia="Arial" w:hAnsi="Arial"/>
          <w:sz w:val="21"/>
          <w:szCs w:val="21"/>
          <w:color w:val="auto"/>
        </w:rPr>
        <w:t xml:space="preserve"> </w:t>
      </w:r>
      <w:r>
        <w:rPr>
          <w:rFonts w:ascii="Arial" w:cs="Arial" w:eastAsia="Arial" w:hAnsi="Arial"/>
          <w:sz w:val="21"/>
          <w:szCs w:val="21"/>
          <w:u w:val="single" w:color="auto"/>
          <w:color w:val="auto"/>
        </w:rPr>
        <w:t>(s)</w:t>
      </w:r>
      <w:r>
        <w:rPr>
          <w:rFonts w:ascii="Arial" w:cs="Arial" w:eastAsia="Arial" w:hAnsi="Arial"/>
          <w:sz w:val="21"/>
          <w:szCs w:val="21"/>
          <w:color w:val="auto"/>
        </w:rPr>
        <w:t xml:space="preserve"> </w:t>
      </w:r>
      <w:r>
        <w:rPr>
          <w:rFonts w:ascii="Arial" w:cs="Arial" w:eastAsia="Arial" w:hAnsi="Arial"/>
          <w:sz w:val="18"/>
          <w:szCs w:val="18"/>
          <w:color w:val="auto"/>
        </w:rPr>
        <w:t>or with the proceeds of (A) any Indebtedness incurred by the Borrower or its Restricted Subsidiaries in</w:t>
      </w:r>
      <w:r>
        <w:rPr>
          <w:rFonts w:ascii="Arial" w:cs="Arial" w:eastAsia="Arial" w:hAnsi="Arial"/>
          <w:sz w:val="21"/>
          <w:szCs w:val="21"/>
          <w:color w:val="auto"/>
        </w:rPr>
        <w:t xml:space="preserve"> </w:t>
      </w:r>
      <w:r>
        <w:rPr>
          <w:rFonts w:ascii="Arial" w:cs="Arial" w:eastAsia="Arial" w:hAnsi="Arial"/>
          <w:sz w:val="18"/>
          <w:szCs w:val="18"/>
          <w:color w:val="auto"/>
        </w:rPr>
        <w:t xml:space="preserve">accordance with </w:t>
      </w:r>
      <w:r>
        <w:rPr>
          <w:rFonts w:ascii="Arial" w:cs="Arial" w:eastAsia="Arial" w:hAnsi="Arial"/>
          <w:sz w:val="20"/>
          <w:szCs w:val="20"/>
          <w:u w:val="single" w:color="auto"/>
          <w:color w:val="auto"/>
        </w:rPr>
        <w:t>Section 10.01</w:t>
      </w:r>
      <w:r>
        <w:rPr>
          <w:rFonts w:ascii="Arial" w:cs="Arial" w:eastAsia="Arial" w:hAnsi="Arial"/>
          <w:sz w:val="18"/>
          <w:szCs w:val="18"/>
          <w:color w:val="auto"/>
        </w:rPr>
        <w:t xml:space="preserve"> on or after the Amendment No. 1 Effective Date or (B) any economic or other financial aid, assistance or stimulus payments received by the Borrower and its Restricted Subsidiaries from any Governmental Authority and (y) notwithstanding the foregoing clause (x), the Borrower and its Restricted Subsidiaries shall be permitted to declare, order, make or set apart any sum or pay Restricted Payments solely with respect to up to 50% of dividends and distributions paid to Wynn Group Asia by its direct and indirect Subsidiaries during the Financial Covenant Relief Period so long as (A) immediately before and after giving effect thereto no Default or Event of Default has occurred and is continuing and (B) the Borrower is in compliance with the requirements of </w:t>
      </w:r>
      <w:r>
        <w:rPr>
          <w:rFonts w:ascii="Arial" w:cs="Arial" w:eastAsia="Arial" w:hAnsi="Arial"/>
          <w:sz w:val="20"/>
          <w:szCs w:val="20"/>
          <w:u w:val="single" w:color="auto"/>
          <w:color w:val="auto"/>
        </w:rPr>
        <w:t>Section 10.13</w:t>
      </w:r>
      <w:r>
        <w:rPr>
          <w:rFonts w:ascii="Arial" w:cs="Arial" w:eastAsia="Arial" w:hAnsi="Arial"/>
          <w:sz w:val="18"/>
          <w:szCs w:val="18"/>
          <w:color w:val="auto"/>
        </w:rPr>
        <w:t xml:space="preserve"> on a Pro Forma Basis after giving effect thereto pursuant to this </w:t>
      </w:r>
      <w:r>
        <w:rPr>
          <w:rFonts w:ascii="Arial" w:cs="Arial" w:eastAsia="Arial" w:hAnsi="Arial"/>
          <w:sz w:val="20"/>
          <w:szCs w:val="20"/>
          <w:u w:val="single" w:color="auto"/>
          <w:color w:val="auto"/>
        </w:rPr>
        <w:t>Section 10.06</w:t>
      </w:r>
      <w:r>
        <w:rPr>
          <w:rFonts w:ascii="Arial" w:cs="Arial" w:eastAsia="Arial" w:hAnsi="Arial"/>
          <w:sz w:val="18"/>
          <w:szCs w:val="18"/>
          <w:color w:val="auto"/>
        </w:rPr>
        <w:t xml:space="preserve"> and (ii) during the Financial Covenant Increase Period, the Borrower and its Restricted Subsidiaries shall not declare, order, make or set apart any sum or pay any Restricted Payments with the first $200.0 million of dividends and distributions paid to Wynn Group Asia by its direct and indirect Subsidiaries during the Financial Covenant Increase Period (inclusive of any amounts divided or distributed to Wynn Group Asia during the Financial Covenant Relief Period that were not utilized by the Borrower and its Restricted Subsidiaries to make Restricted Payments during the Financial Covenant Relief Period pursuant to the foregoing clause (i)(y)).</w:t>
      </w:r>
    </w:p>
    <w:p>
      <w:pPr>
        <w:spacing w:after="0" w:line="205" w:lineRule="exact"/>
        <w:rPr>
          <w:rFonts w:ascii="Arial" w:cs="Arial" w:eastAsia="Arial" w:hAnsi="Arial"/>
          <w:sz w:val="20"/>
          <w:szCs w:val="20"/>
          <w:color w:val="auto"/>
        </w:rPr>
      </w:pPr>
    </w:p>
    <w:p>
      <w:pPr>
        <w:ind w:left="308" w:hanging="308"/>
        <w:spacing w:after="0"/>
        <w:tabs>
          <w:tab w:leader="none" w:pos="308" w:val="left"/>
        </w:tabs>
        <w:numPr>
          <w:ilvl w:val="0"/>
          <w:numId w:val="216"/>
        </w:numPr>
        <w:rPr>
          <w:rFonts w:ascii="Arial" w:cs="Arial" w:eastAsia="Arial" w:hAnsi="Arial"/>
          <w:sz w:val="20"/>
          <w:szCs w:val="20"/>
          <w:color w:val="auto"/>
        </w:rPr>
      </w:pPr>
      <w:r>
        <w:rPr>
          <w:rFonts w:ascii="Arial" w:cs="Arial" w:eastAsia="Arial" w:hAnsi="Arial"/>
          <w:sz w:val="22"/>
          <w:szCs w:val="22"/>
          <w:u w:val="single" w:color="auto"/>
          <w:color w:val="auto"/>
        </w:rPr>
        <w:t>Section 10.08</w:t>
      </w:r>
      <w:r>
        <w:rPr>
          <w:rFonts w:ascii="Arial" w:cs="Arial" w:eastAsia="Arial" w:hAnsi="Arial"/>
          <w:sz w:val="22"/>
          <w:szCs w:val="22"/>
          <w:color w:val="auto"/>
        </w:rPr>
        <w:t xml:space="preserve"> </w:t>
      </w:r>
      <w:r>
        <w:rPr>
          <w:rFonts w:ascii="Arial" w:cs="Arial" w:eastAsia="Arial" w:hAnsi="Arial"/>
          <w:sz w:val="19"/>
          <w:szCs w:val="19"/>
          <w:color w:val="auto"/>
        </w:rPr>
        <w:t>of the Existing Credit Agreement is hereby amended and replaced with the following:</w:t>
      </w:r>
    </w:p>
    <w:p>
      <w:pPr>
        <w:spacing w:after="0" w:line="227" w:lineRule="exact"/>
        <w:rPr>
          <w:rFonts w:ascii="Arial" w:cs="Arial" w:eastAsia="Arial" w:hAnsi="Arial"/>
          <w:sz w:val="20"/>
          <w:szCs w:val="20"/>
          <w:color w:val="auto"/>
        </w:rPr>
      </w:pPr>
    </w:p>
    <w:p>
      <w:pPr>
        <w:jc w:val="both"/>
        <w:ind w:left="328"/>
        <w:spacing w:after="0" w:line="269" w:lineRule="auto"/>
        <w:rPr>
          <w:rFonts w:ascii="Arial" w:cs="Arial" w:eastAsia="Arial" w:hAnsi="Arial"/>
          <w:sz w:val="20"/>
          <w:szCs w:val="20"/>
          <w:color w:val="auto"/>
        </w:rPr>
      </w:pPr>
      <w:r>
        <w:rPr>
          <w:rFonts w:ascii="Arial" w:cs="Arial" w:eastAsia="Arial" w:hAnsi="Arial"/>
          <w:sz w:val="21"/>
          <w:szCs w:val="21"/>
          <w:b w:val="1"/>
          <w:bCs w:val="1"/>
          <w:color w:val="auto"/>
        </w:rPr>
        <w:t xml:space="preserve">Financial Maintenance Covenant. </w:t>
      </w:r>
      <w:r>
        <w:rPr>
          <w:rFonts w:ascii="Arial" w:cs="Arial" w:eastAsia="Arial" w:hAnsi="Arial"/>
          <w:sz w:val="18"/>
          <w:szCs w:val="18"/>
          <w:color w:val="auto"/>
        </w:rPr>
        <w:t>Borrower shall not permit the Consolidated First Lien Net Leverage Ratio as of the last day</w:t>
      </w:r>
      <w:r>
        <w:rPr>
          <w:rFonts w:ascii="Arial" w:cs="Arial" w:eastAsia="Arial" w:hAnsi="Arial"/>
          <w:sz w:val="21"/>
          <w:szCs w:val="21"/>
          <w:b w:val="1"/>
          <w:bCs w:val="1"/>
          <w:color w:val="auto"/>
        </w:rPr>
        <w:t xml:space="preserve"> </w:t>
      </w:r>
      <w:r>
        <w:rPr>
          <w:rFonts w:ascii="Arial" w:cs="Arial" w:eastAsia="Arial" w:hAnsi="Arial"/>
          <w:sz w:val="18"/>
          <w:szCs w:val="18"/>
          <w:color w:val="auto"/>
        </w:rPr>
        <w:t>of any fiscal quarter to exceed (A) for the fiscal quarter of the Borrower ended March 31, 2020, 3.75 to 1.00 and (B) thereafter, following the Financial Covenant Relief Period and for as long as the Financial Covenant Increase Period is in effect (w) for the first fiscal quarter of the Financial Covenant Increase Period, 4.50 to 1.00, (x) for the second fiscal quarter of the Financial Covenant Increase Period, 4.25 to 1.00, (y) for the third fiscal quarter of the Financial Covenant Increase Period, 4.00 to 1.00 and (z) for each subsequent fiscal quarter thereafter (including from and including the first fiscal quarter during which the Financial Covenant Increase Period has been terminated by the Borrower pursuant to the definition thereof), 3.75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908"/>
          </w:cols>
          <w:pgMar w:left="652" w:top="1440" w:right="339" w:bottom="1440" w:gutter="0" w:footer="0" w:header="0"/>
        </w:sectPr>
      </w:pPr>
    </w:p>
    <w:bookmarkStart w:id="199" w:name="page200"/>
    <w:bookmarkEnd w:id="199"/>
    <w:p>
      <w:pPr>
        <w:ind w:left="640" w:hanging="308"/>
        <w:spacing w:after="0"/>
        <w:tabs>
          <w:tab w:leader="none" w:pos="640" w:val="left"/>
        </w:tabs>
        <w:numPr>
          <w:ilvl w:val="0"/>
          <w:numId w:val="217"/>
        </w:numPr>
        <w:rPr>
          <w:rFonts w:ascii="Arial" w:cs="Arial" w:eastAsia="Arial" w:hAnsi="Arial"/>
          <w:sz w:val="20"/>
          <w:szCs w:val="20"/>
          <w:color w:val="auto"/>
        </w:rPr>
      </w:pPr>
      <w:r>
        <w:rPr>
          <w:rFonts w:ascii="Arial" w:cs="Arial" w:eastAsia="Arial" w:hAnsi="Arial"/>
          <w:sz w:val="20"/>
          <w:szCs w:val="20"/>
          <w:color w:val="auto"/>
        </w:rPr>
        <w:t xml:space="preserve">The Existing Credit Agreement is hereby amended to include a new </w:t>
      </w:r>
      <w:r>
        <w:rPr>
          <w:rFonts w:ascii="Arial" w:cs="Arial" w:eastAsia="Arial" w:hAnsi="Arial"/>
          <w:sz w:val="21"/>
          <w:szCs w:val="21"/>
          <w:u w:val="single" w:color="auto"/>
          <w:color w:val="auto"/>
        </w:rPr>
        <w:t>Section 10.13</w:t>
      </w:r>
      <w:r>
        <w:rPr>
          <w:rFonts w:ascii="Arial" w:cs="Arial" w:eastAsia="Arial" w:hAnsi="Arial"/>
          <w:sz w:val="20"/>
          <w:szCs w:val="20"/>
          <w:color w:val="auto"/>
        </w:rPr>
        <w:t xml:space="preserve"> as set forth below:</w:t>
      </w:r>
    </w:p>
    <w:p>
      <w:pPr>
        <w:spacing w:after="0" w:line="238" w:lineRule="exact"/>
        <w:rPr>
          <w:rFonts w:ascii="Arial" w:cs="Arial" w:eastAsia="Arial" w:hAnsi="Arial"/>
          <w:sz w:val="20"/>
          <w:szCs w:val="20"/>
          <w:color w:val="auto"/>
        </w:rPr>
      </w:pPr>
    </w:p>
    <w:p>
      <w:pPr>
        <w:ind w:left="660" w:right="320"/>
        <w:spacing w:after="0" w:line="250" w:lineRule="auto"/>
        <w:rPr>
          <w:rFonts w:ascii="Arial" w:cs="Arial" w:eastAsia="Arial" w:hAnsi="Arial"/>
          <w:sz w:val="20"/>
          <w:szCs w:val="20"/>
          <w:color w:val="auto"/>
        </w:rPr>
      </w:pPr>
      <w:r>
        <w:rPr>
          <w:rFonts w:ascii="Arial" w:cs="Arial" w:eastAsia="Arial" w:hAnsi="Arial"/>
          <w:sz w:val="22"/>
          <w:szCs w:val="22"/>
          <w:b w:val="1"/>
          <w:bCs w:val="1"/>
          <w:color w:val="auto"/>
        </w:rPr>
        <w:t>Section 10.13. Minimum Liquidity Covenant</w:t>
      </w:r>
      <w:r>
        <w:rPr>
          <w:rFonts w:ascii="Arial" w:cs="Arial" w:eastAsia="Arial" w:hAnsi="Arial"/>
          <w:sz w:val="19"/>
          <w:szCs w:val="19"/>
          <w:color w:val="auto"/>
        </w:rPr>
        <w:t>. At all times during the Financial Covenant Relief Period, Borrower shall not</w:t>
      </w:r>
      <w:r>
        <w:rPr>
          <w:rFonts w:ascii="Arial" w:cs="Arial" w:eastAsia="Arial" w:hAnsi="Arial"/>
          <w:sz w:val="22"/>
          <w:szCs w:val="22"/>
          <w:b w:val="1"/>
          <w:bCs w:val="1"/>
          <w:color w:val="auto"/>
        </w:rPr>
        <w:t xml:space="preserve"> </w:t>
      </w:r>
      <w:r>
        <w:rPr>
          <w:rFonts w:ascii="Arial" w:cs="Arial" w:eastAsia="Arial" w:hAnsi="Arial"/>
          <w:sz w:val="19"/>
          <w:szCs w:val="19"/>
          <w:color w:val="auto"/>
        </w:rPr>
        <w:t>permit Liquidity at any time to be less than $300,000,000.</w:t>
      </w:r>
    </w:p>
    <w:p>
      <w:pPr>
        <w:spacing w:after="0" w:line="207" w:lineRule="exact"/>
        <w:rPr>
          <w:rFonts w:ascii="Arial" w:cs="Arial" w:eastAsia="Arial" w:hAnsi="Arial"/>
          <w:sz w:val="20"/>
          <w:szCs w:val="20"/>
          <w:color w:val="auto"/>
        </w:rPr>
      </w:pPr>
    </w:p>
    <w:p>
      <w:pPr>
        <w:ind w:left="640" w:hanging="308"/>
        <w:spacing w:after="0"/>
        <w:tabs>
          <w:tab w:leader="none" w:pos="640" w:val="left"/>
        </w:tabs>
        <w:numPr>
          <w:ilvl w:val="0"/>
          <w:numId w:val="217"/>
        </w:numPr>
        <w:rPr>
          <w:rFonts w:ascii="Arial" w:cs="Arial" w:eastAsia="Arial" w:hAnsi="Arial"/>
          <w:sz w:val="20"/>
          <w:szCs w:val="20"/>
          <w:color w:val="auto"/>
        </w:rPr>
      </w:pPr>
      <w:r>
        <w:rPr>
          <w:rFonts w:ascii="Arial" w:cs="Arial" w:eastAsia="Arial" w:hAnsi="Arial"/>
          <w:sz w:val="22"/>
          <w:szCs w:val="22"/>
          <w:u w:val="single" w:color="auto"/>
          <w:color w:val="auto"/>
        </w:rPr>
        <w:t>Section 11.01(d)</w:t>
      </w:r>
      <w:r>
        <w:rPr>
          <w:rFonts w:ascii="Arial" w:cs="Arial" w:eastAsia="Arial" w:hAnsi="Arial"/>
          <w:sz w:val="22"/>
          <w:szCs w:val="22"/>
          <w:color w:val="auto"/>
        </w:rPr>
        <w:t xml:space="preserve"> </w:t>
      </w:r>
      <w:r>
        <w:rPr>
          <w:rFonts w:ascii="Arial" w:cs="Arial" w:eastAsia="Arial" w:hAnsi="Arial"/>
          <w:sz w:val="19"/>
          <w:szCs w:val="19"/>
          <w:color w:val="auto"/>
        </w:rPr>
        <w:t>of the Existing Credit Agreement is hereby amended and replaced with the following:</w:t>
      </w:r>
    </w:p>
    <w:p>
      <w:pPr>
        <w:spacing w:after="0" w:line="251" w:lineRule="exact"/>
        <w:rPr>
          <w:rFonts w:ascii="Arial" w:cs="Arial" w:eastAsia="Arial" w:hAnsi="Arial"/>
          <w:sz w:val="20"/>
          <w:szCs w:val="20"/>
          <w:color w:val="auto"/>
        </w:rPr>
      </w:pPr>
    </w:p>
    <w:p>
      <w:pPr>
        <w:jc w:val="both"/>
        <w:ind w:left="660" w:hanging="4"/>
        <w:spacing w:after="0" w:line="246" w:lineRule="auto"/>
        <w:tabs>
          <w:tab w:leader="none" w:pos="945" w:val="left"/>
        </w:tabs>
        <w:numPr>
          <w:ilvl w:val="1"/>
          <w:numId w:val="217"/>
        </w:numPr>
        <w:rPr>
          <w:rFonts w:ascii="Arial" w:cs="Arial" w:eastAsia="Arial" w:hAnsi="Arial"/>
          <w:sz w:val="20"/>
          <w:szCs w:val="20"/>
          <w:color w:val="auto"/>
        </w:rPr>
      </w:pPr>
      <w:r>
        <w:rPr>
          <w:rFonts w:ascii="Arial" w:cs="Arial" w:eastAsia="Arial" w:hAnsi="Arial"/>
          <w:sz w:val="20"/>
          <w:szCs w:val="20"/>
          <w:color w:val="auto"/>
        </w:rPr>
        <w:t xml:space="preserve">default shall be made in the due observance or performance by Borrower or any Restricted Subsidiary of any covenant, condition, or agreement contained in </w:t>
      </w:r>
      <w:r>
        <w:rPr>
          <w:rFonts w:ascii="Arial" w:cs="Arial" w:eastAsia="Arial" w:hAnsi="Arial"/>
          <w:sz w:val="21"/>
          <w:szCs w:val="21"/>
          <w:u w:val="single" w:color="auto"/>
          <w:color w:val="auto"/>
        </w:rPr>
        <w:t>Section 9.01(a)</w:t>
      </w:r>
      <w:r>
        <w:rPr>
          <w:rFonts w:ascii="Arial" w:cs="Arial" w:eastAsia="Arial" w:hAnsi="Arial"/>
          <w:sz w:val="20"/>
          <w:szCs w:val="20"/>
          <w:color w:val="auto"/>
        </w:rPr>
        <w:t xml:space="preserve"> (with respect to Borrower only), </w:t>
      </w:r>
      <w:r>
        <w:rPr>
          <w:rFonts w:ascii="Arial" w:cs="Arial" w:eastAsia="Arial" w:hAnsi="Arial"/>
          <w:sz w:val="21"/>
          <w:szCs w:val="21"/>
          <w:u w:val="single" w:color="auto"/>
          <w:color w:val="auto"/>
        </w:rPr>
        <w:t>9.04(d)</w:t>
      </w:r>
      <w:r>
        <w:rPr>
          <w:rFonts w:ascii="Arial" w:cs="Arial" w:eastAsia="Arial" w:hAnsi="Arial"/>
          <w:sz w:val="20"/>
          <w:szCs w:val="20"/>
          <w:color w:val="auto"/>
        </w:rPr>
        <w:t xml:space="preserve"> or </w:t>
      </w:r>
      <w:r>
        <w:rPr>
          <w:rFonts w:ascii="Arial" w:cs="Arial" w:eastAsia="Arial" w:hAnsi="Arial"/>
          <w:sz w:val="21"/>
          <w:szCs w:val="21"/>
          <w:u w:val="single" w:color="auto"/>
          <w:color w:val="auto"/>
        </w:rPr>
        <w:t>9.04(l)</w:t>
      </w:r>
      <w:r>
        <w:rPr>
          <w:rFonts w:ascii="Arial" w:cs="Arial" w:eastAsia="Arial" w:hAnsi="Arial"/>
          <w:sz w:val="20"/>
          <w:szCs w:val="20"/>
          <w:color w:val="auto"/>
        </w:rPr>
        <w:t xml:space="preserve">, </w:t>
      </w:r>
      <w:r>
        <w:rPr>
          <w:rFonts w:ascii="Arial" w:cs="Arial" w:eastAsia="Arial" w:hAnsi="Arial"/>
          <w:sz w:val="21"/>
          <w:szCs w:val="21"/>
          <w:u w:val="single" w:color="auto"/>
          <w:color w:val="auto"/>
        </w:rPr>
        <w:t>9.06</w:t>
      </w:r>
      <w:r>
        <w:rPr>
          <w:rFonts w:ascii="Arial" w:cs="Arial" w:eastAsia="Arial" w:hAnsi="Arial"/>
          <w:sz w:val="20"/>
          <w:szCs w:val="20"/>
          <w:color w:val="auto"/>
        </w:rPr>
        <w:t xml:space="preserve"> or in </w:t>
      </w:r>
      <w:r>
        <w:rPr>
          <w:rFonts w:ascii="Arial" w:cs="Arial" w:eastAsia="Arial" w:hAnsi="Arial"/>
          <w:sz w:val="21"/>
          <w:szCs w:val="21"/>
          <w:u w:val="single" w:color="auto"/>
          <w:color w:val="auto"/>
        </w:rPr>
        <w:t>Article X</w:t>
      </w:r>
      <w:r>
        <w:rPr>
          <w:rFonts w:ascii="Arial" w:cs="Arial" w:eastAsia="Arial" w:hAnsi="Arial"/>
          <w:sz w:val="20"/>
          <w:szCs w:val="20"/>
          <w:color w:val="auto"/>
        </w:rPr>
        <w:t xml:space="preserve"> (subject to, in the case of the Financial Maintenance Covenant, the cure rights contained in </w:t>
      </w:r>
      <w:r>
        <w:rPr>
          <w:rFonts w:ascii="Arial" w:cs="Arial" w:eastAsia="Arial" w:hAnsi="Arial"/>
          <w:sz w:val="21"/>
          <w:szCs w:val="21"/>
          <w:u w:val="single" w:color="auto"/>
          <w:color w:val="auto"/>
        </w:rPr>
        <w:t>Section 11.03</w:t>
      </w:r>
      <w:r>
        <w:rPr>
          <w:rFonts w:ascii="Arial" w:cs="Arial" w:eastAsia="Arial" w:hAnsi="Arial"/>
          <w:sz w:val="20"/>
          <w:szCs w:val="20"/>
          <w:color w:val="auto"/>
        </w:rPr>
        <w:t xml:space="preserve">); provided that in the case of </w:t>
      </w:r>
      <w:r>
        <w:rPr>
          <w:rFonts w:ascii="Arial" w:cs="Arial" w:eastAsia="Arial" w:hAnsi="Arial"/>
          <w:sz w:val="21"/>
          <w:szCs w:val="21"/>
          <w:u w:val="single" w:color="auto"/>
          <w:color w:val="auto"/>
        </w:rPr>
        <w:t>Section</w:t>
      </w:r>
      <w:r>
        <w:rPr>
          <w:rFonts w:ascii="Arial" w:cs="Arial" w:eastAsia="Arial" w:hAnsi="Arial"/>
          <w:sz w:val="20"/>
          <w:szCs w:val="20"/>
          <w:color w:val="auto"/>
        </w:rPr>
        <w:t xml:space="preserve"> </w:t>
      </w:r>
      <w:r>
        <w:rPr>
          <w:rFonts w:ascii="Arial" w:cs="Arial" w:eastAsia="Arial" w:hAnsi="Arial"/>
          <w:sz w:val="21"/>
          <w:szCs w:val="21"/>
          <w:u w:val="single" w:color="auto"/>
          <w:color w:val="auto"/>
        </w:rPr>
        <w:t>10.08</w:t>
      </w:r>
      <w:r>
        <w:rPr>
          <w:rFonts w:ascii="Arial" w:cs="Arial" w:eastAsia="Arial" w:hAnsi="Arial"/>
          <w:sz w:val="21"/>
          <w:szCs w:val="21"/>
          <w:color w:val="auto"/>
        </w:rPr>
        <w:t xml:space="preserve"> </w:t>
      </w:r>
      <w:r>
        <w:rPr>
          <w:rFonts w:ascii="Arial" w:cs="Arial" w:eastAsia="Arial" w:hAnsi="Arial"/>
          <w:sz w:val="19"/>
          <w:szCs w:val="19"/>
          <w:color w:val="auto"/>
        </w:rPr>
        <w:t>only, in no case shall any default in the due observance or performance thereof during a Covenant Suspension Period</w:t>
      </w:r>
      <w:r>
        <w:rPr>
          <w:rFonts w:ascii="Arial" w:cs="Arial" w:eastAsia="Arial" w:hAnsi="Arial"/>
          <w:sz w:val="21"/>
          <w:szCs w:val="21"/>
          <w:color w:val="auto"/>
        </w:rPr>
        <w:t xml:space="preserve"> </w:t>
      </w:r>
      <w:r>
        <w:rPr>
          <w:rFonts w:ascii="Arial" w:cs="Arial" w:eastAsia="Arial" w:hAnsi="Arial"/>
          <w:sz w:val="19"/>
          <w:szCs w:val="19"/>
          <w:color w:val="auto"/>
        </w:rPr>
        <w:t>constitute a Default or Event of Default);</w:t>
      </w:r>
    </w:p>
    <w:p>
      <w:pPr>
        <w:spacing w:after="0" w:line="200" w:lineRule="exact"/>
        <w:rPr>
          <w:rFonts w:ascii="Arial" w:cs="Arial" w:eastAsia="Arial" w:hAnsi="Arial"/>
          <w:sz w:val="20"/>
          <w:szCs w:val="20"/>
          <w:color w:val="auto"/>
        </w:rPr>
      </w:pPr>
    </w:p>
    <w:p>
      <w:pPr>
        <w:ind w:left="640" w:hanging="308"/>
        <w:spacing w:after="0"/>
        <w:tabs>
          <w:tab w:leader="none" w:pos="640" w:val="left"/>
        </w:tabs>
        <w:numPr>
          <w:ilvl w:val="0"/>
          <w:numId w:val="217"/>
        </w:numPr>
        <w:rPr>
          <w:rFonts w:ascii="Arial" w:cs="Arial" w:eastAsia="Arial" w:hAnsi="Arial"/>
          <w:sz w:val="20"/>
          <w:szCs w:val="20"/>
          <w:color w:val="auto"/>
        </w:rPr>
      </w:pPr>
      <w:r>
        <w:rPr>
          <w:rFonts w:ascii="Arial" w:cs="Arial" w:eastAsia="Arial" w:hAnsi="Arial"/>
          <w:sz w:val="22"/>
          <w:szCs w:val="22"/>
          <w:u w:val="single" w:color="auto"/>
          <w:color w:val="auto"/>
        </w:rPr>
        <w:t>Section 11.01(o)</w:t>
      </w:r>
      <w:r>
        <w:rPr>
          <w:rFonts w:ascii="Arial" w:cs="Arial" w:eastAsia="Arial" w:hAnsi="Arial"/>
          <w:sz w:val="22"/>
          <w:szCs w:val="22"/>
          <w:color w:val="auto"/>
        </w:rPr>
        <w:t xml:space="preserve"> </w:t>
      </w:r>
      <w:r>
        <w:rPr>
          <w:rFonts w:ascii="Arial" w:cs="Arial" w:eastAsia="Arial" w:hAnsi="Arial"/>
          <w:sz w:val="19"/>
          <w:szCs w:val="19"/>
          <w:color w:val="auto"/>
        </w:rPr>
        <w:t>of the Existing Credit Agreement is hereby amended and replaced with the following:</w:t>
      </w:r>
    </w:p>
    <w:p>
      <w:pPr>
        <w:spacing w:after="0" w:line="237" w:lineRule="exact"/>
        <w:rPr>
          <w:rFonts w:ascii="Arial" w:cs="Arial" w:eastAsia="Arial" w:hAnsi="Arial"/>
          <w:sz w:val="20"/>
          <w:szCs w:val="20"/>
          <w:color w:val="auto"/>
        </w:rPr>
      </w:pPr>
    </w:p>
    <w:p>
      <w:pPr>
        <w:jc w:val="both"/>
        <w:ind w:left="660" w:hanging="4"/>
        <w:spacing w:after="0" w:line="253" w:lineRule="auto"/>
        <w:tabs>
          <w:tab w:leader="none" w:pos="945" w:val="left"/>
        </w:tabs>
        <w:numPr>
          <w:ilvl w:val="1"/>
          <w:numId w:val="218"/>
        </w:numPr>
        <w:rPr>
          <w:rFonts w:ascii="Arial" w:cs="Arial" w:eastAsia="Arial" w:hAnsi="Arial"/>
          <w:sz w:val="19"/>
          <w:szCs w:val="19"/>
          <w:color w:val="auto"/>
        </w:rPr>
      </w:pPr>
      <w:r>
        <w:rPr>
          <w:rFonts w:ascii="Arial" w:cs="Arial" w:eastAsia="Arial" w:hAnsi="Arial"/>
          <w:sz w:val="19"/>
          <w:szCs w:val="19"/>
          <w:color w:val="auto"/>
        </w:rPr>
        <w:t xml:space="preserve">there shall have occurred a License Revocation by any Gaming Authority in one or more jurisdictions in which Borrower or any of its Restricted Subsidiaries owns or operates Gaming Facilities, which License Revocation (in the aggregate with any other License Revocations then in existence) would reasonably be expected to have a Material Adverse Effect (for purposes of clarification, without giving effect to clause (x) of the first proviso to the definition of Material Adverse Effect); </w:t>
      </w:r>
      <w:r>
        <w:rPr>
          <w:rFonts w:ascii="Arial" w:cs="Arial" w:eastAsia="Arial" w:hAnsi="Arial"/>
          <w:sz w:val="20"/>
          <w:szCs w:val="20"/>
          <w:i w:val="1"/>
          <w:iCs w:val="1"/>
          <w:color w:val="auto"/>
        </w:rPr>
        <w:t>provided</w:t>
      </w:r>
      <w:r>
        <w:rPr>
          <w:rFonts w:ascii="Arial" w:cs="Arial" w:eastAsia="Arial" w:hAnsi="Arial"/>
          <w:sz w:val="19"/>
          <w:szCs w:val="19"/>
          <w:color w:val="auto"/>
        </w:rPr>
        <w:t xml:space="preserve">, </w:t>
      </w:r>
      <w:r>
        <w:rPr>
          <w:rFonts w:ascii="Arial" w:cs="Arial" w:eastAsia="Arial" w:hAnsi="Arial"/>
          <w:sz w:val="20"/>
          <w:szCs w:val="20"/>
          <w:i w:val="1"/>
          <w:iCs w:val="1"/>
          <w:color w:val="auto"/>
        </w:rPr>
        <w:t>however</w:t>
      </w:r>
      <w:r>
        <w:rPr>
          <w:rFonts w:ascii="Arial" w:cs="Arial" w:eastAsia="Arial" w:hAnsi="Arial"/>
          <w:sz w:val="19"/>
          <w:szCs w:val="19"/>
          <w:color w:val="auto"/>
        </w:rPr>
        <w:t>, that such License Revocation continues for at least ninety (90) consecutive days after the earlier of (x) the date of cessation of the affected operations as a result of such License Revocation and (y) the date that none of Borrower, nor any of its Restricted Subsidiaries nor the Lenders receive the net cash flows generated by any such operations; or</w:t>
      </w:r>
    </w:p>
    <w:p>
      <w:pPr>
        <w:spacing w:after="0" w:line="202" w:lineRule="exact"/>
        <w:rPr>
          <w:sz w:val="20"/>
          <w:szCs w:val="20"/>
          <w:color w:val="auto"/>
        </w:rPr>
      </w:pPr>
    </w:p>
    <w:p>
      <w:pPr>
        <w:ind w:left="5300"/>
        <w:spacing w:after="0"/>
        <w:rPr>
          <w:sz w:val="20"/>
          <w:szCs w:val="20"/>
          <w:color w:val="auto"/>
        </w:rPr>
      </w:pPr>
      <w:r>
        <w:rPr>
          <w:rFonts w:ascii="Arial" w:cs="Arial" w:eastAsia="Arial" w:hAnsi="Arial"/>
          <w:sz w:val="22"/>
          <w:szCs w:val="22"/>
          <w:b w:val="1"/>
          <w:bCs w:val="1"/>
          <w:color w:val="auto"/>
        </w:rPr>
        <w:t>ARTICLE 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w:t>
      </w:r>
    </w:p>
    <w:p>
      <w:pPr>
        <w:spacing w:after="0" w:line="257" w:lineRule="exact"/>
        <w:rPr>
          <w:sz w:val="20"/>
          <w:szCs w:val="20"/>
          <w:color w:val="auto"/>
        </w:rPr>
      </w:pPr>
    </w:p>
    <w:p>
      <w:pPr>
        <w:jc w:val="both"/>
        <w:ind w:firstLine="755"/>
        <w:spacing w:after="0" w:line="280" w:lineRule="auto"/>
        <w:rPr>
          <w:sz w:val="20"/>
          <w:szCs w:val="20"/>
          <w:color w:val="auto"/>
        </w:rPr>
      </w:pPr>
      <w:r>
        <w:rPr>
          <w:rFonts w:ascii="Arial" w:cs="Arial" w:eastAsia="Arial" w:hAnsi="Arial"/>
          <w:sz w:val="18"/>
          <w:szCs w:val="18"/>
          <w:color w:val="auto"/>
        </w:rPr>
        <w:t xml:space="preserve">SECTION 3.1 None of the execution, delivery and performance by any Credit Party of this Amendment nor the consummation of the transactions herein do or will (i) conflict with or result in a breach of, or require any consent (which has not been obtained and is in full force and effect) under (x) any Organizational Document of any Credit Party or (y) subject to </w:t>
      </w:r>
      <w:r>
        <w:rPr>
          <w:rFonts w:ascii="Arial" w:cs="Arial" w:eastAsia="Arial" w:hAnsi="Arial"/>
          <w:sz w:val="19"/>
          <w:szCs w:val="19"/>
          <w:u w:val="single" w:color="auto"/>
          <w:color w:val="auto"/>
        </w:rPr>
        <w:t>Section 13.13</w:t>
      </w:r>
      <w:r>
        <w:rPr>
          <w:rFonts w:ascii="Arial" w:cs="Arial" w:eastAsia="Arial" w:hAnsi="Arial"/>
          <w:sz w:val="18"/>
          <w:szCs w:val="18"/>
          <w:color w:val="auto"/>
        </w:rPr>
        <w:t xml:space="preserve"> of the Credit Agreement, any applicable Requirement of Law (including, without limitation, any Gaming Law) or (z) any order, writ, injunction or decree of any Governmental Authority binding on any Credit Party or (ii) constitute (with due notice or lapse of time or both) a default under any Contractual Obligation or (iii) result in or require the creation or imposition of any Lien (except for the Liens created pursuant to the Security Documents and other Permitted Liens) upon any Property of any Credit Party pursuant to the terms of any such Contractual Obligation, except with respect to clauses (i)(y), (i)(z), (ii), or (iii) which would not reasonably be expected to result in a Material Adverse Effect.</w:t>
      </w:r>
    </w:p>
    <w:p>
      <w:pPr>
        <w:spacing w:after="0" w:line="174" w:lineRule="exact"/>
        <w:rPr>
          <w:sz w:val="20"/>
          <w:szCs w:val="20"/>
          <w:color w:val="auto"/>
        </w:rPr>
      </w:pPr>
    </w:p>
    <w:p>
      <w:pPr>
        <w:jc w:val="both"/>
        <w:ind w:right="20" w:firstLine="755"/>
        <w:spacing w:after="0" w:line="246" w:lineRule="auto"/>
        <w:rPr>
          <w:sz w:val="20"/>
          <w:szCs w:val="20"/>
          <w:color w:val="auto"/>
        </w:rPr>
      </w:pPr>
      <w:r>
        <w:rPr>
          <w:rFonts w:ascii="Arial" w:cs="Arial" w:eastAsia="Arial" w:hAnsi="Arial"/>
          <w:sz w:val="20"/>
          <w:szCs w:val="20"/>
          <w:color w:val="auto"/>
        </w:rPr>
        <w:t>SECTION 3.2 The representations and warranties contained in Article VIII of the Credit Agreement and in the other Credit Documents are true and correct in all material respects on and as of the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14" w:right="339" w:bottom="1440" w:gutter="0" w:footer="0" w:header="0"/>
        </w:sectPr>
      </w:pPr>
    </w:p>
    <w:bookmarkStart w:id="200" w:name="page201"/>
    <w:bookmarkEnd w:id="200"/>
    <w:p>
      <w:pPr>
        <w:jc w:val="both"/>
        <w:spacing w:after="0" w:line="300" w:lineRule="auto"/>
        <w:rPr>
          <w:sz w:val="20"/>
          <w:szCs w:val="20"/>
          <w:color w:val="auto"/>
        </w:rPr>
      </w:pPr>
      <w:r>
        <w:rPr>
          <w:rFonts w:ascii="Arial" w:cs="Arial" w:eastAsia="Arial" w:hAnsi="Arial"/>
          <w:sz w:val="18"/>
          <w:szCs w:val="18"/>
          <w:color w:val="auto"/>
        </w:rPr>
        <w:t xml:space="preserve">Amendment No. 1 Effective Date (except where such representations and warranties expressly relate to an earlier date, in which case such representations and warranties were true and correct in all material respects as of such earlier date); </w:t>
      </w:r>
      <w:r>
        <w:rPr>
          <w:rFonts w:ascii="Arial" w:cs="Arial" w:eastAsia="Arial" w:hAnsi="Arial"/>
          <w:sz w:val="19"/>
          <w:szCs w:val="19"/>
          <w:i w:val="1"/>
          <w:iCs w:val="1"/>
          <w:color w:val="auto"/>
        </w:rPr>
        <w:t>provided</w:t>
      </w:r>
      <w:r>
        <w:rPr>
          <w:rFonts w:ascii="Arial" w:cs="Arial" w:eastAsia="Arial" w:hAnsi="Arial"/>
          <w:sz w:val="18"/>
          <w:szCs w:val="18"/>
          <w:color w:val="auto"/>
        </w:rPr>
        <w:t xml:space="preserve"> that, any representation and warranty that is qualified as to “materiality,” “Material Adverse Effect” or similar language is (or was) true and correct in all respects.</w:t>
      </w:r>
    </w:p>
    <w:p>
      <w:pPr>
        <w:spacing w:after="0" w:line="157" w:lineRule="exact"/>
        <w:rPr>
          <w:sz w:val="20"/>
          <w:szCs w:val="20"/>
          <w:color w:val="auto"/>
        </w:rPr>
      </w:pPr>
    </w:p>
    <w:p>
      <w:pPr>
        <w:ind w:left="5360"/>
        <w:spacing w:after="0"/>
        <w:rPr>
          <w:sz w:val="20"/>
          <w:szCs w:val="20"/>
          <w:color w:val="auto"/>
        </w:rPr>
      </w:pPr>
      <w:r>
        <w:rPr>
          <w:rFonts w:ascii="Arial" w:cs="Arial" w:eastAsia="Arial" w:hAnsi="Arial"/>
          <w:sz w:val="22"/>
          <w:szCs w:val="22"/>
          <w:b w:val="1"/>
          <w:bCs w:val="1"/>
          <w:color w:val="auto"/>
        </w:rPr>
        <w:t>ARTICLE IV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TO THE AMENDMENT NO. 1 EFFECTIVE DATE</w:t>
      </w:r>
    </w:p>
    <w:p>
      <w:pPr>
        <w:spacing w:after="0" w:line="226" w:lineRule="exact"/>
        <w:rPr>
          <w:sz w:val="20"/>
          <w:szCs w:val="20"/>
          <w:color w:val="auto"/>
        </w:rPr>
      </w:pPr>
    </w:p>
    <w:p>
      <w:pPr>
        <w:jc w:val="both"/>
        <w:ind w:firstLine="729"/>
        <w:spacing w:after="0" w:line="239" w:lineRule="auto"/>
        <w:rPr>
          <w:sz w:val="20"/>
          <w:szCs w:val="20"/>
          <w:color w:val="auto"/>
        </w:rPr>
      </w:pPr>
      <w:r>
        <w:rPr>
          <w:rFonts w:ascii="Arial" w:cs="Arial" w:eastAsia="Arial" w:hAnsi="Arial"/>
          <w:sz w:val="20"/>
          <w:szCs w:val="20"/>
          <w:color w:val="auto"/>
        </w:rPr>
        <w:t>This Amendment shall become effective on the date (the “</w:t>
      </w:r>
      <w:r>
        <w:rPr>
          <w:rFonts w:ascii="Arial" w:cs="Arial" w:eastAsia="Arial" w:hAnsi="Arial"/>
          <w:sz w:val="21"/>
          <w:szCs w:val="21"/>
          <w:u w:val="single" w:color="auto"/>
          <w:color w:val="auto"/>
        </w:rPr>
        <w:t>Amendment No. 1 Effective Date</w:t>
      </w:r>
      <w:r>
        <w:rPr>
          <w:rFonts w:ascii="Arial" w:cs="Arial" w:eastAsia="Arial" w:hAnsi="Arial"/>
          <w:sz w:val="20"/>
          <w:szCs w:val="20"/>
          <w:color w:val="auto"/>
        </w:rPr>
        <w:t>”) on which each of the following conditions is satisfied or waived:</w:t>
      </w:r>
    </w:p>
    <w:p>
      <w:pPr>
        <w:spacing w:after="0" w:line="192" w:lineRule="exact"/>
        <w:rPr>
          <w:sz w:val="20"/>
          <w:szCs w:val="20"/>
          <w:color w:val="auto"/>
        </w:rPr>
      </w:pPr>
    </w:p>
    <w:p>
      <w:pPr>
        <w:jc w:val="both"/>
        <w:ind w:firstLine="756"/>
        <w:spacing w:after="0" w:line="281" w:lineRule="auto"/>
        <w:rPr>
          <w:sz w:val="20"/>
          <w:szCs w:val="20"/>
          <w:color w:val="auto"/>
        </w:rPr>
      </w:pPr>
      <w:r>
        <w:rPr>
          <w:rFonts w:ascii="Arial" w:cs="Arial" w:eastAsia="Arial" w:hAnsi="Arial"/>
          <w:sz w:val="20"/>
          <w:szCs w:val="20"/>
          <w:color w:val="auto"/>
        </w:rPr>
        <w:t xml:space="preserve">SECTION 4.1 </w:t>
      </w:r>
      <w:r>
        <w:rPr>
          <w:rFonts w:ascii="Arial" w:cs="Arial" w:eastAsia="Arial" w:hAnsi="Arial"/>
          <w:sz w:val="21"/>
          <w:szCs w:val="21"/>
          <w:u w:val="single" w:color="auto"/>
          <w:color w:val="auto"/>
        </w:rPr>
        <w:t>Execution of Counterparts</w:t>
      </w:r>
      <w:r>
        <w:rPr>
          <w:rFonts w:ascii="Arial" w:cs="Arial" w:eastAsia="Arial" w:hAnsi="Arial"/>
          <w:sz w:val="20"/>
          <w:szCs w:val="20"/>
          <w:color w:val="auto"/>
        </w:rPr>
        <w:t>. The Administrative Agent shall have received executed counterparts of this Amendment from each Credit Party, the Lenders constituting the Required Lenders, and the Administrative Agent.</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 xml:space="preserve">SECTION 4.2 </w:t>
      </w:r>
      <w:r>
        <w:rPr>
          <w:rFonts w:ascii="Arial" w:cs="Arial" w:eastAsia="Arial" w:hAnsi="Arial"/>
          <w:sz w:val="21"/>
          <w:szCs w:val="21"/>
          <w:u w:val="single" w:color="auto"/>
          <w:color w:val="auto"/>
        </w:rPr>
        <w:t>Corporate Documents</w:t>
      </w:r>
      <w:r>
        <w:rPr>
          <w:rFonts w:ascii="Arial" w:cs="Arial" w:eastAsia="Arial" w:hAnsi="Arial"/>
          <w:sz w:val="20"/>
          <w:szCs w:val="20"/>
          <w:color w:val="auto"/>
        </w:rPr>
        <w:t>. The Administrative Agent shall have received:</w:t>
      </w:r>
    </w:p>
    <w:p>
      <w:pPr>
        <w:spacing w:after="0" w:line="263" w:lineRule="exact"/>
        <w:rPr>
          <w:sz w:val="20"/>
          <w:szCs w:val="20"/>
          <w:color w:val="auto"/>
        </w:rPr>
      </w:pPr>
    </w:p>
    <w:p>
      <w:pPr>
        <w:jc w:val="both"/>
        <w:ind w:left="660" w:hanging="328"/>
        <w:spacing w:after="0" w:line="254" w:lineRule="auto"/>
        <w:tabs>
          <w:tab w:leader="none" w:pos="649" w:val="left"/>
        </w:tabs>
        <w:numPr>
          <w:ilvl w:val="0"/>
          <w:numId w:val="219"/>
        </w:numPr>
        <w:rPr>
          <w:rFonts w:ascii="Arial" w:cs="Arial" w:eastAsia="Arial" w:hAnsi="Arial"/>
          <w:sz w:val="19"/>
          <w:szCs w:val="19"/>
          <w:color w:val="auto"/>
        </w:rPr>
      </w:pPr>
      <w:r>
        <w:rPr>
          <w:rFonts w:ascii="Arial" w:cs="Arial" w:eastAsia="Arial" w:hAnsi="Arial"/>
          <w:sz w:val="19"/>
          <w:szCs w:val="19"/>
          <w:color w:val="auto"/>
        </w:rPr>
        <w:t>certified true and complete copies of the Organizational Documents of each Credit Party and evidence of all corporate or other applicable authority for each Credit Party (including board of directors (or other applicable governing authority) resolutions and evidence of the incumbency, including specimen signatures, of officers) with respect to the execution, delivery, and performance of this Amendment and the extensions of credit hereunder, certified as of the Amendment No. 1 Effective Date as complete and correct copies thereof by the Secretary or an Assistant Secretary of each such Credit Party (or the member or manager or general partner of such Credit Party, as applicable) (provided that, in lieu of attaching such Organizational Documents and/or evidence of incumbency, such certificate may certify that (i) since the Closing Date (or such later date on which the applicable Credit Party became party to the Credit Documents), there have been no changes to the Organizational Documents of such Credit Party and (ii) no changes have been made to the incumbency certificate of the officers of such Credit Party delivered on the Closing Date (or such later date referred to above));</w:t>
      </w:r>
    </w:p>
    <w:p>
      <w:pPr>
        <w:spacing w:after="0" w:line="225" w:lineRule="exact"/>
        <w:rPr>
          <w:rFonts w:ascii="Arial" w:cs="Arial" w:eastAsia="Arial" w:hAnsi="Arial"/>
          <w:sz w:val="19"/>
          <w:szCs w:val="19"/>
          <w:color w:val="auto"/>
        </w:rPr>
      </w:pPr>
    </w:p>
    <w:p>
      <w:pPr>
        <w:ind w:left="660" w:right="20" w:hanging="328"/>
        <w:spacing w:after="0" w:line="274" w:lineRule="auto"/>
        <w:tabs>
          <w:tab w:leader="none" w:pos="649" w:val="left"/>
        </w:tabs>
        <w:numPr>
          <w:ilvl w:val="0"/>
          <w:numId w:val="219"/>
        </w:numPr>
        <w:rPr>
          <w:rFonts w:ascii="Arial" w:cs="Arial" w:eastAsia="Arial" w:hAnsi="Arial"/>
          <w:sz w:val="20"/>
          <w:szCs w:val="20"/>
          <w:color w:val="auto"/>
        </w:rPr>
      </w:pPr>
      <w:r>
        <w:rPr>
          <w:rFonts w:ascii="Arial" w:cs="Arial" w:eastAsia="Arial" w:hAnsi="Arial"/>
          <w:sz w:val="20"/>
          <w:szCs w:val="20"/>
          <w:color w:val="auto"/>
        </w:rPr>
        <w:t>a certificate as to the good standing of each Credit Party as of a recent date, from the Secretary of State (or other applicable Governmental Authority) of its jurisdiction of formation; and</w:t>
      </w:r>
    </w:p>
    <w:p>
      <w:pPr>
        <w:spacing w:after="0" w:line="176" w:lineRule="exact"/>
        <w:rPr>
          <w:rFonts w:ascii="Arial" w:cs="Arial" w:eastAsia="Arial" w:hAnsi="Arial"/>
          <w:sz w:val="20"/>
          <w:szCs w:val="20"/>
          <w:color w:val="auto"/>
        </w:rPr>
      </w:pPr>
    </w:p>
    <w:p>
      <w:pPr>
        <w:ind w:left="660" w:hanging="328"/>
        <w:spacing w:after="0" w:line="233" w:lineRule="auto"/>
        <w:tabs>
          <w:tab w:leader="none" w:pos="652" w:val="left"/>
        </w:tabs>
        <w:numPr>
          <w:ilvl w:val="0"/>
          <w:numId w:val="219"/>
        </w:numPr>
        <w:rPr>
          <w:rFonts w:ascii="Arial" w:cs="Arial" w:eastAsia="Arial" w:hAnsi="Arial"/>
          <w:sz w:val="20"/>
          <w:szCs w:val="20"/>
          <w:color w:val="auto"/>
        </w:rPr>
      </w:pPr>
      <w:r>
        <w:rPr>
          <w:rFonts w:ascii="Arial" w:cs="Arial" w:eastAsia="Arial" w:hAnsi="Arial"/>
          <w:sz w:val="20"/>
          <w:szCs w:val="20"/>
          <w:color w:val="auto"/>
        </w:rPr>
        <w:t xml:space="preserve">an Officer’s Certificate of the Borrower, dated the Amendment No. 1 Effective Date, certifying that the conditions set forth in </w:t>
      </w:r>
      <w:r>
        <w:rPr>
          <w:rFonts w:ascii="Arial" w:cs="Arial" w:eastAsia="Arial" w:hAnsi="Arial"/>
          <w:sz w:val="21"/>
          <w:szCs w:val="21"/>
          <w:u w:val="single" w:color="auto"/>
          <w:color w:val="auto"/>
        </w:rPr>
        <w:t>Section 4.3</w:t>
      </w:r>
      <w:r>
        <w:rPr>
          <w:rFonts w:ascii="Arial" w:cs="Arial" w:eastAsia="Arial" w:hAnsi="Arial"/>
          <w:sz w:val="21"/>
          <w:szCs w:val="21"/>
          <w:color w:val="auto"/>
        </w:rPr>
        <w:t xml:space="preserve"> </w:t>
      </w:r>
      <w:r>
        <w:rPr>
          <w:rFonts w:ascii="Arial" w:cs="Arial" w:eastAsia="Arial" w:hAnsi="Arial"/>
          <w:sz w:val="19"/>
          <w:szCs w:val="19"/>
          <w:color w:val="auto"/>
        </w:rPr>
        <w:t>hereof have been satisfied.</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 xml:space="preserve">SECTION 4.3 </w:t>
      </w:r>
      <w:r>
        <w:rPr>
          <w:rFonts w:ascii="Arial" w:cs="Arial" w:eastAsia="Arial" w:hAnsi="Arial"/>
          <w:sz w:val="21"/>
          <w:szCs w:val="21"/>
          <w:u w:val="single" w:color="auto"/>
          <w:color w:val="auto"/>
        </w:rPr>
        <w:t>No Default or Event of Default; Representations and Warranties True</w:t>
      </w:r>
      <w:r>
        <w:rPr>
          <w:rFonts w:ascii="Arial" w:cs="Arial" w:eastAsia="Arial" w:hAnsi="Arial"/>
          <w:sz w:val="20"/>
          <w:szCs w:val="20"/>
          <w:color w:val="auto"/>
        </w:rPr>
        <w:t>. Both immediately prior to this</w:t>
      </w:r>
    </w:p>
    <w:p>
      <w:pPr>
        <w:spacing w:after="0"/>
        <w:rPr>
          <w:sz w:val="20"/>
          <w:szCs w:val="20"/>
          <w:color w:val="auto"/>
        </w:rPr>
      </w:pPr>
      <w:r>
        <w:rPr>
          <w:rFonts w:ascii="Arial" w:cs="Arial" w:eastAsia="Arial" w:hAnsi="Arial"/>
          <w:sz w:val="20"/>
          <w:szCs w:val="20"/>
          <w:color w:val="auto"/>
        </w:rPr>
        <w:t>Amendment and also after giving effect to this Amendment:</w:t>
      </w:r>
    </w:p>
    <w:p>
      <w:pPr>
        <w:spacing w:after="0" w:line="213" w:lineRule="exact"/>
        <w:rPr>
          <w:sz w:val="20"/>
          <w:szCs w:val="20"/>
          <w:color w:val="auto"/>
        </w:rPr>
      </w:pPr>
    </w:p>
    <w:p>
      <w:pPr>
        <w:ind w:left="640" w:hanging="308"/>
        <w:spacing w:after="0"/>
        <w:tabs>
          <w:tab w:leader="none" w:pos="640" w:val="left"/>
        </w:tabs>
        <w:numPr>
          <w:ilvl w:val="0"/>
          <w:numId w:val="220"/>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be continuing; and</w:t>
      </w:r>
    </w:p>
    <w:p>
      <w:pPr>
        <w:spacing w:after="0" w:line="256" w:lineRule="exact"/>
        <w:rPr>
          <w:rFonts w:ascii="Arial" w:cs="Arial" w:eastAsia="Arial" w:hAnsi="Arial"/>
          <w:sz w:val="20"/>
          <w:szCs w:val="20"/>
          <w:color w:val="auto"/>
        </w:rPr>
      </w:pPr>
    </w:p>
    <w:p>
      <w:pPr>
        <w:jc w:val="both"/>
        <w:ind w:left="660" w:hanging="328"/>
        <w:spacing w:after="0" w:line="273" w:lineRule="auto"/>
        <w:tabs>
          <w:tab w:leader="none" w:pos="649" w:val="left"/>
        </w:tabs>
        <w:numPr>
          <w:ilvl w:val="0"/>
          <w:numId w:val="220"/>
        </w:numPr>
        <w:rPr>
          <w:rFonts w:ascii="Arial" w:cs="Arial" w:eastAsia="Arial" w:hAnsi="Arial"/>
          <w:sz w:val="19"/>
          <w:szCs w:val="19"/>
          <w:color w:val="auto"/>
        </w:rPr>
      </w:pPr>
      <w:r>
        <w:rPr>
          <w:rFonts w:ascii="Arial" w:cs="Arial" w:eastAsia="Arial" w:hAnsi="Arial"/>
          <w:sz w:val="19"/>
          <w:szCs w:val="19"/>
          <w:color w:val="auto"/>
        </w:rPr>
        <w:t>each of the representations and warranties made by the Credit Parties in Article VIII of the Credit Agreement, Article III hereof and in the other Credit Documents shall be true and correct in all material respects on and as of the Amendment No. 1 Effective Date (it being understood and agreed that any such representation or warranty which by its terms is made as of an earlier date shall be required to be true and correct in all material respects only as of such earlier date, and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32" w:right="339" w:bottom="1440" w:gutter="0" w:footer="0" w:header="0"/>
        </w:sectPr>
      </w:pPr>
    </w:p>
    <w:bookmarkStart w:id="201" w:name="page202"/>
    <w:bookmarkEnd w:id="201"/>
    <w:p>
      <w:pPr>
        <w:ind w:left="660" w:right="20"/>
        <w:spacing w:after="0" w:line="274" w:lineRule="auto"/>
        <w:rPr>
          <w:sz w:val="20"/>
          <w:szCs w:val="20"/>
          <w:color w:val="auto"/>
        </w:rPr>
      </w:pPr>
      <w:r>
        <w:rPr>
          <w:rFonts w:ascii="Arial" w:cs="Arial" w:eastAsia="Arial" w:hAnsi="Arial"/>
          <w:sz w:val="20"/>
          <w:szCs w:val="20"/>
          <w:color w:val="auto"/>
        </w:rPr>
        <w:t>that any representation and warranty that is qualified as to “materiality,” “Material Adverse Effect” or similar language shall be true and correct in all respects on the applicable date).</w:t>
      </w:r>
    </w:p>
    <w:p>
      <w:pPr>
        <w:spacing w:after="0" w:line="186" w:lineRule="exact"/>
        <w:rPr>
          <w:sz w:val="20"/>
          <w:szCs w:val="20"/>
          <w:color w:val="auto"/>
        </w:rPr>
      </w:pPr>
    </w:p>
    <w:p>
      <w:pPr>
        <w:jc w:val="both"/>
        <w:ind w:firstLine="755"/>
        <w:spacing w:after="0" w:line="249" w:lineRule="auto"/>
        <w:rPr>
          <w:sz w:val="20"/>
          <w:szCs w:val="20"/>
          <w:color w:val="auto"/>
        </w:rPr>
      </w:pPr>
      <w:r>
        <w:rPr>
          <w:rFonts w:ascii="Arial" w:cs="Arial" w:eastAsia="Arial" w:hAnsi="Arial"/>
          <w:sz w:val="20"/>
          <w:szCs w:val="20"/>
          <w:color w:val="auto"/>
        </w:rPr>
        <w:t xml:space="preserve">SECTION 4.4 </w:t>
      </w:r>
      <w:r>
        <w:rPr>
          <w:rFonts w:ascii="Arial" w:cs="Arial" w:eastAsia="Arial" w:hAnsi="Arial"/>
          <w:sz w:val="21"/>
          <w:szCs w:val="21"/>
          <w:u w:val="single" w:color="auto"/>
          <w:color w:val="auto"/>
        </w:rPr>
        <w:t>Fees</w:t>
      </w:r>
      <w:r>
        <w:rPr>
          <w:rFonts w:ascii="Arial" w:cs="Arial" w:eastAsia="Arial" w:hAnsi="Arial"/>
          <w:sz w:val="20"/>
          <w:szCs w:val="20"/>
          <w:color w:val="auto"/>
        </w:rPr>
        <w:t>. The Administrative Agent shall have received (a) for the account of each Lender that consents to this Amendment prior to the Amendment No. 1 Effective Date, a fee in an amount equal to 0.05% of the Commitments held by such consenting Lender on the Amendment No. 1 Effective Date and (b) all other fees required to be paid, and all expenses for which reasonably detailed invoices have been presented (including the reasonable fees and expenses of Cahill Gordon &amp; Reindel LLP), on or before the Amendment No. 1 Effective Date.</w:t>
      </w:r>
    </w:p>
    <w:p>
      <w:pPr>
        <w:spacing w:after="0" w:line="199" w:lineRule="exact"/>
        <w:rPr>
          <w:sz w:val="20"/>
          <w:szCs w:val="20"/>
          <w:color w:val="auto"/>
        </w:rPr>
      </w:pPr>
    </w:p>
    <w:p>
      <w:pPr>
        <w:jc w:val="both"/>
        <w:ind w:firstLine="756"/>
        <w:spacing w:after="0" w:line="273"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9"/>
          <w:szCs w:val="19"/>
          <w:u w:val="single" w:color="auto"/>
          <w:color w:val="auto"/>
        </w:rPr>
        <w:t>KYC Information</w:t>
      </w:r>
      <w:r>
        <w:rPr>
          <w:rFonts w:ascii="Arial" w:cs="Arial" w:eastAsia="Arial" w:hAnsi="Arial"/>
          <w:sz w:val="18"/>
          <w:szCs w:val="18"/>
          <w:color w:val="auto"/>
        </w:rPr>
        <w:t>. (a) The Administrative Agent shall have received at least five (5) days prior to the Amendment No. 1 Effective Date all documentation and other information reasonably requested in writing at least ten (10) days prior to the Amendment No. 1 Effective Date by the Administrative Agent that the Administrative Agent reasonably determines is required by regulatory authorities from the Credit Parties under applicable “know your customer” and anti-money laundering rules and regulations, including without limitation the Patriot Act and (b) to the extent the Borrower qualifies as a “legal entity customer” under the Beneficial Ownership Regulation, at least three (3) days prior to the Amendment No. 1 Effective Date, any Lender that has requested, in a written notice to the Borrower at least five (5) days prior to the Amendment No. 1 Effective Date, a Beneficial Ownership Certification in relation to the Borrower shall have received such Beneficial Ownership Certification (provided that, upon the execution and delivery by such Lender of its signature page to this Amendment, the condition set forth in this clause (b) shall be deemed to be satisfied).</w:t>
      </w:r>
    </w:p>
    <w:p>
      <w:pPr>
        <w:spacing w:after="0" w:line="184" w:lineRule="exact"/>
        <w:rPr>
          <w:sz w:val="20"/>
          <w:szCs w:val="20"/>
          <w:color w:val="auto"/>
        </w:rPr>
      </w:pPr>
    </w:p>
    <w:p>
      <w:pPr>
        <w:ind w:left="5400"/>
        <w:spacing w:after="0"/>
        <w:rPr>
          <w:sz w:val="20"/>
          <w:szCs w:val="20"/>
          <w:color w:val="auto"/>
        </w:rPr>
      </w:pPr>
      <w:r>
        <w:rPr>
          <w:rFonts w:ascii="Arial" w:cs="Arial" w:eastAsia="Arial" w:hAnsi="Arial"/>
          <w:sz w:val="22"/>
          <w:szCs w:val="22"/>
          <w:b w:val="1"/>
          <w:bCs w:val="1"/>
          <w:color w:val="auto"/>
        </w:rPr>
        <w:t>ARTICLE 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VALIDITY OF OBLIGATIONS AND LIENS</w:t>
      </w:r>
    </w:p>
    <w:p>
      <w:pPr>
        <w:spacing w:after="0" w:line="239" w:lineRule="exact"/>
        <w:rPr>
          <w:sz w:val="20"/>
          <w:szCs w:val="20"/>
          <w:color w:val="auto"/>
        </w:rPr>
      </w:pPr>
    </w:p>
    <w:p>
      <w:pPr>
        <w:jc w:val="both"/>
        <w:ind w:firstLine="756"/>
        <w:spacing w:after="0" w:line="285"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9"/>
          <w:szCs w:val="19"/>
          <w:u w:val="single" w:color="auto"/>
          <w:color w:val="auto"/>
        </w:rPr>
        <w:t>Reaffirmation</w:t>
      </w:r>
      <w:r>
        <w:rPr>
          <w:rFonts w:ascii="Arial" w:cs="Arial" w:eastAsia="Arial" w:hAnsi="Arial"/>
          <w:sz w:val="18"/>
          <w:szCs w:val="18"/>
          <w:color w:val="auto"/>
        </w:rPr>
        <w:t>. Each of the Credit Parties party hereto (a) acknowledges and agrees that all of such Credit Party’s obligations under the Security Documents and the other Credit Documents (as amended hereby) to which it is a party are reaffirmed and remain in full force and effect on a continuous basis as amended by this Amendment, (b) reaffirms each lien and security interest granted by it to the Collateral Agent for the benefit of the Secured Parties to secure the Secured Obligations and the guaranties of the Guaranteed Obligations made by it pursuant to the Existing Credit Agreement, and (c) acknowledges and agrees that the grants of liens and security interests by, and the guaranties of, the Credit Parties contained in the Existing Credit Agreement and the Security Documents are, and shall remain, in full force and effect after giving effect to this Amendment and the transactions contemplated hereby and thereby.</w:t>
      </w:r>
    </w:p>
    <w:p>
      <w:pPr>
        <w:spacing w:after="0" w:line="177" w:lineRule="exact"/>
        <w:rPr>
          <w:sz w:val="20"/>
          <w:szCs w:val="20"/>
          <w:color w:val="auto"/>
        </w:rPr>
      </w:pPr>
    </w:p>
    <w:p>
      <w:pPr>
        <w:ind w:left="5360"/>
        <w:spacing w:after="0"/>
        <w:rPr>
          <w:sz w:val="20"/>
          <w:szCs w:val="20"/>
          <w:color w:val="auto"/>
        </w:rPr>
      </w:pPr>
      <w:r>
        <w:rPr>
          <w:rFonts w:ascii="Arial" w:cs="Arial" w:eastAsia="Arial" w:hAnsi="Arial"/>
          <w:sz w:val="22"/>
          <w:szCs w:val="22"/>
          <w:b w:val="1"/>
          <w:bCs w:val="1"/>
          <w:color w:val="auto"/>
        </w:rPr>
        <w:t>ARTICLE VI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39" w:lineRule="exact"/>
        <w:rPr>
          <w:sz w:val="20"/>
          <w:szCs w:val="20"/>
          <w:color w:val="auto"/>
        </w:rPr>
      </w:pPr>
    </w:p>
    <w:p>
      <w:pPr>
        <w:jc w:val="both"/>
        <w:ind w:firstLine="756"/>
        <w:spacing w:after="0" w:line="263" w:lineRule="auto"/>
        <w:rPr>
          <w:sz w:val="20"/>
          <w:szCs w:val="20"/>
          <w:color w:val="auto"/>
        </w:rPr>
      </w:pPr>
      <w:r>
        <w:rPr>
          <w:rFonts w:ascii="Arial" w:cs="Arial" w:eastAsia="Arial" w:hAnsi="Arial"/>
          <w:sz w:val="20"/>
          <w:szCs w:val="20"/>
          <w:color w:val="auto"/>
        </w:rPr>
        <w:t xml:space="preserve">SECTION 6.1 </w:t>
      </w:r>
      <w:r>
        <w:rPr>
          <w:rFonts w:ascii="Arial" w:cs="Arial" w:eastAsia="Arial" w:hAnsi="Arial"/>
          <w:sz w:val="21"/>
          <w:szCs w:val="21"/>
          <w:u w:val="single" w:color="auto"/>
          <w:color w:val="auto"/>
        </w:rPr>
        <w:t>Amendment, Modification and Waiver</w:t>
      </w:r>
      <w:r>
        <w:rPr>
          <w:rFonts w:ascii="Arial" w:cs="Arial" w:eastAsia="Arial" w:hAnsi="Arial"/>
          <w:sz w:val="20"/>
          <w:szCs w:val="20"/>
          <w:color w:val="auto"/>
        </w:rPr>
        <w:t xml:space="preserve">. This Amendment may not be amended, modified or waived except by an instrument or instruments in writing signed and delivered on behalf of the Borrower and the Administrative Agent (acting at the direction of such Lenders as may be required under </w:t>
      </w:r>
      <w:r>
        <w:rPr>
          <w:rFonts w:ascii="Arial" w:cs="Arial" w:eastAsia="Arial" w:hAnsi="Arial"/>
          <w:sz w:val="21"/>
          <w:szCs w:val="21"/>
          <w:u w:val="single" w:color="auto"/>
          <w:color w:val="auto"/>
        </w:rPr>
        <w:t>Section 13.04</w:t>
      </w:r>
      <w:r>
        <w:rPr>
          <w:rFonts w:ascii="Arial" w:cs="Arial" w:eastAsia="Arial" w:hAnsi="Arial"/>
          <w:sz w:val="20"/>
          <w:szCs w:val="20"/>
          <w:color w:val="auto"/>
        </w:rPr>
        <w:t xml:space="preserve">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32" w:right="339" w:bottom="1440" w:gutter="0" w:footer="0" w:header="0"/>
        </w:sectPr>
      </w:pPr>
    </w:p>
    <w:bookmarkStart w:id="202" w:name="page203"/>
    <w:bookmarkEnd w:id="202"/>
    <w:p>
      <w:pPr>
        <w:jc w:val="both"/>
        <w:ind w:firstLine="756"/>
        <w:spacing w:after="0" w:line="239" w:lineRule="auto"/>
        <w:rPr>
          <w:sz w:val="20"/>
          <w:szCs w:val="20"/>
          <w:color w:val="auto"/>
        </w:rPr>
      </w:pPr>
      <w:r>
        <w:rPr>
          <w:rFonts w:ascii="Arial" w:cs="Arial" w:eastAsia="Arial" w:hAnsi="Arial"/>
          <w:sz w:val="20"/>
          <w:szCs w:val="20"/>
          <w:color w:val="auto"/>
        </w:rPr>
        <w:t xml:space="preserve">SECTION 6.2 </w:t>
      </w:r>
      <w:r>
        <w:rPr>
          <w:rFonts w:ascii="Arial" w:cs="Arial" w:eastAsia="Arial" w:hAnsi="Arial"/>
          <w:sz w:val="21"/>
          <w:szCs w:val="21"/>
          <w:u w:val="single" w:color="auto"/>
          <w:color w:val="auto"/>
        </w:rPr>
        <w:t>Entire Agreement</w:t>
      </w:r>
      <w:r>
        <w:rPr>
          <w:rFonts w:ascii="Arial" w:cs="Arial" w:eastAsia="Arial" w:hAnsi="Arial"/>
          <w:sz w:val="20"/>
          <w:szCs w:val="20"/>
          <w:color w:val="auto"/>
        </w:rPr>
        <w:t>. This Amendment (including the Schedules and Exhibits) and the other Credit Documents constitute the entire agreement among the parties with respect to the subject matter hereof and thereof and supersede all other prior agreements and understandings, both written and verbal, among the parties or any of them with respect to the subject matter hereof. Each Lender party hereto, in its capacity as a Lender hereunder and in its capacity as a Lender under the Existing Credit Agreement, hereby consents to the amendments set forth herein.</w:t>
      </w:r>
    </w:p>
    <w:p>
      <w:pPr>
        <w:spacing w:after="0" w:line="220" w:lineRule="exact"/>
        <w:rPr>
          <w:sz w:val="20"/>
          <w:szCs w:val="20"/>
          <w:color w:val="auto"/>
        </w:rPr>
      </w:pPr>
    </w:p>
    <w:p>
      <w:pPr>
        <w:jc w:val="both"/>
        <w:ind w:firstLine="755"/>
        <w:spacing w:after="0" w:line="236" w:lineRule="auto"/>
        <w:rPr>
          <w:sz w:val="20"/>
          <w:szCs w:val="20"/>
          <w:color w:val="auto"/>
        </w:rPr>
      </w:pPr>
      <w:r>
        <w:rPr>
          <w:rFonts w:ascii="Arial" w:cs="Arial" w:eastAsia="Arial" w:hAnsi="Arial"/>
          <w:sz w:val="20"/>
          <w:szCs w:val="20"/>
          <w:color w:val="auto"/>
        </w:rPr>
        <w:t xml:space="preserve">SECTION 6.3 </w:t>
      </w:r>
      <w:r>
        <w:rPr>
          <w:rFonts w:ascii="Arial" w:cs="Arial" w:eastAsia="Arial" w:hAnsi="Arial"/>
          <w:sz w:val="21"/>
          <w:szCs w:val="21"/>
          <w:u w:val="single" w:color="auto"/>
          <w:color w:val="auto"/>
        </w:rPr>
        <w:t>GOVERNING LAW</w:t>
      </w:r>
      <w:r>
        <w:rPr>
          <w:rFonts w:ascii="Arial" w:cs="Arial" w:eastAsia="Arial" w:hAnsi="Arial"/>
          <w:sz w:val="20"/>
          <w:szCs w:val="20"/>
          <w:color w:val="auto"/>
        </w:rPr>
        <w:t>. THIS AMENDMENT AND ANY CLAIMS, CONTROVERSIES, DISPUTES, OR CAUSES OF ACTION (WHETHER ARISING UNDER CONTRACT LAW, TORT LAW OR OTHERWISE) BASED UPON OR RELATING TO THIS AMENDMENT, SHALL BE GOVERNED BY, AND CONSTRUED IN ACCORDANCE WITH, THE LAW OF THE STATE OF NEW YORK WITHOUT GIVING EFFECT TO ANY CHOICE OF LAW PRINCIPLES THAT WOULD APPLY THE LAWS OF ANOTHER JURISDICTION.</w:t>
      </w:r>
    </w:p>
    <w:p>
      <w:pPr>
        <w:spacing w:after="0" w:line="208" w:lineRule="exact"/>
        <w:rPr>
          <w:sz w:val="20"/>
          <w:szCs w:val="20"/>
          <w:color w:val="auto"/>
        </w:rPr>
      </w:pPr>
    </w:p>
    <w:p>
      <w:pPr>
        <w:jc w:val="both"/>
        <w:ind w:firstLine="756"/>
        <w:spacing w:after="0" w:line="254" w:lineRule="auto"/>
        <w:rPr>
          <w:sz w:val="20"/>
          <w:szCs w:val="20"/>
          <w:color w:val="auto"/>
        </w:rPr>
      </w:pPr>
      <w:r>
        <w:rPr>
          <w:rFonts w:ascii="Arial" w:cs="Arial" w:eastAsia="Arial" w:hAnsi="Arial"/>
          <w:sz w:val="20"/>
          <w:szCs w:val="20"/>
          <w:color w:val="auto"/>
        </w:rPr>
        <w:t xml:space="preserve">SECTION 6.4 </w:t>
      </w:r>
      <w:r>
        <w:rPr>
          <w:rFonts w:ascii="Arial" w:cs="Arial" w:eastAsia="Arial" w:hAnsi="Arial"/>
          <w:sz w:val="21"/>
          <w:szCs w:val="21"/>
          <w:u w:val="single" w:color="auto"/>
          <w:color w:val="auto"/>
        </w:rPr>
        <w:t>SUBMISSION TO JURISDICTION; WAIVER OF VENUE; SERVICE OF PROCESS; WAIVER</w:t>
      </w:r>
      <w:r>
        <w:rPr>
          <w:rFonts w:ascii="Arial" w:cs="Arial" w:eastAsia="Arial" w:hAnsi="Arial"/>
          <w:sz w:val="20"/>
          <w:szCs w:val="20"/>
          <w:color w:val="auto"/>
        </w:rPr>
        <w:t xml:space="preserve">. EACH PARTY HERETO AGREES THAT </w:t>
      </w:r>
      <w:r>
        <w:rPr>
          <w:rFonts w:ascii="Arial" w:cs="Arial" w:eastAsia="Arial" w:hAnsi="Arial"/>
          <w:sz w:val="21"/>
          <w:szCs w:val="21"/>
          <w:u w:val="single" w:color="auto"/>
          <w:color w:val="auto"/>
        </w:rPr>
        <w:t>SECTIONS 13.09(b)</w:t>
      </w:r>
      <w:r>
        <w:rPr>
          <w:rFonts w:ascii="Arial" w:cs="Arial" w:eastAsia="Arial" w:hAnsi="Arial"/>
          <w:sz w:val="20"/>
          <w:szCs w:val="20"/>
          <w:color w:val="auto"/>
        </w:rPr>
        <w:t xml:space="preserve">, </w:t>
      </w:r>
      <w:r>
        <w:rPr>
          <w:rFonts w:ascii="Arial" w:cs="Arial" w:eastAsia="Arial" w:hAnsi="Arial"/>
          <w:sz w:val="21"/>
          <w:szCs w:val="21"/>
          <w:u w:val="single" w:color="auto"/>
          <w:color w:val="auto"/>
        </w:rPr>
        <w:t>13.09(c)</w:t>
      </w:r>
      <w:r>
        <w:rPr>
          <w:rFonts w:ascii="Arial" w:cs="Arial" w:eastAsia="Arial" w:hAnsi="Arial"/>
          <w:sz w:val="20"/>
          <w:szCs w:val="20"/>
          <w:color w:val="auto"/>
        </w:rPr>
        <w:t xml:space="preserve">, </w:t>
      </w:r>
      <w:r>
        <w:rPr>
          <w:rFonts w:ascii="Arial" w:cs="Arial" w:eastAsia="Arial" w:hAnsi="Arial"/>
          <w:sz w:val="21"/>
          <w:szCs w:val="21"/>
          <w:u w:val="single" w:color="auto"/>
          <w:color w:val="auto"/>
        </w:rPr>
        <w:t>13.09(d)</w:t>
      </w:r>
      <w:r>
        <w:rPr>
          <w:rFonts w:ascii="Arial" w:cs="Arial" w:eastAsia="Arial" w:hAnsi="Arial"/>
          <w:sz w:val="20"/>
          <w:szCs w:val="20"/>
          <w:color w:val="auto"/>
        </w:rPr>
        <w:t xml:space="preserve">, AND </w:t>
      </w:r>
      <w:r>
        <w:rPr>
          <w:rFonts w:ascii="Arial" w:cs="Arial" w:eastAsia="Arial" w:hAnsi="Arial"/>
          <w:sz w:val="21"/>
          <w:szCs w:val="21"/>
          <w:u w:val="single" w:color="auto"/>
          <w:color w:val="auto"/>
        </w:rPr>
        <w:t>13.09(e)</w:t>
      </w:r>
      <w:r>
        <w:rPr>
          <w:rFonts w:ascii="Arial" w:cs="Arial" w:eastAsia="Arial" w:hAnsi="Arial"/>
          <w:sz w:val="20"/>
          <w:szCs w:val="20"/>
          <w:color w:val="auto"/>
        </w:rPr>
        <w:t xml:space="preserve"> OF THE CREDIT AGREEMENT SHALL APPLY TO THIS AMENDMENT MUTATIS MUTANDIS.</w:t>
      </w:r>
    </w:p>
    <w:p>
      <w:pPr>
        <w:spacing w:after="0" w:line="177" w:lineRule="exact"/>
        <w:rPr>
          <w:sz w:val="20"/>
          <w:szCs w:val="20"/>
          <w:color w:val="auto"/>
        </w:rPr>
      </w:pPr>
    </w:p>
    <w:p>
      <w:pPr>
        <w:jc w:val="both"/>
        <w:ind w:firstLine="756"/>
        <w:spacing w:after="0" w:line="239" w:lineRule="auto"/>
        <w:rPr>
          <w:sz w:val="20"/>
          <w:szCs w:val="20"/>
          <w:color w:val="auto"/>
        </w:rPr>
      </w:pPr>
      <w:r>
        <w:rPr>
          <w:rFonts w:ascii="Arial" w:cs="Arial" w:eastAsia="Arial" w:hAnsi="Arial"/>
          <w:sz w:val="20"/>
          <w:szCs w:val="20"/>
          <w:color w:val="auto"/>
        </w:rPr>
        <w:t xml:space="preserve">SECTION 6.5 </w:t>
      </w:r>
      <w:r>
        <w:rPr>
          <w:rFonts w:ascii="Arial" w:cs="Arial" w:eastAsia="Arial" w:hAnsi="Arial"/>
          <w:sz w:val="21"/>
          <w:szCs w:val="21"/>
          <w:u w:val="single" w:color="auto"/>
          <w:color w:val="auto"/>
        </w:rPr>
        <w:t>Confidentiality</w:t>
      </w:r>
      <w:r>
        <w:rPr>
          <w:rFonts w:ascii="Arial" w:cs="Arial" w:eastAsia="Arial" w:hAnsi="Arial"/>
          <w:sz w:val="20"/>
          <w:szCs w:val="20"/>
          <w:color w:val="auto"/>
        </w:rPr>
        <w:t xml:space="preserve">. Each party hereto agrees that </w:t>
      </w:r>
      <w:r>
        <w:rPr>
          <w:rFonts w:ascii="Arial" w:cs="Arial" w:eastAsia="Arial" w:hAnsi="Arial"/>
          <w:sz w:val="21"/>
          <w:szCs w:val="21"/>
          <w:u w:val="single" w:color="auto"/>
          <w:color w:val="auto"/>
        </w:rPr>
        <w:t>Section 13.10</w:t>
      </w:r>
      <w:r>
        <w:rPr>
          <w:rFonts w:ascii="Arial" w:cs="Arial" w:eastAsia="Arial" w:hAnsi="Arial"/>
          <w:sz w:val="20"/>
          <w:szCs w:val="20"/>
          <w:color w:val="auto"/>
        </w:rPr>
        <w:t xml:space="preserve"> of the Credit Agreement shall apply to this Amendment mutatis mutandis.</w:t>
      </w:r>
    </w:p>
    <w:p>
      <w:pPr>
        <w:spacing w:after="0" w:line="179" w:lineRule="exact"/>
        <w:rPr>
          <w:sz w:val="20"/>
          <w:szCs w:val="20"/>
          <w:color w:val="auto"/>
        </w:rPr>
      </w:pPr>
    </w:p>
    <w:p>
      <w:pPr>
        <w:jc w:val="both"/>
        <w:ind w:firstLine="756"/>
        <w:spacing w:after="0" w:line="253" w:lineRule="auto"/>
        <w:rPr>
          <w:sz w:val="20"/>
          <w:szCs w:val="20"/>
          <w:color w:val="auto"/>
        </w:rPr>
      </w:pPr>
      <w:r>
        <w:rPr>
          <w:rFonts w:ascii="Arial" w:cs="Arial" w:eastAsia="Arial" w:hAnsi="Arial"/>
          <w:sz w:val="20"/>
          <w:szCs w:val="20"/>
          <w:color w:val="auto"/>
        </w:rPr>
        <w:t xml:space="preserve">SECTION 6.6 </w:t>
      </w:r>
      <w:r>
        <w:rPr>
          <w:rFonts w:ascii="Arial" w:cs="Arial" w:eastAsia="Arial" w:hAnsi="Arial"/>
          <w:sz w:val="21"/>
          <w:szCs w:val="21"/>
          <w:u w:val="single" w:color="auto"/>
          <w:color w:val="auto"/>
        </w:rPr>
        <w:t>No Advisory or Fiduciary Responsibility</w:t>
      </w:r>
      <w:r>
        <w:rPr>
          <w:rFonts w:ascii="Arial" w:cs="Arial" w:eastAsia="Arial" w:hAnsi="Arial"/>
          <w:sz w:val="20"/>
          <w:szCs w:val="20"/>
          <w:color w:val="auto"/>
        </w:rPr>
        <w:t xml:space="preserve">. Each party hereto agrees that </w:t>
      </w:r>
      <w:r>
        <w:rPr>
          <w:rFonts w:ascii="Arial" w:cs="Arial" w:eastAsia="Arial" w:hAnsi="Arial"/>
          <w:sz w:val="21"/>
          <w:szCs w:val="21"/>
          <w:u w:val="single" w:color="auto"/>
          <w:color w:val="auto"/>
        </w:rPr>
        <w:t>Section 13.17</w:t>
      </w:r>
      <w:r>
        <w:rPr>
          <w:rFonts w:ascii="Arial" w:cs="Arial" w:eastAsia="Arial" w:hAnsi="Arial"/>
          <w:sz w:val="20"/>
          <w:szCs w:val="20"/>
          <w:color w:val="auto"/>
        </w:rPr>
        <w:t xml:space="preserve"> of the Credit Agreement shall apply to this Amendment mutatis mutandis.</w:t>
      </w:r>
    </w:p>
    <w:p>
      <w:pPr>
        <w:spacing w:after="0" w:line="192" w:lineRule="exact"/>
        <w:rPr>
          <w:sz w:val="20"/>
          <w:szCs w:val="20"/>
          <w:color w:val="auto"/>
        </w:rPr>
      </w:pPr>
    </w:p>
    <w:p>
      <w:pPr>
        <w:jc w:val="both"/>
        <w:ind w:firstLine="756"/>
        <w:spacing w:after="0" w:line="262" w:lineRule="auto"/>
        <w:rPr>
          <w:sz w:val="20"/>
          <w:szCs w:val="20"/>
          <w:color w:val="auto"/>
        </w:rPr>
      </w:pPr>
      <w:r>
        <w:rPr>
          <w:rFonts w:ascii="Arial" w:cs="Arial" w:eastAsia="Arial" w:hAnsi="Arial"/>
          <w:sz w:val="20"/>
          <w:szCs w:val="20"/>
          <w:color w:val="auto"/>
        </w:rPr>
        <w:t xml:space="preserve">SECTION 6.7 </w:t>
      </w:r>
      <w:r>
        <w:rPr>
          <w:rFonts w:ascii="Arial" w:cs="Arial" w:eastAsia="Arial" w:hAnsi="Arial"/>
          <w:sz w:val="21"/>
          <w:szCs w:val="21"/>
          <w:u w:val="single" w:color="auto"/>
          <w:color w:val="auto"/>
        </w:rPr>
        <w:t>Severability</w:t>
      </w:r>
      <w:r>
        <w:rPr>
          <w:rFonts w:ascii="Arial" w:cs="Arial" w:eastAsia="Arial" w:hAnsi="Arial"/>
          <w:sz w:val="20"/>
          <w:szCs w:val="20"/>
          <w:color w:val="auto"/>
        </w:rPr>
        <w:t>. Wherever possible, each provision of this Amendment shall be interpreted in such manner as to be effective and valid under applicable law, but if any provision of this Amendment shall be prohibited by or invalid under applicable law, such provision shall be ineffective only to the extent of such prohibition or invalidity, without invalidating the remainder of such provisions or the remaining provisions of this Amendment.</w:t>
      </w:r>
    </w:p>
    <w:p>
      <w:pPr>
        <w:spacing w:after="0" w:line="198" w:lineRule="exact"/>
        <w:rPr>
          <w:sz w:val="20"/>
          <w:szCs w:val="20"/>
          <w:color w:val="auto"/>
        </w:rPr>
      </w:pPr>
    </w:p>
    <w:p>
      <w:pPr>
        <w:jc w:val="both"/>
        <w:ind w:firstLine="756"/>
        <w:spacing w:after="0" w:line="274" w:lineRule="auto"/>
        <w:rPr>
          <w:sz w:val="20"/>
          <w:szCs w:val="20"/>
          <w:color w:val="auto"/>
        </w:rPr>
      </w:pPr>
      <w:r>
        <w:rPr>
          <w:rFonts w:ascii="Arial" w:cs="Arial" w:eastAsia="Arial" w:hAnsi="Arial"/>
          <w:sz w:val="18"/>
          <w:szCs w:val="18"/>
          <w:color w:val="auto"/>
        </w:rPr>
        <w:t xml:space="preserve">SECTION 6.8 </w:t>
      </w:r>
      <w:r>
        <w:rPr>
          <w:rFonts w:ascii="Arial" w:cs="Arial" w:eastAsia="Arial" w:hAnsi="Arial"/>
          <w:sz w:val="19"/>
          <w:szCs w:val="19"/>
          <w:u w:val="single" w:color="auto"/>
          <w:color w:val="auto"/>
        </w:rPr>
        <w:t>Counterparts</w:t>
      </w:r>
      <w:r>
        <w:rPr>
          <w:rFonts w:ascii="Arial" w:cs="Arial" w:eastAsia="Arial" w:hAnsi="Arial"/>
          <w:sz w:val="18"/>
          <w:szCs w:val="18"/>
          <w:color w:val="auto"/>
        </w:rPr>
        <w:t>. This Amendment may be executed in counterparts (and by different parties hereto on different counterparts), each of which shall constitute an original, but all of which when taken together shall constitute a single contract. Delivery of an executed signature page to this Amendment by facsimile or other electronic transmission (including portable document format (“.pdf”) or similar format) shall be effective as delivery of a manually executed counterpart hereof. The words “execution,” “signed,” “signature,” “delivery,” and words of like import in or relating to any document to be signed in connection with this Amendment and the transactions contemplated hereby shall be deemed to include an electronic symbol or process attached to a contract or other record and adopted by a Person with the intent to sign, authenticate or accept such contract or record (each an “</w:t>
      </w:r>
      <w:r>
        <w:rPr>
          <w:rFonts w:ascii="Arial" w:cs="Arial" w:eastAsia="Arial" w:hAnsi="Arial"/>
          <w:sz w:val="19"/>
          <w:szCs w:val="19"/>
          <w:u w:val="single" w:color="auto"/>
          <w:color w:val="auto"/>
        </w:rPr>
        <w:t>Electronic Signature</w:t>
      </w:r>
      <w:r>
        <w:rPr>
          <w:rFonts w:ascii="Arial" w:cs="Arial" w:eastAsia="Arial" w:hAnsi="Arial"/>
          <w:sz w:val="18"/>
          <w:szCs w:val="18"/>
          <w:color w:val="auto"/>
        </w:rPr>
        <w:t>”),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the Administrative Agent to accept Electronic Signatures in any form or format without its prior written consent. Without limiting the generality of the foregoing, the Borrower hereby (i) agrees that, for all purposes, including without limitation, in connection with any workout, restructuring, enforcement of remedies, bankruptcy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14" w:right="339" w:bottom="1440" w:gutter="0" w:footer="0" w:header="0"/>
        </w:sectPr>
      </w:pPr>
    </w:p>
    <w:bookmarkStart w:id="203" w:name="page204"/>
    <w:bookmarkEnd w:id="203"/>
    <w:p>
      <w:pPr>
        <w:jc w:val="both"/>
        <w:spacing w:after="0" w:line="298" w:lineRule="auto"/>
        <w:rPr>
          <w:sz w:val="20"/>
          <w:szCs w:val="20"/>
          <w:color w:val="auto"/>
        </w:rPr>
      </w:pPr>
      <w:r>
        <w:rPr>
          <w:rFonts w:ascii="Arial" w:cs="Arial" w:eastAsia="Arial" w:hAnsi="Arial"/>
          <w:sz w:val="18"/>
          <w:szCs w:val="18"/>
          <w:color w:val="auto"/>
        </w:rPr>
        <w:t>proceedings or litigation among the Administrative Agent, the Lenders and the Credit Parties, electronic images of this Amendment or any other Credit Documents (in each case, including with respect to any signature pages thereto) shall have the same legal effect, validity and enforceability as any paper original, and (ii) waives any argument, defense or right to contest the validity or enforceability of the Credit Documents based solely on the lack of paper original copies of any Credit Documents, including with respect to any signature pages thereto.</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9"/>
          <w:szCs w:val="19"/>
          <w:color w:val="auto"/>
        </w:rPr>
        <w:t xml:space="preserve">SECTION 6.9 </w:t>
      </w:r>
      <w:r>
        <w:rPr>
          <w:rFonts w:ascii="Arial" w:cs="Arial" w:eastAsia="Arial" w:hAnsi="Arial"/>
          <w:sz w:val="20"/>
          <w:szCs w:val="20"/>
          <w:u w:val="single" w:color="auto"/>
          <w:color w:val="auto"/>
        </w:rPr>
        <w:t>Credit Document</w:t>
      </w:r>
      <w:r>
        <w:rPr>
          <w:rFonts w:ascii="Arial" w:cs="Arial" w:eastAsia="Arial" w:hAnsi="Arial"/>
          <w:sz w:val="19"/>
          <w:szCs w:val="19"/>
          <w:color w:val="auto"/>
        </w:rPr>
        <w:t>. This Amendment shall constitute a “Credit Document”, as defined in the Credit Agreement.</w:t>
      </w:r>
    </w:p>
    <w:p>
      <w:pPr>
        <w:spacing w:after="0" w:line="256" w:lineRule="exact"/>
        <w:rPr>
          <w:sz w:val="20"/>
          <w:szCs w:val="20"/>
          <w:color w:val="auto"/>
        </w:rPr>
      </w:pPr>
    </w:p>
    <w:p>
      <w:pPr>
        <w:jc w:val="both"/>
        <w:ind w:firstLine="755"/>
        <w:spacing w:after="0" w:line="276"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9"/>
          <w:szCs w:val="19"/>
          <w:u w:val="single" w:color="auto"/>
          <w:color w:val="auto"/>
        </w:rPr>
        <w:t>No Novation</w:t>
      </w:r>
      <w:r>
        <w:rPr>
          <w:rFonts w:ascii="Arial" w:cs="Arial" w:eastAsia="Arial" w:hAnsi="Arial"/>
          <w:sz w:val="18"/>
          <w:szCs w:val="18"/>
          <w:color w:val="auto"/>
        </w:rPr>
        <w:t xml:space="preserve">. The parties hereto expressly acknowledge that it is not their intention that this Amendment or any of the other Credit Documents executed or delivered pursuant hereto constitute a novation of any of the obligations, covenants, or agreements contained in the Existing Credit Agreement or any other Credit Document, but rather constitute a modification thereof or supplement thereto pursuant to the terms contained herein. The Existing Credit Agreement and the other Credit Documents, in each case as amended, modified, or supplemented hereby, shall be deemed to be continuing agreements among the parties thereto, and all documents, instruments, and agreements delivered, as well as all </w:t>
      </w:r>
      <w:r>
        <w:rPr>
          <w:rFonts w:ascii="Arial" w:cs="Arial" w:eastAsia="Arial" w:hAnsi="Arial"/>
          <w:sz w:val="19"/>
          <w:szCs w:val="19"/>
          <w:color w:val="auto"/>
        </w:rPr>
        <w:t>Liens</w:t>
      </w:r>
      <w:r>
        <w:rPr>
          <w:rFonts w:ascii="Arial" w:cs="Arial" w:eastAsia="Arial" w:hAnsi="Arial"/>
          <w:sz w:val="18"/>
          <w:szCs w:val="18"/>
          <w:color w:val="auto"/>
        </w:rPr>
        <w:t xml:space="preserve"> created, pursuant to or in connection with the Existing Credit Agreement and the other Credit Documents shall remain in full force and effect, each in accordance with its terms (as amended, modified, or supplemented by this Amendment), unless such document, instrument, or agreement has otherwise been terminated or has expired in accordance with or pursuant to the terms of this Amendment or such document, instrument, or agreement or as otherwise agreed by the required parties hereto or thereto, it being understood that from after the occurrence of Effective Date, each reference in the Credit Documents to the “Credit Agreement,” “thereunder,” “thereof” (and each reference in the Credit Agreement to “this Amendment,” “hereunder,” or “hereof”) or words of like import shall mean and be a reference to the Credit Agreement as amended, modified or supplemented by this Amendment.</w:t>
      </w:r>
    </w:p>
    <w:p>
      <w:pPr>
        <w:spacing w:after="0" w:line="195" w:lineRule="exact"/>
        <w:rPr>
          <w:sz w:val="20"/>
          <w:szCs w:val="20"/>
          <w:color w:val="auto"/>
        </w:rPr>
      </w:pPr>
    </w:p>
    <w:p>
      <w:pPr>
        <w:jc w:val="both"/>
        <w:ind w:firstLine="756"/>
        <w:spacing w:after="0" w:line="266" w:lineRule="auto"/>
        <w:rPr>
          <w:sz w:val="20"/>
          <w:szCs w:val="20"/>
          <w:color w:val="auto"/>
        </w:rPr>
      </w:pPr>
      <w:r>
        <w:rPr>
          <w:rFonts w:ascii="Arial" w:cs="Arial" w:eastAsia="Arial" w:hAnsi="Arial"/>
          <w:sz w:val="20"/>
          <w:szCs w:val="20"/>
          <w:color w:val="auto"/>
        </w:rPr>
        <w:t xml:space="preserve">SECTION 6.11 </w:t>
      </w:r>
      <w:r>
        <w:rPr>
          <w:rFonts w:ascii="Arial" w:cs="Arial" w:eastAsia="Arial" w:hAnsi="Arial"/>
          <w:sz w:val="21"/>
          <w:szCs w:val="21"/>
          <w:u w:val="single" w:color="auto"/>
          <w:color w:val="auto"/>
        </w:rPr>
        <w:t>Expenses</w:t>
      </w:r>
      <w:r>
        <w:rPr>
          <w:rFonts w:ascii="Arial" w:cs="Arial" w:eastAsia="Arial" w:hAnsi="Arial"/>
          <w:sz w:val="20"/>
          <w:szCs w:val="20"/>
          <w:color w:val="auto"/>
        </w:rPr>
        <w:t xml:space="preserve">. The Borrower agrees to reimburse the Administrative Agent for its reasonable and documented out-of-pocket expenses incurred by them in connection with this Amendment, including the reasonable and documented fees, charges and disbursements of Cahill Gordon &amp; Reindel </w:t>
      </w:r>
      <w:r>
        <w:rPr>
          <w:rFonts w:ascii="Arial" w:cs="Arial" w:eastAsia="Arial" w:hAnsi="Arial"/>
          <w:sz w:val="16"/>
          <w:szCs w:val="16"/>
          <w:color w:val="auto"/>
        </w:rPr>
        <w:t>LLP</w:t>
      </w:r>
      <w:r>
        <w:rPr>
          <w:rFonts w:ascii="Arial" w:cs="Arial" w:eastAsia="Arial" w:hAnsi="Arial"/>
          <w:sz w:val="20"/>
          <w:szCs w:val="20"/>
          <w:color w:val="auto"/>
        </w:rPr>
        <w:t>, counsel for the Lenders.</w:t>
      </w:r>
    </w:p>
    <w:p>
      <w:pPr>
        <w:spacing w:after="0" w:line="199"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32" w:right="339" w:bottom="1440" w:gutter="0" w:footer="0" w:header="0"/>
        </w:sectPr>
      </w:pPr>
    </w:p>
    <w:bookmarkStart w:id="204" w:name="page205"/>
    <w:bookmarkEnd w:id="204"/>
    <w:p>
      <w:pPr>
        <w:ind w:firstLine="648"/>
        <w:spacing w:after="0" w:line="246" w:lineRule="auto"/>
        <w:rPr>
          <w:sz w:val="20"/>
          <w:szCs w:val="20"/>
          <w:color w:val="auto"/>
        </w:rPr>
      </w:pPr>
      <w:r>
        <w:rPr>
          <w:rFonts w:ascii="Arial" w:cs="Arial" w:eastAsia="Arial" w:hAnsi="Arial"/>
          <w:sz w:val="20"/>
          <w:szCs w:val="20"/>
          <w:color w:val="auto"/>
        </w:rPr>
        <w:t>IN WITNESS WHEREOF, the parties have caused this Amendment to be duly executed as of the day and year first above written, to be effective as of the Effective Date.</w:t>
      </w:r>
    </w:p>
    <w:p>
      <w:pPr>
        <w:spacing w:after="0" w:line="198"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Borrower:</w:t>
      </w:r>
    </w:p>
    <w:p>
      <w:pPr>
        <w:spacing w:after="0" w:line="22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WYNN RESORTS FINANCE, LLC</w:t>
      </w:r>
    </w:p>
    <w:p>
      <w:pPr>
        <w:spacing w:after="0" w:line="32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Wynn Resorts Holdings, LLC, its sole member</w:t>
      </w:r>
    </w:p>
    <w:p>
      <w:pPr>
        <w:spacing w:after="0" w:line="1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Wynn Resorts, Limited, its sole member</w:t>
      </w:r>
    </w:p>
    <w:p>
      <w:pPr>
        <w:spacing w:after="0" w:line="7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-10795</wp:posOffset>
            </wp:positionV>
            <wp:extent cx="11163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1116330" cy="8255"/>
                    </a:xfrm>
                    <a:prstGeom prst="rect">
                      <a:avLst/>
                    </a:prstGeom>
                    <a:noFill/>
                  </pic:spPr>
                </pic:pic>
              </a:graphicData>
            </a:graphic>
          </wp:anchor>
        </w:drawing>
      </w:r>
    </w:p>
    <w:p>
      <w:pPr>
        <w:spacing w:after="0" w:line="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Craig S. Billings</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 President, Chief Financial Officer and Treasurer</w:t>
      </w:r>
    </w:p>
    <w:p>
      <w:pPr>
        <w:spacing w:after="0" w:line="200" w:lineRule="exact"/>
        <w:rPr>
          <w:sz w:val="20"/>
          <w:szCs w:val="20"/>
          <w:color w:val="auto"/>
        </w:rPr>
      </w:pPr>
    </w:p>
    <w:p>
      <w:pPr>
        <w:spacing w:after="0" w:line="272"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Guarantors:</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EVERETT PROPERTY, LLC</w:t>
      </w:r>
    </w:p>
    <w:p>
      <w:pPr>
        <w:spacing w:after="0" w:line="32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Wynn America Group, LLC, its sole member</w:t>
      </w:r>
    </w:p>
    <w:p>
      <w:pPr>
        <w:spacing w:after="0" w:line="1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Wynn Resorts Finance, LLC, its sole member</w:t>
      </w:r>
    </w:p>
    <w:p>
      <w:pPr>
        <w:spacing w:after="0" w:line="1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Wynn Resorts Holdings, LLC, its sole member</w:t>
      </w:r>
    </w:p>
    <w:p>
      <w:pPr>
        <w:spacing w:after="0" w:line="1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Wynn Resorts, Limited, its sole member</w:t>
      </w:r>
    </w:p>
    <w:p>
      <w:pPr>
        <w:spacing w:after="0" w:line="31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-10795</wp:posOffset>
            </wp:positionV>
            <wp:extent cx="111633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1116330" cy="8890"/>
                    </a:xfrm>
                    <a:prstGeom prst="rect">
                      <a:avLst/>
                    </a:prstGeom>
                    <a:noFill/>
                  </pic:spPr>
                </pic:pic>
              </a:graphicData>
            </a:graphic>
          </wp:anchor>
        </w:drawing>
      </w:r>
    </w:p>
    <w:p>
      <w:pPr>
        <w:spacing w:after="0" w:line="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Craig S. Billings</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 President, Chief Financial Officer and Treasurer</w:t>
      </w:r>
    </w:p>
    <w:p>
      <w:pPr>
        <w:sectPr>
          <w:pgSz w:w="11900" w:h="16838" w:orient="portrait"/>
          <w:cols w:equalWidth="0" w:num="1">
            <w:col w:w="11180"/>
          </w:cols>
          <w:pgMar w:left="320" w:top="141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[Signature Page to Amendment No. 1 to Credit Agreement]</w:t>
      </w:r>
    </w:p>
    <w:p>
      <w:pPr>
        <w:sectPr>
          <w:pgSz w:w="11900" w:h="16838" w:orient="portrait"/>
          <w:cols w:equalWidth="0" w:num="1">
            <w:col w:w="11180"/>
          </w:cols>
          <w:pgMar w:left="320" w:top="1419" w:right="399" w:bottom="1440" w:gutter="0" w:footer="0" w:header="0"/>
          <w:type w:val="continuous"/>
        </w:sectPr>
      </w:pPr>
    </w:p>
    <w:bookmarkStart w:id="205" w:name="page206"/>
    <w:bookmarkEnd w:id="205"/>
    <w:p>
      <w:pPr>
        <w:ind w:left="2780"/>
        <w:spacing w:after="0"/>
        <w:rPr>
          <w:sz w:val="20"/>
          <w:szCs w:val="20"/>
          <w:color w:val="auto"/>
        </w:rPr>
      </w:pPr>
      <w:r>
        <w:rPr>
          <w:rFonts w:ascii="Arial" w:cs="Arial" w:eastAsia="Arial" w:hAnsi="Arial"/>
          <w:sz w:val="20"/>
          <w:szCs w:val="20"/>
          <w:b w:val="1"/>
          <w:bCs w:val="1"/>
          <w:color w:val="auto"/>
        </w:rPr>
        <w:t>WYNN MA, LLC</w:t>
      </w:r>
    </w:p>
    <w:p>
      <w:pPr>
        <w:spacing w:after="0" w:line="3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Wynn America Group, LLC, its sole member</w:t>
      </w:r>
    </w:p>
    <w:p>
      <w:pPr>
        <w:spacing w:after="0" w:line="162"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Finance, LLC, its sole member</w:t>
      </w:r>
    </w:p>
    <w:p>
      <w:pPr>
        <w:spacing w:after="0" w:line="173"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Holdings, LLC, its sole member</w:t>
      </w:r>
    </w:p>
    <w:p>
      <w:pPr>
        <w:spacing w:after="0" w:line="17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Wynn Resorts, Limited, its sole member</w:t>
      </w:r>
    </w:p>
    <w:p>
      <w:pPr>
        <w:spacing w:after="0" w:line="31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1163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1116330" cy="8255"/>
                    </a:xfrm>
                    <a:prstGeom prst="rect">
                      <a:avLst/>
                    </a:prstGeom>
                    <a:noFill/>
                  </pic:spPr>
                </pic:pic>
              </a:graphicData>
            </a:graphic>
          </wp:anchor>
        </w:drawing>
      </w:r>
    </w:p>
    <w:p>
      <w:pPr>
        <w:spacing w:after="0" w:line="1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Craig S. Billings</w:t>
      </w:r>
    </w:p>
    <w:p>
      <w:pPr>
        <w:spacing w:after="0" w:line="7"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Title: President, Chief Financial Officer and Treasurer</w:t>
      </w:r>
    </w:p>
    <w:p>
      <w:pPr>
        <w:spacing w:after="0" w:line="200" w:lineRule="exact"/>
        <w:rPr>
          <w:sz w:val="20"/>
          <w:szCs w:val="20"/>
          <w:color w:val="auto"/>
        </w:rPr>
      </w:pPr>
    </w:p>
    <w:p>
      <w:pPr>
        <w:spacing w:after="0" w:line="295"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EBH HOLDINGS, LLC</w:t>
      </w:r>
    </w:p>
    <w:p>
      <w:pPr>
        <w:spacing w:after="0" w:line="23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Wynn MA, LLC, its sole member</w:t>
      </w:r>
    </w:p>
    <w:p>
      <w:pPr>
        <w:spacing w:after="0" w:line="31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Wynn America Group, LLC, its sole member</w:t>
      </w:r>
    </w:p>
    <w:p>
      <w:pPr>
        <w:spacing w:after="0" w:line="162"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Finance, LLC, its sole member</w:t>
      </w:r>
    </w:p>
    <w:p>
      <w:pPr>
        <w:spacing w:after="0" w:line="173"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Holdings, LLC, its sole member</w:t>
      </w:r>
    </w:p>
    <w:p>
      <w:pPr>
        <w:spacing w:after="0" w:line="17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Wynn Resorts, Limited, its sole member</w:t>
      </w:r>
    </w:p>
    <w:p>
      <w:pPr>
        <w:spacing w:after="0" w:line="31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1163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1116330" cy="8890"/>
                    </a:xfrm>
                    <a:prstGeom prst="rect">
                      <a:avLst/>
                    </a:prstGeom>
                    <a:noFill/>
                  </pic:spPr>
                </pic:pic>
              </a:graphicData>
            </a:graphic>
          </wp:anchor>
        </w:drawing>
      </w:r>
    </w:p>
    <w:p>
      <w:pPr>
        <w:spacing w:after="0" w:line="1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Craig S. Billings</w:t>
      </w:r>
    </w:p>
    <w:p>
      <w:pPr>
        <w:spacing w:after="0" w:line="7"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Title: President, Chief Financial Officer and Treasurer</w:t>
      </w:r>
    </w:p>
    <w:p>
      <w:pPr>
        <w:sectPr>
          <w:pgSz w:w="11900" w:h="16838" w:orient="portrait"/>
          <w:cols w:equalWidth="0" w:num="1">
            <w:col w:w="9019"/>
          </w:cols>
          <w:pgMar w:left="1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[Signature Page to Amendment No. 1 to Credit Agreement]</w:t>
      </w:r>
    </w:p>
    <w:p>
      <w:pPr>
        <w:sectPr>
          <w:pgSz w:w="11900" w:h="16838" w:orient="portrait"/>
          <w:cols w:equalWidth="0" w:num="1">
            <w:col w:w="9019"/>
          </w:cols>
          <w:pgMar w:left="1440" w:top="1413" w:right="1440" w:bottom="1440" w:gutter="0" w:footer="0" w:header="0"/>
          <w:type w:val="continuous"/>
        </w:sectPr>
      </w:pPr>
    </w:p>
    <w:bookmarkStart w:id="206" w:name="page207"/>
    <w:bookmarkEnd w:id="206"/>
    <w:p>
      <w:pPr>
        <w:ind w:left="2780"/>
        <w:spacing w:after="0"/>
        <w:rPr>
          <w:sz w:val="20"/>
          <w:szCs w:val="20"/>
          <w:color w:val="auto"/>
        </w:rPr>
      </w:pPr>
      <w:r>
        <w:rPr>
          <w:rFonts w:ascii="Arial" w:cs="Arial" w:eastAsia="Arial" w:hAnsi="Arial"/>
          <w:sz w:val="20"/>
          <w:szCs w:val="20"/>
          <w:b w:val="1"/>
          <w:bCs w:val="1"/>
          <w:color w:val="auto"/>
        </w:rPr>
        <w:t>EBH MA PROPERTY, LLC</w:t>
      </w:r>
    </w:p>
    <w:p>
      <w:pPr>
        <w:spacing w:after="0" w:line="235"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By: Wynn MA, LLC, its managing member</w:t>
      </w:r>
    </w:p>
    <w:p>
      <w:pPr>
        <w:spacing w:after="0" w:line="229"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By: Wynn America Group, LLC, its sole member</w:t>
      </w:r>
    </w:p>
    <w:p>
      <w:pPr>
        <w:spacing w:after="0" w:line="241"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By: Wynn Resorts Finance, LLC, its sole member</w:t>
      </w:r>
    </w:p>
    <w:p>
      <w:pPr>
        <w:spacing w:after="0" w:line="24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By: Wynn Resorts Holdings, LLC, its sole member</w:t>
      </w:r>
    </w:p>
    <w:p>
      <w:pPr>
        <w:spacing w:after="0" w:line="252"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29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Craig S. Billings</w:t>
      </w:r>
    </w:p>
    <w:p>
      <w:pPr>
        <w:spacing w:after="0" w:line="3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Craig S. Billings</w:t>
      </w:r>
    </w:p>
    <w:p>
      <w:pPr>
        <w:spacing w:after="0" w:line="7"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Title: President, Chief Financial Officer and Treasurer</w:t>
      </w:r>
    </w:p>
    <w:p>
      <w:pPr>
        <w:spacing w:after="0" w:line="200" w:lineRule="exact"/>
        <w:rPr>
          <w:sz w:val="20"/>
          <w:szCs w:val="20"/>
          <w:color w:val="auto"/>
        </w:rPr>
      </w:pPr>
    </w:p>
    <w:p>
      <w:pPr>
        <w:spacing w:after="0" w:line="295" w:lineRule="exact"/>
        <w:rPr>
          <w:sz w:val="20"/>
          <w:szCs w:val="20"/>
          <w:color w:val="auto"/>
        </w:rPr>
      </w:pPr>
    </w:p>
    <w:p>
      <w:pPr>
        <w:ind w:left="2860"/>
        <w:spacing w:after="0"/>
        <w:rPr>
          <w:sz w:val="20"/>
          <w:szCs w:val="20"/>
          <w:color w:val="auto"/>
        </w:rPr>
      </w:pPr>
      <w:r>
        <w:rPr>
          <w:rFonts w:ascii="Arial" w:cs="Arial" w:eastAsia="Arial" w:hAnsi="Arial"/>
          <w:sz w:val="20"/>
          <w:szCs w:val="20"/>
          <w:b w:val="1"/>
          <w:bCs w:val="1"/>
          <w:color w:val="auto"/>
        </w:rPr>
        <w:t>WYNN AMERICA GROUP, LLC</w:t>
      </w:r>
    </w:p>
    <w:p>
      <w:pPr>
        <w:spacing w:after="0" w:line="235"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By: Wynn Resorts Finance, LLC, its sole member</w:t>
      </w:r>
    </w:p>
    <w:p>
      <w:pPr>
        <w:spacing w:after="0" w:line="24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By: Wynn Resorts Holdings, LLC, its sole member</w:t>
      </w:r>
    </w:p>
    <w:p>
      <w:pPr>
        <w:spacing w:after="0" w:line="252"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29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Craig S. Billings</w:t>
      </w:r>
    </w:p>
    <w:p>
      <w:pPr>
        <w:spacing w:after="0" w:line="3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Craig S. Billings</w:t>
      </w:r>
    </w:p>
    <w:p>
      <w:pPr>
        <w:spacing w:after="0" w:line="7"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Title: President, Chief Financial Officer and Treasurer</w:t>
      </w:r>
    </w:p>
    <w:p>
      <w:pPr>
        <w:sectPr>
          <w:pgSz w:w="11900" w:h="16838" w:orient="portrait"/>
          <w:cols w:equalWidth="0" w:num="1">
            <w:col w:w="9019"/>
          </w:cols>
          <w:pgMar w:left="1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[Signature Page to Amendment No. 1 to Credit Agreement]</w:t>
      </w:r>
    </w:p>
    <w:p>
      <w:pPr>
        <w:sectPr>
          <w:pgSz w:w="11900" w:h="16838" w:orient="portrait"/>
          <w:cols w:equalWidth="0" w:num="1">
            <w:col w:w="9019"/>
          </w:cols>
          <w:pgMar w:left="1440" w:top="1413" w:right="1440" w:bottom="1440" w:gutter="0" w:footer="0" w:header="0"/>
          <w:type w:val="continuous"/>
        </w:sectPr>
      </w:pPr>
    </w:p>
    <w:bookmarkStart w:id="207" w:name="page208"/>
    <w:bookmarkEnd w:id="207"/>
    <w:p>
      <w:pPr>
        <w:ind w:left="2780"/>
        <w:spacing w:after="0"/>
        <w:rPr>
          <w:sz w:val="20"/>
          <w:szCs w:val="20"/>
          <w:color w:val="auto"/>
        </w:rPr>
      </w:pPr>
      <w:r>
        <w:rPr>
          <w:rFonts w:ascii="Arial" w:cs="Arial" w:eastAsia="Arial" w:hAnsi="Arial"/>
          <w:sz w:val="20"/>
          <w:szCs w:val="20"/>
          <w:b w:val="1"/>
          <w:bCs w:val="1"/>
          <w:color w:val="auto"/>
        </w:rPr>
        <w:t>WYNN LAS VEGAS HOLDINGS, LLC</w:t>
      </w:r>
    </w:p>
    <w:p>
      <w:pPr>
        <w:spacing w:after="0" w:line="235"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Finance, LLC, its sole member</w:t>
      </w:r>
    </w:p>
    <w:p>
      <w:pPr>
        <w:spacing w:after="0" w:line="241"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Holdings, LLC, its sole member</w:t>
      </w:r>
    </w:p>
    <w:p>
      <w:pPr>
        <w:spacing w:after="0" w:line="24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29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Craig S. Billings</w:t>
      </w:r>
    </w:p>
    <w:p>
      <w:pPr>
        <w:spacing w:after="0" w:line="3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Craig S. Billings</w:t>
      </w:r>
    </w:p>
    <w:p>
      <w:pPr>
        <w:spacing w:after="0" w:line="7"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Title: President, Chief Financial Officer and Treasurer</w:t>
      </w:r>
    </w:p>
    <w:p>
      <w:pPr>
        <w:spacing w:after="0" w:line="200" w:lineRule="exact"/>
        <w:rPr>
          <w:sz w:val="20"/>
          <w:szCs w:val="20"/>
          <w:color w:val="auto"/>
        </w:rPr>
      </w:pPr>
    </w:p>
    <w:p>
      <w:pPr>
        <w:spacing w:after="0" w:line="295"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WYNN LAS VEGAS, LLC</w:t>
      </w:r>
    </w:p>
    <w:p>
      <w:pPr>
        <w:spacing w:after="0" w:line="235"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By: Wynn Las Vegas Holdings, LLC, its sole member</w:t>
      </w:r>
    </w:p>
    <w:p>
      <w:pPr>
        <w:spacing w:after="0" w:line="252"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Finance, LLC, its sole member</w:t>
      </w:r>
    </w:p>
    <w:p>
      <w:pPr>
        <w:spacing w:after="0" w:line="241"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Holdings, LLC, its sole member</w:t>
      </w:r>
    </w:p>
    <w:p>
      <w:pPr>
        <w:spacing w:after="0" w:line="24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29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Craig S. Billings</w:t>
      </w:r>
    </w:p>
    <w:p>
      <w:pPr>
        <w:spacing w:after="0" w:line="3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Craig S. Billings</w:t>
      </w:r>
    </w:p>
    <w:p>
      <w:pPr>
        <w:spacing w:after="0" w:line="7"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Title: President, Chief Financial Officer and Treasurer</w:t>
      </w:r>
    </w:p>
    <w:p>
      <w:pPr>
        <w:sectPr>
          <w:pgSz w:w="11900" w:h="16838" w:orient="portrait"/>
          <w:cols w:equalWidth="0" w:num="1">
            <w:col w:w="9019"/>
          </w:cols>
          <w:pgMar w:left="1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[Signature Page to Amendment No. 1 to Credit Agreement]</w:t>
      </w:r>
    </w:p>
    <w:p>
      <w:pPr>
        <w:sectPr>
          <w:pgSz w:w="11900" w:h="16838" w:orient="portrait"/>
          <w:cols w:equalWidth="0" w:num="1">
            <w:col w:w="9019"/>
          </w:cols>
          <w:pgMar w:left="1440" w:top="1413" w:right="1440" w:bottom="1440" w:gutter="0" w:footer="0" w:header="0"/>
          <w:type w:val="continuous"/>
        </w:sectPr>
      </w:pPr>
    </w:p>
    <w:bookmarkStart w:id="208" w:name="page209"/>
    <w:bookmarkEnd w:id="208"/>
    <w:p>
      <w:pPr>
        <w:ind w:left="2780"/>
        <w:spacing w:after="0"/>
        <w:rPr>
          <w:sz w:val="20"/>
          <w:szCs w:val="20"/>
          <w:color w:val="auto"/>
        </w:rPr>
      </w:pPr>
      <w:r>
        <w:rPr>
          <w:rFonts w:ascii="Arial" w:cs="Arial" w:eastAsia="Arial" w:hAnsi="Arial"/>
          <w:sz w:val="20"/>
          <w:szCs w:val="20"/>
          <w:b w:val="1"/>
          <w:bCs w:val="1"/>
          <w:color w:val="auto"/>
        </w:rPr>
        <w:t>WYNN SUNRISE, LLC</w:t>
      </w:r>
    </w:p>
    <w:p>
      <w:pPr>
        <w:spacing w:after="0" w:line="23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Wynn Las Vegas, LLC its sole member</w:t>
      </w:r>
    </w:p>
    <w:p>
      <w:pPr>
        <w:spacing w:after="0" w:line="22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By: Wynn Las Vegas Holdings, LLC, its sole member</w:t>
      </w:r>
    </w:p>
    <w:p>
      <w:pPr>
        <w:spacing w:after="0" w:line="252"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Finance, LLC, its sole member</w:t>
      </w:r>
    </w:p>
    <w:p>
      <w:pPr>
        <w:spacing w:after="0" w:line="241"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Holdings, LLC, its sole member</w:t>
      </w:r>
    </w:p>
    <w:p>
      <w:pPr>
        <w:spacing w:after="0" w:line="24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29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Craig S. Billings</w:t>
      </w:r>
    </w:p>
    <w:p>
      <w:pPr>
        <w:spacing w:after="0" w:line="3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Craig S. Billings</w:t>
      </w:r>
    </w:p>
    <w:p>
      <w:pPr>
        <w:spacing w:after="0" w:line="7"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Title: President, Chief Financial Officer and Treasurer</w:t>
      </w:r>
    </w:p>
    <w:p>
      <w:pPr>
        <w:spacing w:after="0" w:line="200" w:lineRule="exact"/>
        <w:rPr>
          <w:sz w:val="20"/>
          <w:szCs w:val="20"/>
          <w:color w:val="auto"/>
        </w:rPr>
      </w:pPr>
    </w:p>
    <w:p>
      <w:pPr>
        <w:spacing w:after="0" w:line="295"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WYNN GROUP ASIA, INC.</w:t>
      </w:r>
    </w:p>
    <w:p>
      <w:pPr>
        <w:spacing w:after="0" w:line="200" w:lineRule="exact"/>
        <w:rPr>
          <w:sz w:val="20"/>
          <w:szCs w:val="20"/>
          <w:color w:val="auto"/>
        </w:rPr>
      </w:pPr>
    </w:p>
    <w:p>
      <w:pPr>
        <w:spacing w:after="0" w:line="27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Craig S. Billings</w:t>
      </w:r>
    </w:p>
    <w:p>
      <w:pPr>
        <w:spacing w:after="0" w:line="3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Craig S. Billings</w:t>
      </w:r>
    </w:p>
    <w:p>
      <w:pPr>
        <w:spacing w:after="0" w:line="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Amendment No. 1 to Credit Agreement]</w:t>
      </w:r>
    </w:p>
    <w:p>
      <w:pPr>
        <w:sectPr>
          <w:pgSz w:w="11900" w:h="16838" w:orient="portrait"/>
          <w:cols w:equalWidth="0" w:num="1">
            <w:col w:w="9019"/>
          </w:cols>
          <w:pgMar w:left="1440" w:top="1413" w:right="1440" w:bottom="1440" w:gutter="0" w:footer="0" w:header="0"/>
        </w:sectPr>
      </w:pPr>
    </w:p>
    <w:bookmarkStart w:id="209" w:name="page210"/>
    <w:bookmarkEnd w:id="209"/>
    <w:p>
      <w:pPr>
        <w:spacing w:after="0"/>
        <w:rPr>
          <w:sz w:val="20"/>
          <w:szCs w:val="20"/>
          <w:color w:val="auto"/>
        </w:rPr>
      </w:pPr>
      <w:r>
        <w:rPr>
          <w:rFonts w:ascii="Arial" w:cs="Arial" w:eastAsia="Arial" w:hAnsi="Arial"/>
          <w:sz w:val="20"/>
          <w:szCs w:val="20"/>
          <w:b w:val="1"/>
          <w:bCs w:val="1"/>
          <w:color w:val="auto"/>
        </w:rPr>
        <w:t>Acknowledged and Agreed by:</w:t>
      </w: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DEUTSCHE BANK AG NEW YORK BRANCH</w:t>
      </w:r>
      <w:r>
        <w:rPr>
          <w:rFonts w:ascii="Arial" w:cs="Arial" w:eastAsia="Arial" w:hAnsi="Arial"/>
          <w:sz w:val="21"/>
          <w:szCs w:val="21"/>
          <w:color w:val="auto"/>
        </w:rPr>
        <w:t>, as Administrative Agent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Philip Tancorra</w:t>
      </w:r>
    </w:p>
    <w:p>
      <w:pPr>
        <w:spacing w:after="0" w:line="238" w:lineRule="auto"/>
        <w:rPr>
          <w:sz w:val="20"/>
          <w:szCs w:val="20"/>
          <w:color w:val="auto"/>
        </w:rPr>
      </w:pPr>
      <w:r>
        <w:rPr>
          <w:rFonts w:ascii="Arial" w:cs="Arial" w:eastAsia="Arial" w:hAnsi="Arial"/>
          <w:sz w:val="22"/>
          <w:szCs w:val="22"/>
          <w:color w:val="auto"/>
        </w:rPr>
        <w:t>Name: Philip Tancorra</w:t>
      </w:r>
    </w:p>
    <w:p>
      <w:pPr>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Jennifer Culbert</w:t>
      </w:r>
    </w:p>
    <w:p>
      <w:pPr>
        <w:spacing w:after="0" w:line="238" w:lineRule="auto"/>
        <w:rPr>
          <w:sz w:val="20"/>
          <w:szCs w:val="20"/>
          <w:color w:val="auto"/>
        </w:rPr>
      </w:pPr>
      <w:r>
        <w:rPr>
          <w:rFonts w:ascii="Arial" w:cs="Arial" w:eastAsia="Arial" w:hAnsi="Arial"/>
          <w:sz w:val="22"/>
          <w:szCs w:val="22"/>
          <w:color w:val="auto"/>
        </w:rPr>
        <w:t>Name: Jennifer Culbert</w:t>
      </w:r>
    </w:p>
    <w:p>
      <w:pPr>
        <w:spacing w:after="0"/>
        <w:rPr>
          <w:sz w:val="20"/>
          <w:szCs w:val="20"/>
          <w:color w:val="auto"/>
        </w:rPr>
      </w:pPr>
      <w:r>
        <w:rPr>
          <w:rFonts w:ascii="Arial" w:cs="Arial" w:eastAsia="Arial" w:hAnsi="Arial"/>
          <w:sz w:val="22"/>
          <w:szCs w:val="22"/>
          <w:color w:val="auto"/>
        </w:rPr>
        <w:t>Title: Vice President</w:t>
      </w:r>
    </w:p>
    <w:p>
      <w:pPr>
        <w:sectPr>
          <w:pgSz w:w="11900" w:h="16838" w:orient="portrait"/>
          <w:cols w:equalWidth="0" w:num="1">
            <w:col w:w="10139"/>
          </w:cols>
          <w:pgMar w:left="32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900"/>
        <w:spacing w:after="0"/>
        <w:rPr>
          <w:sz w:val="20"/>
          <w:szCs w:val="20"/>
          <w:color w:val="auto"/>
        </w:rPr>
      </w:pPr>
      <w:r>
        <w:rPr>
          <w:rFonts w:ascii="Arial" w:cs="Arial" w:eastAsia="Arial" w:hAnsi="Arial"/>
          <w:sz w:val="13"/>
          <w:szCs w:val="13"/>
          <w:color w:val="auto"/>
        </w:rPr>
        <w:t>[Signature Page to Amendment No. 1 to Credit Agreement]</w:t>
      </w:r>
    </w:p>
    <w:p>
      <w:pPr>
        <w:sectPr>
          <w:pgSz w:w="11900" w:h="16838" w:orient="portrait"/>
          <w:cols w:equalWidth="0" w:num="1">
            <w:col w:w="10139"/>
          </w:cols>
          <w:pgMar w:left="320" w:top="1413" w:right="1440" w:bottom="1440" w:gutter="0" w:footer="0" w:header="0"/>
          <w:type w:val="continuous"/>
        </w:sectPr>
      </w:pPr>
    </w:p>
    <w:bookmarkStart w:id="210" w:name="page211"/>
    <w:bookmarkEnd w:id="210"/>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DEUTSCHE BANK AG NEW YORK BRANCH</w:t>
      </w:r>
      <w:r>
        <w:rPr>
          <w:rFonts w:ascii="Arial" w:cs="Arial" w:eastAsia="Arial" w:hAnsi="Arial"/>
          <w:sz w:val="22"/>
          <w:szCs w:val="22"/>
          <w:color w:val="auto"/>
        </w:rPr>
        <w:t>, as a Lender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Philip Tancorra</w:t>
      </w:r>
    </w:p>
    <w:p>
      <w:pPr>
        <w:spacing w:after="0" w:line="238" w:lineRule="auto"/>
        <w:rPr>
          <w:sz w:val="20"/>
          <w:szCs w:val="20"/>
          <w:color w:val="auto"/>
        </w:rPr>
      </w:pPr>
      <w:r>
        <w:rPr>
          <w:rFonts w:ascii="Arial" w:cs="Arial" w:eastAsia="Arial" w:hAnsi="Arial"/>
          <w:sz w:val="22"/>
          <w:szCs w:val="22"/>
          <w:color w:val="auto"/>
        </w:rPr>
        <w:t>Name: Philip Tancorra</w:t>
      </w:r>
    </w:p>
    <w:p>
      <w:pPr>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Jennifer Culbert</w:t>
      </w:r>
    </w:p>
    <w:p>
      <w:pPr>
        <w:spacing w:after="0" w:line="238" w:lineRule="auto"/>
        <w:rPr>
          <w:sz w:val="20"/>
          <w:szCs w:val="20"/>
          <w:color w:val="auto"/>
        </w:rPr>
      </w:pPr>
      <w:r>
        <w:rPr>
          <w:rFonts w:ascii="Arial" w:cs="Arial" w:eastAsia="Arial" w:hAnsi="Arial"/>
          <w:sz w:val="22"/>
          <w:szCs w:val="22"/>
          <w:color w:val="auto"/>
        </w:rPr>
        <w:t>Name: Jennifer Culbert</w:t>
      </w:r>
    </w:p>
    <w:p>
      <w:pPr>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ind w:right="2799"/>
        <w:spacing w:after="0"/>
        <w:rPr>
          <w:sz w:val="20"/>
          <w:szCs w:val="20"/>
          <w:color w:val="auto"/>
        </w:rPr>
      </w:pPr>
      <w:r>
        <w:rPr>
          <w:rFonts w:ascii="Arial" w:cs="Arial" w:eastAsia="Arial" w:hAnsi="Arial"/>
          <w:sz w:val="14"/>
          <w:szCs w:val="14"/>
          <w:color w:val="auto"/>
        </w:rPr>
        <w:t>[Signature Page to Amendment No. 1 to Credit Agreement]</w:t>
      </w:r>
    </w:p>
    <w:p>
      <w:pPr>
        <w:sectPr>
          <w:pgSz w:w="11900" w:h="16838" w:orient="portrait"/>
          <w:cols w:equalWidth="0" w:num="1">
            <w:col w:w="10139"/>
          </w:cols>
          <w:pgMar w:left="320" w:top="1440" w:right="1440" w:bottom="1440" w:gutter="0" w:footer="0" w:header="0"/>
        </w:sectPr>
      </w:pPr>
    </w:p>
    <w:bookmarkStart w:id="211" w:name="page212"/>
    <w:bookmarkEnd w:id="211"/>
    <w:p>
      <w:pPr>
        <w:spacing w:after="0"/>
        <w:rPr>
          <w:sz w:val="20"/>
          <w:szCs w:val="20"/>
          <w:color w:val="auto"/>
        </w:rPr>
      </w:pPr>
      <w:r>
        <w:rPr>
          <w:rFonts w:ascii="Arial" w:cs="Arial" w:eastAsia="Arial" w:hAnsi="Arial"/>
          <w:sz w:val="19"/>
          <w:szCs w:val="19"/>
          <w:b w:val="1"/>
          <w:bCs w:val="1"/>
          <w:color w:val="auto"/>
        </w:rPr>
        <w:t>BANK OF AMERICA, N.A.</w:t>
      </w:r>
      <w:r>
        <w:rPr>
          <w:rFonts w:ascii="Arial" w:cs="Arial" w:eastAsia="Arial" w:hAnsi="Arial"/>
          <w:sz w:val="19"/>
          <w:szCs w:val="19"/>
          <w:color w:val="auto"/>
        </w:rPr>
        <w:t>, as a Lender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Brian D. Corum</w:t>
      </w:r>
    </w:p>
    <w:p>
      <w:pPr>
        <w:spacing w:after="0" w:line="238" w:lineRule="auto"/>
        <w:rPr>
          <w:sz w:val="20"/>
          <w:szCs w:val="20"/>
          <w:color w:val="auto"/>
        </w:rPr>
      </w:pPr>
      <w:r>
        <w:rPr>
          <w:rFonts w:ascii="Arial" w:cs="Arial" w:eastAsia="Arial" w:hAnsi="Arial"/>
          <w:sz w:val="22"/>
          <w:szCs w:val="22"/>
          <w:color w:val="auto"/>
        </w:rPr>
        <w:t>Name: Brian D. Corum</w:t>
      </w:r>
    </w:p>
    <w:p>
      <w:pPr>
        <w:spacing w:after="0"/>
        <w:rPr>
          <w:sz w:val="20"/>
          <w:szCs w:val="20"/>
          <w:color w:val="auto"/>
        </w:rPr>
      </w:pPr>
      <w:r>
        <w:rPr>
          <w:rFonts w:ascii="Arial" w:cs="Arial" w:eastAsia="Arial" w:hAnsi="Arial"/>
          <w:sz w:val="22"/>
          <w:szCs w:val="22"/>
          <w:color w:val="auto"/>
        </w:rPr>
        <w:t>Title: Managing Director</w:t>
      </w:r>
    </w:p>
    <w:p>
      <w:pPr>
        <w:sectPr>
          <w:pgSz w:w="11900" w:h="16838" w:orient="portrait"/>
          <w:cols w:equalWidth="0" w:num="1">
            <w:col w:w="10139"/>
          </w:cols>
          <w:pgMar w:left="320" w:top="1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900"/>
        <w:spacing w:after="0"/>
        <w:rPr>
          <w:sz w:val="20"/>
          <w:szCs w:val="20"/>
          <w:color w:val="auto"/>
        </w:rPr>
      </w:pPr>
      <w:r>
        <w:rPr>
          <w:rFonts w:ascii="Arial" w:cs="Arial" w:eastAsia="Arial" w:hAnsi="Arial"/>
          <w:sz w:val="13"/>
          <w:szCs w:val="13"/>
          <w:color w:val="auto"/>
        </w:rPr>
        <w:t>[Signature Page to Amendment No. 1 to Credit Agreement]</w:t>
      </w:r>
    </w:p>
    <w:p>
      <w:pPr>
        <w:sectPr>
          <w:pgSz w:w="11900" w:h="16838" w:orient="portrait"/>
          <w:cols w:equalWidth="0" w:num="1">
            <w:col w:w="10139"/>
          </w:cols>
          <w:pgMar w:left="320" w:top="1408" w:right="1440" w:bottom="1440" w:gutter="0" w:footer="0" w:header="0"/>
          <w:type w:val="continuous"/>
        </w:sectPr>
      </w:pPr>
    </w:p>
    <w:bookmarkStart w:id="212" w:name="page213"/>
    <w:bookmarkEnd w:id="212"/>
    <w:p>
      <w:pPr>
        <w:spacing w:after="0"/>
        <w:rPr>
          <w:sz w:val="20"/>
          <w:szCs w:val="20"/>
          <w:color w:val="auto"/>
        </w:rPr>
      </w:pPr>
      <w:r>
        <w:rPr>
          <w:rFonts w:ascii="Arial" w:cs="Arial" w:eastAsia="Arial" w:hAnsi="Arial"/>
          <w:sz w:val="19"/>
          <w:szCs w:val="19"/>
          <w:b w:val="1"/>
          <w:bCs w:val="1"/>
          <w:color w:val="auto"/>
        </w:rPr>
        <w:t>BNP PARIBAS</w:t>
      </w:r>
      <w:r>
        <w:rPr>
          <w:rFonts w:ascii="Arial" w:cs="Arial" w:eastAsia="Arial" w:hAnsi="Arial"/>
          <w:sz w:val="19"/>
          <w:szCs w:val="19"/>
          <w:color w:val="auto"/>
        </w:rPr>
        <w:t>, as a Lender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McHale</w:t>
      </w:r>
    </w:p>
    <w:p>
      <w:pPr>
        <w:spacing w:after="0" w:line="238" w:lineRule="auto"/>
        <w:rPr>
          <w:sz w:val="20"/>
          <w:szCs w:val="20"/>
          <w:color w:val="auto"/>
        </w:rPr>
      </w:pPr>
      <w:r>
        <w:rPr>
          <w:rFonts w:ascii="Arial" w:cs="Arial" w:eastAsia="Arial" w:hAnsi="Arial"/>
          <w:sz w:val="22"/>
          <w:szCs w:val="22"/>
          <w:color w:val="auto"/>
        </w:rPr>
        <w:t>Name: James McHale</w:t>
      </w:r>
    </w:p>
    <w:p>
      <w:pPr>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Aadil Zuberi</w:t>
      </w:r>
    </w:p>
    <w:p>
      <w:pPr>
        <w:spacing w:after="0" w:line="238" w:lineRule="auto"/>
        <w:rPr>
          <w:sz w:val="20"/>
          <w:szCs w:val="20"/>
          <w:color w:val="auto"/>
        </w:rPr>
      </w:pPr>
      <w:r>
        <w:rPr>
          <w:rFonts w:ascii="Arial" w:cs="Arial" w:eastAsia="Arial" w:hAnsi="Arial"/>
          <w:sz w:val="22"/>
          <w:szCs w:val="22"/>
          <w:color w:val="auto"/>
        </w:rPr>
        <w:t>Name: Aadil Zuberi</w:t>
      </w:r>
    </w:p>
    <w:p>
      <w:pPr>
        <w:spacing w:after="0"/>
        <w:rPr>
          <w:sz w:val="20"/>
          <w:szCs w:val="20"/>
          <w:color w:val="auto"/>
        </w:rPr>
      </w:pPr>
      <w:r>
        <w:rPr>
          <w:rFonts w:ascii="Arial" w:cs="Arial" w:eastAsia="Arial" w:hAnsi="Arial"/>
          <w:sz w:val="22"/>
          <w:szCs w:val="22"/>
          <w:color w:val="auto"/>
        </w:rPr>
        <w:t>Title: Director</w:t>
      </w:r>
    </w:p>
    <w:p>
      <w:pPr>
        <w:sectPr>
          <w:pgSz w:w="11900" w:h="16838" w:orient="portrait"/>
          <w:cols w:equalWidth="0" w:num="1">
            <w:col w:w="10139"/>
          </w:cols>
          <w:pgMar w:left="320" w:top="1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00"/>
        <w:spacing w:after="0"/>
        <w:rPr>
          <w:sz w:val="20"/>
          <w:szCs w:val="20"/>
          <w:color w:val="auto"/>
        </w:rPr>
      </w:pPr>
      <w:r>
        <w:rPr>
          <w:rFonts w:ascii="Arial" w:cs="Arial" w:eastAsia="Arial" w:hAnsi="Arial"/>
          <w:sz w:val="13"/>
          <w:szCs w:val="13"/>
          <w:color w:val="auto"/>
        </w:rPr>
        <w:t>[Signature Page to Amendment No. 1 to Credit Agreement]</w:t>
      </w:r>
    </w:p>
    <w:p>
      <w:pPr>
        <w:sectPr>
          <w:pgSz w:w="11900" w:h="16838" w:orient="portrait"/>
          <w:cols w:equalWidth="0" w:num="1">
            <w:col w:w="10139"/>
          </w:cols>
          <w:pgMar w:left="320" w:top="1408" w:right="1440" w:bottom="1440" w:gutter="0" w:footer="0" w:header="0"/>
          <w:type w:val="continuous"/>
        </w:sectPr>
      </w:pPr>
    </w:p>
    <w:bookmarkStart w:id="213" w:name="page214"/>
    <w:bookmarkEnd w:id="213"/>
    <w:p>
      <w:pPr>
        <w:spacing w:after="0"/>
        <w:rPr>
          <w:sz w:val="20"/>
          <w:szCs w:val="20"/>
          <w:color w:val="auto"/>
        </w:rPr>
      </w:pPr>
      <w:r>
        <w:rPr>
          <w:rFonts w:ascii="Arial" w:cs="Arial" w:eastAsia="Arial" w:hAnsi="Arial"/>
          <w:sz w:val="19"/>
          <w:szCs w:val="19"/>
          <w:b w:val="1"/>
          <w:bCs w:val="1"/>
          <w:color w:val="auto"/>
        </w:rPr>
        <w:t>CITIZENS BANK, N.A.</w:t>
      </w:r>
      <w:r>
        <w:rPr>
          <w:rFonts w:ascii="Arial" w:cs="Arial" w:eastAsia="Arial" w:hAnsi="Arial"/>
          <w:sz w:val="19"/>
          <w:szCs w:val="19"/>
          <w:color w:val="auto"/>
        </w:rPr>
        <w:t>, as a Lender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Sean McWhinnie</w:t>
      </w:r>
    </w:p>
    <w:p>
      <w:pPr>
        <w:spacing w:after="0" w:line="238" w:lineRule="auto"/>
        <w:rPr>
          <w:sz w:val="20"/>
          <w:szCs w:val="20"/>
          <w:color w:val="auto"/>
        </w:rPr>
      </w:pPr>
      <w:r>
        <w:rPr>
          <w:rFonts w:ascii="Arial" w:cs="Arial" w:eastAsia="Arial" w:hAnsi="Arial"/>
          <w:sz w:val="22"/>
          <w:szCs w:val="22"/>
          <w:color w:val="auto"/>
        </w:rPr>
        <w:t>Name: Sean McWhinnie</w:t>
      </w:r>
    </w:p>
    <w:p>
      <w:pPr>
        <w:spacing w:after="0"/>
        <w:rPr>
          <w:sz w:val="20"/>
          <w:szCs w:val="20"/>
          <w:color w:val="auto"/>
        </w:rPr>
      </w:pPr>
      <w:r>
        <w:rPr>
          <w:rFonts w:ascii="Arial" w:cs="Arial" w:eastAsia="Arial" w:hAnsi="Arial"/>
          <w:sz w:val="22"/>
          <w:szCs w:val="22"/>
          <w:color w:val="auto"/>
        </w:rPr>
        <w:t>Title: Director</w:t>
      </w:r>
    </w:p>
    <w:p>
      <w:pPr>
        <w:sectPr>
          <w:pgSz w:w="11900" w:h="16838" w:orient="portrait"/>
          <w:cols w:equalWidth="0" w:num="1">
            <w:col w:w="10139"/>
          </w:cols>
          <w:pgMar w:left="320" w:top="1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900"/>
        <w:spacing w:after="0"/>
        <w:rPr>
          <w:sz w:val="20"/>
          <w:szCs w:val="20"/>
          <w:color w:val="auto"/>
        </w:rPr>
      </w:pPr>
      <w:r>
        <w:rPr>
          <w:rFonts w:ascii="Arial" w:cs="Arial" w:eastAsia="Arial" w:hAnsi="Arial"/>
          <w:sz w:val="13"/>
          <w:szCs w:val="13"/>
          <w:color w:val="auto"/>
        </w:rPr>
        <w:t>[Signature Page to Amendment No. 1 to Credit Agreement]</w:t>
      </w:r>
    </w:p>
    <w:p>
      <w:pPr>
        <w:sectPr>
          <w:pgSz w:w="11900" w:h="16838" w:orient="portrait"/>
          <w:cols w:equalWidth="0" w:num="1">
            <w:col w:w="10139"/>
          </w:cols>
          <w:pgMar w:left="320" w:top="1408" w:right="1440" w:bottom="1440" w:gutter="0" w:footer="0" w:header="0"/>
          <w:type w:val="continuous"/>
        </w:sectPr>
      </w:pPr>
    </w:p>
    <w:bookmarkStart w:id="214" w:name="page215"/>
    <w:bookmarkEnd w:id="214"/>
    <w:p>
      <w:pPr>
        <w:spacing w:after="0"/>
        <w:rPr>
          <w:sz w:val="20"/>
          <w:szCs w:val="20"/>
          <w:color w:val="auto"/>
        </w:rPr>
      </w:pPr>
      <w:r>
        <w:rPr>
          <w:rFonts w:ascii="Arial" w:cs="Arial" w:eastAsia="Arial" w:hAnsi="Arial"/>
          <w:sz w:val="21"/>
          <w:szCs w:val="21"/>
          <w:b w:val="1"/>
          <w:bCs w:val="1"/>
          <w:color w:val="auto"/>
        </w:rPr>
        <w:t>CREDIT AGRICOLE CORPORATE AND INVESTMENT BANK</w:t>
      </w:r>
      <w:r>
        <w:rPr>
          <w:rFonts w:ascii="Arial" w:cs="Arial" w:eastAsia="Arial" w:hAnsi="Arial"/>
          <w:sz w:val="21"/>
          <w:szCs w:val="21"/>
          <w:color w:val="auto"/>
        </w:rPr>
        <w:t>, as a Lender</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Adam Jenner</w:t>
      </w:r>
    </w:p>
    <w:p>
      <w:pPr>
        <w:spacing w:after="0" w:line="238" w:lineRule="auto"/>
        <w:rPr>
          <w:sz w:val="20"/>
          <w:szCs w:val="20"/>
          <w:color w:val="auto"/>
        </w:rPr>
      </w:pPr>
      <w:r>
        <w:rPr>
          <w:rFonts w:ascii="Arial" w:cs="Arial" w:eastAsia="Arial" w:hAnsi="Arial"/>
          <w:sz w:val="22"/>
          <w:szCs w:val="22"/>
          <w:color w:val="auto"/>
        </w:rPr>
        <w:t>Name: Adam Jenner</w:t>
      </w:r>
    </w:p>
    <w:p>
      <w:pPr>
        <w:spacing w:after="0" w:line="230" w:lineRule="auto"/>
        <w:rPr>
          <w:sz w:val="20"/>
          <w:szCs w:val="20"/>
          <w:color w:val="auto"/>
        </w:rPr>
      </w:pPr>
      <w:r>
        <w:rPr>
          <w:rFonts w:ascii="Arial" w:cs="Arial" w:eastAsia="Arial" w:hAnsi="Arial"/>
          <w:sz w:val="22"/>
          <w:szCs w:val="22"/>
          <w:color w:val="auto"/>
        </w:rPr>
        <w:t>Title: Director</w:t>
      </w:r>
    </w:p>
    <w:p>
      <w:pPr>
        <w:spacing w:after="0" w:line="231" w:lineRule="auto"/>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Jonassen</w:t>
      </w:r>
    </w:p>
    <w:p>
      <w:pPr>
        <w:spacing w:after="0" w:line="230" w:lineRule="auto"/>
        <w:rPr>
          <w:sz w:val="20"/>
          <w:szCs w:val="20"/>
          <w:color w:val="auto"/>
        </w:rPr>
      </w:pPr>
      <w:r>
        <w:rPr>
          <w:rFonts w:ascii="Arial" w:cs="Arial" w:eastAsia="Arial" w:hAnsi="Arial"/>
          <w:sz w:val="22"/>
          <w:szCs w:val="22"/>
          <w:color w:val="auto"/>
        </w:rPr>
        <w:t>Name: Steven Jonassen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Managing Director</w:t>
      </w:r>
    </w:p>
    <w:p>
      <w:pPr>
        <w:sectPr>
          <w:pgSz w:w="11900" w:h="16838" w:orient="portrait"/>
          <w:cols w:equalWidth="0" w:num="1">
            <w:col w:w="10139"/>
          </w:cols>
          <w:pgMar w:left="320" w:top="1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900"/>
        <w:spacing w:after="0"/>
        <w:rPr>
          <w:sz w:val="20"/>
          <w:szCs w:val="20"/>
          <w:color w:val="auto"/>
        </w:rPr>
      </w:pPr>
      <w:r>
        <w:rPr>
          <w:rFonts w:ascii="Arial" w:cs="Arial" w:eastAsia="Arial" w:hAnsi="Arial"/>
          <w:sz w:val="13"/>
          <w:szCs w:val="13"/>
          <w:color w:val="auto"/>
        </w:rPr>
        <w:t>[Signature Page to Amendment No. 1 to Credit Agreement]</w:t>
      </w:r>
    </w:p>
    <w:p>
      <w:pPr>
        <w:sectPr>
          <w:pgSz w:w="11900" w:h="16838" w:orient="portrait"/>
          <w:cols w:equalWidth="0" w:num="1">
            <w:col w:w="10139"/>
          </w:cols>
          <w:pgMar w:left="320" w:top="1408" w:right="1440" w:bottom="1440" w:gutter="0" w:footer="0" w:header="0"/>
          <w:type w:val="continuous"/>
        </w:sectPr>
      </w:pPr>
    </w:p>
    <w:bookmarkStart w:id="215" w:name="page216"/>
    <w:bookmarkEnd w:id="215"/>
    <w:p>
      <w:pPr>
        <w:spacing w:after="0"/>
        <w:rPr>
          <w:sz w:val="20"/>
          <w:szCs w:val="20"/>
          <w:color w:val="auto"/>
        </w:rPr>
      </w:pPr>
      <w:r>
        <w:rPr>
          <w:rFonts w:ascii="Arial" w:cs="Arial" w:eastAsia="Arial" w:hAnsi="Arial"/>
          <w:sz w:val="21"/>
          <w:szCs w:val="21"/>
          <w:b w:val="1"/>
          <w:bCs w:val="1"/>
          <w:color w:val="auto"/>
        </w:rPr>
        <w:t>FIFTH THIRD BANK, NATIONAL ASSOCIATION</w:t>
      </w:r>
      <w:r>
        <w:rPr>
          <w:rFonts w:ascii="Arial" w:cs="Arial" w:eastAsia="Arial" w:hAnsi="Arial"/>
          <w:sz w:val="21"/>
          <w:szCs w:val="21"/>
          <w:color w:val="auto"/>
        </w:rPr>
        <w:t>, as a Lender</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Andy Tessema</w:t>
      </w:r>
    </w:p>
    <w:p>
      <w:pPr>
        <w:spacing w:after="0" w:line="238" w:lineRule="auto"/>
        <w:rPr>
          <w:sz w:val="20"/>
          <w:szCs w:val="20"/>
          <w:color w:val="auto"/>
        </w:rPr>
      </w:pPr>
      <w:r>
        <w:rPr>
          <w:rFonts w:ascii="Arial" w:cs="Arial" w:eastAsia="Arial" w:hAnsi="Arial"/>
          <w:sz w:val="22"/>
          <w:szCs w:val="22"/>
          <w:color w:val="auto"/>
        </w:rPr>
        <w:t>Name: Andy Tessema</w:t>
      </w:r>
    </w:p>
    <w:p>
      <w:pPr>
        <w:spacing w:after="0"/>
        <w:rPr>
          <w:sz w:val="20"/>
          <w:szCs w:val="20"/>
          <w:color w:val="auto"/>
        </w:rPr>
      </w:pPr>
      <w:r>
        <w:rPr>
          <w:rFonts w:ascii="Arial" w:cs="Arial" w:eastAsia="Arial" w:hAnsi="Arial"/>
          <w:sz w:val="22"/>
          <w:szCs w:val="22"/>
          <w:color w:val="auto"/>
        </w:rPr>
        <w:t>Title: Vice President</w:t>
      </w:r>
    </w:p>
    <w:p>
      <w:pPr>
        <w:sectPr>
          <w:pgSz w:w="11900" w:h="16838" w:orient="portrait"/>
          <w:cols w:equalWidth="0" w:num="1">
            <w:col w:w="10139"/>
          </w:cols>
          <w:pgMar w:left="320" w:top="1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900"/>
        <w:spacing w:after="0"/>
        <w:rPr>
          <w:sz w:val="20"/>
          <w:szCs w:val="20"/>
          <w:color w:val="auto"/>
        </w:rPr>
      </w:pPr>
      <w:r>
        <w:rPr>
          <w:rFonts w:ascii="Arial" w:cs="Arial" w:eastAsia="Arial" w:hAnsi="Arial"/>
          <w:sz w:val="13"/>
          <w:szCs w:val="13"/>
          <w:color w:val="auto"/>
        </w:rPr>
        <w:t>[Signature Page to Amendment No. 1 to Credit Agreement]</w:t>
      </w:r>
    </w:p>
    <w:p>
      <w:pPr>
        <w:sectPr>
          <w:pgSz w:w="11900" w:h="16838" w:orient="portrait"/>
          <w:cols w:equalWidth="0" w:num="1">
            <w:col w:w="10139"/>
          </w:cols>
          <w:pgMar w:left="320" w:top="1408" w:right="1440" w:bottom="1440" w:gutter="0" w:footer="0" w:header="0"/>
          <w:type w:val="continuous"/>
        </w:sectPr>
      </w:pPr>
    </w:p>
    <w:bookmarkStart w:id="216" w:name="page217"/>
    <w:bookmarkEnd w:id="216"/>
    <w:p>
      <w:pPr>
        <w:spacing w:after="0"/>
        <w:rPr>
          <w:sz w:val="20"/>
          <w:szCs w:val="20"/>
          <w:color w:val="auto"/>
        </w:rPr>
      </w:pPr>
      <w:r>
        <w:rPr>
          <w:rFonts w:ascii="Arial" w:cs="Arial" w:eastAsia="Arial" w:hAnsi="Arial"/>
          <w:sz w:val="19"/>
          <w:szCs w:val="19"/>
          <w:b w:val="1"/>
          <w:bCs w:val="1"/>
          <w:color w:val="auto"/>
        </w:rPr>
        <w:t>GOLDMAN SACHS BANK USA</w:t>
      </w:r>
      <w:r>
        <w:rPr>
          <w:rFonts w:ascii="Arial" w:cs="Arial" w:eastAsia="Arial" w:hAnsi="Arial"/>
          <w:sz w:val="19"/>
          <w:szCs w:val="19"/>
          <w:color w:val="auto"/>
        </w:rPr>
        <w:t>, as a Lender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Jamie Minieri</w:t>
      </w:r>
    </w:p>
    <w:p>
      <w:pPr>
        <w:spacing w:after="0" w:line="238" w:lineRule="auto"/>
        <w:rPr>
          <w:sz w:val="20"/>
          <w:szCs w:val="20"/>
          <w:color w:val="auto"/>
        </w:rPr>
      </w:pPr>
      <w:r>
        <w:rPr>
          <w:rFonts w:ascii="Arial" w:cs="Arial" w:eastAsia="Arial" w:hAnsi="Arial"/>
          <w:sz w:val="22"/>
          <w:szCs w:val="22"/>
          <w:color w:val="auto"/>
        </w:rPr>
        <w:t>Name: Jamie Minieri</w:t>
      </w:r>
    </w:p>
    <w:p>
      <w:pPr>
        <w:spacing w:after="0"/>
        <w:rPr>
          <w:sz w:val="20"/>
          <w:szCs w:val="20"/>
          <w:color w:val="auto"/>
        </w:rPr>
      </w:pPr>
      <w:r>
        <w:rPr>
          <w:rFonts w:ascii="Arial" w:cs="Arial" w:eastAsia="Arial" w:hAnsi="Arial"/>
          <w:sz w:val="22"/>
          <w:szCs w:val="22"/>
          <w:color w:val="auto"/>
        </w:rPr>
        <w:t>Title: Authorized Signatory</w:t>
      </w:r>
    </w:p>
    <w:p>
      <w:pPr>
        <w:sectPr>
          <w:pgSz w:w="11900" w:h="16838" w:orient="portrait"/>
          <w:cols w:equalWidth="0" w:num="1">
            <w:col w:w="10139"/>
          </w:cols>
          <w:pgMar w:left="320" w:top="1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900"/>
        <w:spacing w:after="0"/>
        <w:rPr>
          <w:sz w:val="20"/>
          <w:szCs w:val="20"/>
          <w:color w:val="auto"/>
        </w:rPr>
      </w:pPr>
      <w:r>
        <w:rPr>
          <w:rFonts w:ascii="Arial" w:cs="Arial" w:eastAsia="Arial" w:hAnsi="Arial"/>
          <w:sz w:val="13"/>
          <w:szCs w:val="13"/>
          <w:color w:val="auto"/>
        </w:rPr>
        <w:t>[Signature Page to Amendment No. 1 to Credit Agreement]</w:t>
      </w:r>
    </w:p>
    <w:p>
      <w:pPr>
        <w:sectPr>
          <w:pgSz w:w="11900" w:h="16838" w:orient="portrait"/>
          <w:cols w:equalWidth="0" w:num="1">
            <w:col w:w="10139"/>
          </w:cols>
          <w:pgMar w:left="320" w:top="1408" w:right="1440" w:bottom="1440" w:gutter="0" w:footer="0" w:header="0"/>
          <w:type w:val="continuous"/>
        </w:sectPr>
      </w:pPr>
    </w:p>
    <w:bookmarkStart w:id="217" w:name="page218"/>
    <w:bookmarkEnd w:id="217"/>
    <w:p>
      <w:pPr>
        <w:spacing w:after="0"/>
        <w:rPr>
          <w:sz w:val="20"/>
          <w:szCs w:val="20"/>
          <w:color w:val="auto"/>
        </w:rPr>
      </w:pPr>
      <w:r>
        <w:rPr>
          <w:rFonts w:ascii="Arial" w:cs="Arial" w:eastAsia="Arial" w:hAnsi="Arial"/>
          <w:sz w:val="19"/>
          <w:szCs w:val="19"/>
          <w:b w:val="1"/>
          <w:bCs w:val="1"/>
          <w:color w:val="auto"/>
        </w:rPr>
        <w:t>JPMORGAN CHASE BANK, N.A.</w:t>
      </w:r>
      <w:r>
        <w:rPr>
          <w:rFonts w:ascii="Arial" w:cs="Arial" w:eastAsia="Arial" w:hAnsi="Arial"/>
          <w:sz w:val="19"/>
          <w:szCs w:val="19"/>
          <w:color w:val="auto"/>
        </w:rPr>
        <w:t>, as a Lender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Nadeige Dang</w:t>
      </w:r>
    </w:p>
    <w:p>
      <w:pPr>
        <w:spacing w:after="0" w:line="238" w:lineRule="auto"/>
        <w:rPr>
          <w:sz w:val="20"/>
          <w:szCs w:val="20"/>
          <w:color w:val="auto"/>
        </w:rPr>
      </w:pPr>
      <w:r>
        <w:rPr>
          <w:rFonts w:ascii="Arial" w:cs="Arial" w:eastAsia="Arial" w:hAnsi="Arial"/>
          <w:sz w:val="22"/>
          <w:szCs w:val="22"/>
          <w:color w:val="auto"/>
        </w:rPr>
        <w:t>Name: Nadeige Dang</w:t>
      </w:r>
    </w:p>
    <w:p>
      <w:pPr>
        <w:spacing w:after="0"/>
        <w:rPr>
          <w:sz w:val="20"/>
          <w:szCs w:val="20"/>
          <w:color w:val="auto"/>
        </w:rPr>
      </w:pPr>
      <w:r>
        <w:rPr>
          <w:rFonts w:ascii="Arial" w:cs="Arial" w:eastAsia="Arial" w:hAnsi="Arial"/>
          <w:sz w:val="22"/>
          <w:szCs w:val="22"/>
          <w:color w:val="auto"/>
        </w:rPr>
        <w:t>Title: Executive Director</w:t>
      </w:r>
    </w:p>
    <w:p>
      <w:pPr>
        <w:sectPr>
          <w:pgSz w:w="11900" w:h="16838" w:orient="portrait"/>
          <w:cols w:equalWidth="0" w:num="1">
            <w:col w:w="10139"/>
          </w:cols>
          <w:pgMar w:left="320" w:top="1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900"/>
        <w:spacing w:after="0"/>
        <w:rPr>
          <w:sz w:val="20"/>
          <w:szCs w:val="20"/>
          <w:color w:val="auto"/>
        </w:rPr>
      </w:pPr>
      <w:r>
        <w:rPr>
          <w:rFonts w:ascii="Arial" w:cs="Arial" w:eastAsia="Arial" w:hAnsi="Arial"/>
          <w:sz w:val="13"/>
          <w:szCs w:val="13"/>
          <w:color w:val="auto"/>
        </w:rPr>
        <w:t>[Signature Page to Amendment No. 1 to Credit Agreement]</w:t>
      </w:r>
    </w:p>
    <w:p>
      <w:pPr>
        <w:sectPr>
          <w:pgSz w:w="11900" w:h="16838" w:orient="portrait"/>
          <w:cols w:equalWidth="0" w:num="1">
            <w:col w:w="10139"/>
          </w:cols>
          <w:pgMar w:left="320" w:top="1408" w:right="1440" w:bottom="1440" w:gutter="0" w:footer="0" w:header="0"/>
          <w:type w:val="continuous"/>
        </w:sectPr>
      </w:pPr>
    </w:p>
    <w:bookmarkStart w:id="218" w:name="page219"/>
    <w:bookmarkEnd w:id="218"/>
    <w:p>
      <w:pPr>
        <w:spacing w:after="0"/>
        <w:rPr>
          <w:sz w:val="20"/>
          <w:szCs w:val="20"/>
          <w:color w:val="auto"/>
        </w:rPr>
      </w:pPr>
      <w:r>
        <w:rPr>
          <w:rFonts w:ascii="Arial" w:cs="Arial" w:eastAsia="Arial" w:hAnsi="Arial"/>
          <w:sz w:val="19"/>
          <w:szCs w:val="19"/>
          <w:b w:val="1"/>
          <w:bCs w:val="1"/>
          <w:color w:val="auto"/>
        </w:rPr>
        <w:t>MIZUHO BANK, LTD.</w:t>
      </w:r>
      <w:r>
        <w:rPr>
          <w:rFonts w:ascii="Arial" w:cs="Arial" w:eastAsia="Arial" w:hAnsi="Arial"/>
          <w:sz w:val="19"/>
          <w:szCs w:val="19"/>
          <w:color w:val="auto"/>
        </w:rPr>
        <w:t>, as a Lender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Donna DeMagistris</w:t>
      </w:r>
    </w:p>
    <w:p>
      <w:pPr>
        <w:spacing w:after="0" w:line="238" w:lineRule="auto"/>
        <w:rPr>
          <w:sz w:val="20"/>
          <w:szCs w:val="20"/>
          <w:color w:val="auto"/>
        </w:rPr>
      </w:pPr>
      <w:r>
        <w:rPr>
          <w:rFonts w:ascii="Arial" w:cs="Arial" w:eastAsia="Arial" w:hAnsi="Arial"/>
          <w:sz w:val="22"/>
          <w:szCs w:val="22"/>
          <w:color w:val="auto"/>
        </w:rPr>
        <w:t>Name: Donna DeMagistris</w:t>
      </w:r>
    </w:p>
    <w:p>
      <w:pPr>
        <w:spacing w:after="0"/>
        <w:rPr>
          <w:sz w:val="20"/>
          <w:szCs w:val="20"/>
          <w:color w:val="auto"/>
        </w:rPr>
      </w:pPr>
      <w:r>
        <w:rPr>
          <w:rFonts w:ascii="Arial" w:cs="Arial" w:eastAsia="Arial" w:hAnsi="Arial"/>
          <w:sz w:val="22"/>
          <w:szCs w:val="22"/>
          <w:color w:val="auto"/>
        </w:rPr>
        <w:t>Title: Authorized Signatory</w:t>
      </w:r>
    </w:p>
    <w:p>
      <w:pPr>
        <w:sectPr>
          <w:pgSz w:w="11900" w:h="16838" w:orient="portrait"/>
          <w:cols w:equalWidth="0" w:num="1">
            <w:col w:w="10139"/>
          </w:cols>
          <w:pgMar w:left="320" w:top="1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900"/>
        <w:spacing w:after="0"/>
        <w:rPr>
          <w:sz w:val="20"/>
          <w:szCs w:val="20"/>
          <w:color w:val="auto"/>
        </w:rPr>
      </w:pPr>
      <w:r>
        <w:rPr>
          <w:rFonts w:ascii="Arial" w:cs="Arial" w:eastAsia="Arial" w:hAnsi="Arial"/>
          <w:sz w:val="13"/>
          <w:szCs w:val="13"/>
          <w:color w:val="auto"/>
        </w:rPr>
        <w:t>[Signature Page to Amendment No. 1 to Credit Agreement]</w:t>
      </w:r>
    </w:p>
    <w:p>
      <w:pPr>
        <w:sectPr>
          <w:pgSz w:w="11900" w:h="16838" w:orient="portrait"/>
          <w:cols w:equalWidth="0" w:num="1">
            <w:col w:w="10139"/>
          </w:cols>
          <w:pgMar w:left="320" w:top="1408" w:right="1440" w:bottom="1440" w:gutter="0" w:footer="0" w:header="0"/>
          <w:type w:val="continuous"/>
        </w:sectPr>
      </w:pPr>
    </w:p>
    <w:bookmarkStart w:id="219" w:name="page220"/>
    <w:bookmarkEnd w:id="219"/>
    <w:p>
      <w:pPr>
        <w:spacing w:after="0"/>
        <w:rPr>
          <w:sz w:val="20"/>
          <w:szCs w:val="20"/>
          <w:color w:val="auto"/>
        </w:rPr>
      </w:pPr>
      <w:r>
        <w:rPr>
          <w:rFonts w:ascii="Arial" w:cs="Arial" w:eastAsia="Arial" w:hAnsi="Arial"/>
          <w:sz w:val="19"/>
          <w:szCs w:val="19"/>
          <w:b w:val="1"/>
          <w:bCs w:val="1"/>
          <w:color w:val="auto"/>
        </w:rPr>
        <w:t>THE BANK OF NOVA SCOTIA</w:t>
      </w:r>
      <w:r>
        <w:rPr>
          <w:rFonts w:ascii="Arial" w:cs="Arial" w:eastAsia="Arial" w:hAnsi="Arial"/>
          <w:sz w:val="19"/>
          <w:szCs w:val="19"/>
          <w:color w:val="auto"/>
        </w:rPr>
        <w:t>, as a Lender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Ajit Goswami</w:t>
      </w:r>
    </w:p>
    <w:p>
      <w:pPr>
        <w:spacing w:after="0" w:line="238" w:lineRule="auto"/>
        <w:rPr>
          <w:sz w:val="20"/>
          <w:szCs w:val="20"/>
          <w:color w:val="auto"/>
        </w:rPr>
      </w:pPr>
      <w:r>
        <w:rPr>
          <w:rFonts w:ascii="Arial" w:cs="Arial" w:eastAsia="Arial" w:hAnsi="Arial"/>
          <w:sz w:val="22"/>
          <w:szCs w:val="22"/>
          <w:color w:val="auto"/>
        </w:rPr>
        <w:t>Name: Ajit Goswami</w:t>
      </w:r>
    </w:p>
    <w:p>
      <w:pPr>
        <w:spacing w:after="0"/>
        <w:rPr>
          <w:sz w:val="20"/>
          <w:szCs w:val="20"/>
          <w:color w:val="auto"/>
        </w:rPr>
      </w:pPr>
      <w:r>
        <w:rPr>
          <w:rFonts w:ascii="Arial" w:cs="Arial" w:eastAsia="Arial" w:hAnsi="Arial"/>
          <w:sz w:val="22"/>
          <w:szCs w:val="22"/>
          <w:color w:val="auto"/>
        </w:rPr>
        <w:t>Title: Managing Director &amp; Industry Head</w:t>
      </w:r>
    </w:p>
    <w:p>
      <w:pPr>
        <w:sectPr>
          <w:pgSz w:w="11900" w:h="16838" w:orient="portrait"/>
          <w:cols w:equalWidth="0" w:num="1">
            <w:col w:w="10139"/>
          </w:cols>
          <w:pgMar w:left="320" w:top="1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900"/>
        <w:spacing w:after="0"/>
        <w:rPr>
          <w:sz w:val="20"/>
          <w:szCs w:val="20"/>
          <w:color w:val="auto"/>
        </w:rPr>
      </w:pPr>
      <w:r>
        <w:rPr>
          <w:rFonts w:ascii="Arial" w:cs="Arial" w:eastAsia="Arial" w:hAnsi="Arial"/>
          <w:sz w:val="13"/>
          <w:szCs w:val="13"/>
          <w:color w:val="auto"/>
        </w:rPr>
        <w:t>[Signature Page to Amendment No. 1 to Credit Agreement]</w:t>
      </w:r>
    </w:p>
    <w:p>
      <w:pPr>
        <w:sectPr>
          <w:pgSz w:w="11900" w:h="16838" w:orient="portrait"/>
          <w:cols w:equalWidth="0" w:num="1">
            <w:col w:w="10139"/>
          </w:cols>
          <w:pgMar w:left="320" w:top="1408" w:right="1440" w:bottom="1440" w:gutter="0" w:footer="0" w:header="0"/>
          <w:type w:val="continuous"/>
        </w:sectPr>
      </w:pPr>
    </w:p>
    <w:bookmarkStart w:id="220" w:name="page221"/>
    <w:bookmarkEnd w:id="220"/>
    <w:p>
      <w:pPr>
        <w:spacing w:after="0"/>
        <w:rPr>
          <w:sz w:val="20"/>
          <w:szCs w:val="20"/>
          <w:color w:val="auto"/>
        </w:rPr>
      </w:pPr>
      <w:r>
        <w:rPr>
          <w:rFonts w:ascii="Arial" w:cs="Arial" w:eastAsia="Arial" w:hAnsi="Arial"/>
          <w:sz w:val="21"/>
          <w:szCs w:val="21"/>
          <w:b w:val="1"/>
          <w:bCs w:val="1"/>
          <w:color w:val="auto"/>
        </w:rPr>
        <w:t>SUMITOMO MITSUI BANKING CORPORATION</w:t>
      </w:r>
      <w:r>
        <w:rPr>
          <w:rFonts w:ascii="Arial" w:cs="Arial" w:eastAsia="Arial" w:hAnsi="Arial"/>
          <w:sz w:val="21"/>
          <w:szCs w:val="21"/>
          <w:color w:val="auto"/>
        </w:rPr>
        <w:t>, as a Lender</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Michael Maguire</w:t>
      </w:r>
    </w:p>
    <w:p>
      <w:pPr>
        <w:spacing w:after="0" w:line="238" w:lineRule="auto"/>
        <w:rPr>
          <w:sz w:val="20"/>
          <w:szCs w:val="20"/>
          <w:color w:val="auto"/>
        </w:rPr>
      </w:pPr>
      <w:r>
        <w:rPr>
          <w:rFonts w:ascii="Arial" w:cs="Arial" w:eastAsia="Arial" w:hAnsi="Arial"/>
          <w:sz w:val="22"/>
          <w:szCs w:val="22"/>
          <w:color w:val="auto"/>
        </w:rPr>
        <w:t>Name: Michael Maguire</w:t>
      </w:r>
    </w:p>
    <w:p>
      <w:pPr>
        <w:spacing w:after="0"/>
        <w:rPr>
          <w:sz w:val="20"/>
          <w:szCs w:val="20"/>
          <w:color w:val="auto"/>
        </w:rPr>
      </w:pPr>
      <w:r>
        <w:rPr>
          <w:rFonts w:ascii="Arial" w:cs="Arial" w:eastAsia="Arial" w:hAnsi="Arial"/>
          <w:sz w:val="22"/>
          <w:szCs w:val="22"/>
          <w:color w:val="auto"/>
        </w:rPr>
        <w:t>Title: Managing Director</w:t>
      </w:r>
    </w:p>
    <w:p>
      <w:pPr>
        <w:sectPr>
          <w:pgSz w:w="11900" w:h="16838" w:orient="portrait"/>
          <w:cols w:equalWidth="0" w:num="1">
            <w:col w:w="10139"/>
          </w:cols>
          <w:pgMar w:left="320" w:top="1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900"/>
        <w:spacing w:after="0"/>
        <w:rPr>
          <w:sz w:val="20"/>
          <w:szCs w:val="20"/>
          <w:color w:val="auto"/>
        </w:rPr>
      </w:pPr>
      <w:r>
        <w:rPr>
          <w:rFonts w:ascii="Arial" w:cs="Arial" w:eastAsia="Arial" w:hAnsi="Arial"/>
          <w:sz w:val="13"/>
          <w:szCs w:val="13"/>
          <w:color w:val="auto"/>
        </w:rPr>
        <w:t>[Signature Page to Amendment No. 1 to Credit Agreement]</w:t>
      </w:r>
    </w:p>
    <w:p>
      <w:pPr>
        <w:sectPr>
          <w:pgSz w:w="11900" w:h="16838" w:orient="portrait"/>
          <w:cols w:equalWidth="0" w:num="1">
            <w:col w:w="10139"/>
          </w:cols>
          <w:pgMar w:left="320" w:top="1408" w:right="1440" w:bottom="1440" w:gutter="0" w:footer="0" w:header="0"/>
          <w:type w:val="continuous"/>
        </w:sectPr>
      </w:pPr>
    </w:p>
    <w:bookmarkStart w:id="221" w:name="page222"/>
    <w:bookmarkEnd w:id="221"/>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TRUIST BANK (as successor by merger to SunTrust Bank)</w:t>
      </w:r>
      <w:r>
        <w:rPr>
          <w:rFonts w:ascii="Arial" w:cs="Arial" w:eastAsia="Arial" w:hAnsi="Arial"/>
          <w:sz w:val="21"/>
          <w:szCs w:val="21"/>
          <w:color w:val="auto"/>
        </w:rPr>
        <w:t>, as a Lender</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Tesha Winslow</w:t>
      </w:r>
    </w:p>
    <w:p>
      <w:pPr>
        <w:spacing w:after="0" w:line="238" w:lineRule="auto"/>
        <w:rPr>
          <w:sz w:val="20"/>
          <w:szCs w:val="20"/>
          <w:color w:val="auto"/>
        </w:rPr>
      </w:pPr>
      <w:r>
        <w:rPr>
          <w:rFonts w:ascii="Arial" w:cs="Arial" w:eastAsia="Arial" w:hAnsi="Arial"/>
          <w:sz w:val="22"/>
          <w:szCs w:val="22"/>
          <w:color w:val="auto"/>
        </w:rPr>
        <w:t>Name: Tesha Winslow</w:t>
      </w:r>
    </w:p>
    <w:p>
      <w:pPr>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ind w:right="2799"/>
        <w:spacing w:after="0"/>
        <w:rPr>
          <w:sz w:val="20"/>
          <w:szCs w:val="20"/>
          <w:color w:val="auto"/>
        </w:rPr>
      </w:pPr>
      <w:r>
        <w:rPr>
          <w:rFonts w:ascii="Arial" w:cs="Arial" w:eastAsia="Arial" w:hAnsi="Arial"/>
          <w:sz w:val="14"/>
          <w:szCs w:val="14"/>
          <w:color w:val="auto"/>
        </w:rPr>
        <w:t>[Signature Page to Amendment No. 1 to Credit Agreement]</w:t>
      </w:r>
    </w:p>
    <w:p>
      <w:pPr>
        <w:sectPr>
          <w:pgSz w:w="11900" w:h="16838" w:orient="portrait"/>
          <w:cols w:equalWidth="0" w:num="1">
            <w:col w:w="10139"/>
          </w:cols>
          <w:pgMar w:left="320" w:top="1440" w:right="1440"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Matt Maddox, certify that:</w:t>
      </w:r>
    </w:p>
    <w:p>
      <w:pPr>
        <w:spacing w:after="0" w:line="90" w:lineRule="exact"/>
        <w:rPr>
          <w:sz w:val="20"/>
          <w:szCs w:val="20"/>
          <w:color w:val="auto"/>
        </w:rPr>
      </w:pPr>
    </w:p>
    <w:p>
      <w:pPr>
        <w:ind w:left="820" w:hanging="812"/>
        <w:spacing w:after="0"/>
        <w:tabs>
          <w:tab w:leader="none" w:pos="8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103" w:lineRule="exact"/>
        <w:rPr>
          <w:rFonts w:ascii="Arial" w:cs="Arial" w:eastAsia="Arial" w:hAnsi="Arial"/>
          <w:sz w:val="18"/>
          <w:szCs w:val="18"/>
          <w:color w:val="auto"/>
        </w:rPr>
      </w:pPr>
    </w:p>
    <w:p>
      <w:pPr>
        <w:ind w:left="820" w:right="20" w:hanging="812"/>
        <w:spacing w:after="0" w:line="263" w:lineRule="auto"/>
        <w:tabs>
          <w:tab w:leader="none" w:pos="8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820" w:right="180" w:hanging="812"/>
        <w:spacing w:after="0" w:line="308" w:lineRule="auto"/>
        <w:tabs>
          <w:tab w:leader="none" w:pos="82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20" w:right="140" w:hanging="812"/>
        <w:spacing w:after="0" w:line="291" w:lineRule="auto"/>
        <w:tabs>
          <w:tab w:leader="none" w:pos="82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89" w:lineRule="exact"/>
        <w:rPr>
          <w:rFonts w:ascii="Arial" w:cs="Arial" w:eastAsia="Arial" w:hAnsi="Arial"/>
          <w:sz w:val="16"/>
          <w:szCs w:val="16"/>
          <w:color w:val="auto"/>
        </w:rPr>
      </w:pPr>
    </w:p>
    <w:p>
      <w:pPr>
        <w:ind w:left="1620" w:right="20" w:hanging="802"/>
        <w:spacing w:after="0" w:line="286" w:lineRule="auto"/>
        <w:tabs>
          <w:tab w:leader="none" w:pos="161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7"/>
          <w:szCs w:val="17"/>
          <w:color w:val="auto"/>
        </w:rPr>
      </w:pPr>
    </w:p>
    <w:p>
      <w:pPr>
        <w:ind w:left="1620" w:right="80" w:hanging="802"/>
        <w:spacing w:after="0" w:line="263" w:lineRule="auto"/>
        <w:tabs>
          <w:tab w:leader="none" w:pos="162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1620" w:right="180" w:hanging="802"/>
        <w:spacing w:after="0" w:line="263" w:lineRule="auto"/>
        <w:tabs>
          <w:tab w:leader="none" w:pos="161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620" w:right="280" w:hanging="802"/>
        <w:spacing w:after="0" w:line="286" w:lineRule="auto"/>
        <w:tabs>
          <w:tab w:leader="none" w:pos="162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rFonts w:ascii="Arial" w:cs="Arial" w:eastAsia="Arial" w:hAnsi="Arial"/>
          <w:sz w:val="17"/>
          <w:szCs w:val="17"/>
          <w:color w:val="auto"/>
        </w:rPr>
      </w:pPr>
    </w:p>
    <w:p>
      <w:pPr>
        <w:ind w:left="820" w:right="100" w:hanging="812"/>
        <w:spacing w:after="0" w:line="334" w:lineRule="auto"/>
        <w:tabs>
          <w:tab w:leader="none" w:pos="82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620" w:right="140" w:hanging="802"/>
        <w:spacing w:after="0" w:line="342" w:lineRule="auto"/>
        <w:tabs>
          <w:tab w:leader="none" w:pos="161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620" w:right="420" w:hanging="802"/>
        <w:spacing w:after="0" w:line="277" w:lineRule="auto"/>
        <w:tabs>
          <w:tab w:leader="none" w:pos="162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May 8, 2020</w:t>
      </w:r>
    </w:p>
    <w:p>
      <w:pPr>
        <w:spacing w:after="0" w:line="158"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31750</wp:posOffset>
            </wp:positionV>
            <wp:extent cx="27514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Matt Maddox</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Director, Chief Executive Officer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985" w:right="3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Craig S. Billings, certify that:</w:t>
      </w:r>
    </w:p>
    <w:p>
      <w:pPr>
        <w:spacing w:after="0" w:line="90" w:lineRule="exact"/>
        <w:rPr>
          <w:sz w:val="20"/>
          <w:szCs w:val="20"/>
          <w:color w:val="auto"/>
        </w:rPr>
      </w:pPr>
    </w:p>
    <w:p>
      <w:pPr>
        <w:ind w:left="820" w:hanging="812"/>
        <w:spacing w:after="0"/>
        <w:tabs>
          <w:tab w:leader="none" w:pos="8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103" w:lineRule="exact"/>
        <w:rPr>
          <w:rFonts w:ascii="Arial" w:cs="Arial" w:eastAsia="Arial" w:hAnsi="Arial"/>
          <w:sz w:val="18"/>
          <w:szCs w:val="18"/>
          <w:color w:val="auto"/>
        </w:rPr>
      </w:pPr>
    </w:p>
    <w:p>
      <w:pPr>
        <w:ind w:left="820" w:right="20" w:hanging="812"/>
        <w:spacing w:after="0" w:line="263" w:lineRule="auto"/>
        <w:tabs>
          <w:tab w:leader="none" w:pos="8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820" w:right="180" w:hanging="812"/>
        <w:spacing w:after="0" w:line="308" w:lineRule="auto"/>
        <w:tabs>
          <w:tab w:leader="none" w:pos="82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20" w:right="140" w:hanging="812"/>
        <w:spacing w:after="0" w:line="291" w:lineRule="auto"/>
        <w:tabs>
          <w:tab w:leader="none" w:pos="82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89" w:lineRule="exact"/>
        <w:rPr>
          <w:rFonts w:ascii="Arial" w:cs="Arial" w:eastAsia="Arial" w:hAnsi="Arial"/>
          <w:sz w:val="16"/>
          <w:szCs w:val="16"/>
          <w:color w:val="auto"/>
        </w:rPr>
      </w:pPr>
    </w:p>
    <w:p>
      <w:pPr>
        <w:ind w:left="1620" w:right="20" w:hanging="802"/>
        <w:spacing w:after="0" w:line="286" w:lineRule="auto"/>
        <w:tabs>
          <w:tab w:leader="none" w:pos="1610" w:val="left"/>
        </w:tabs>
        <w:numPr>
          <w:ilvl w:val="1"/>
          <w:numId w:val="2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7"/>
          <w:szCs w:val="17"/>
          <w:color w:val="auto"/>
        </w:rPr>
      </w:pPr>
    </w:p>
    <w:p>
      <w:pPr>
        <w:ind w:left="1620" w:right="80" w:hanging="802"/>
        <w:spacing w:after="0" w:line="263" w:lineRule="auto"/>
        <w:tabs>
          <w:tab w:leader="none" w:pos="162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1620" w:right="180" w:hanging="802"/>
        <w:spacing w:after="0" w:line="263" w:lineRule="auto"/>
        <w:tabs>
          <w:tab w:leader="none" w:pos="161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620" w:right="280" w:hanging="802"/>
        <w:spacing w:after="0" w:line="286" w:lineRule="auto"/>
        <w:tabs>
          <w:tab w:leader="none" w:pos="1620" w:val="left"/>
        </w:tabs>
        <w:numPr>
          <w:ilvl w:val="1"/>
          <w:numId w:val="2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rFonts w:ascii="Arial" w:cs="Arial" w:eastAsia="Arial" w:hAnsi="Arial"/>
          <w:sz w:val="17"/>
          <w:szCs w:val="17"/>
          <w:color w:val="auto"/>
        </w:rPr>
      </w:pPr>
    </w:p>
    <w:p>
      <w:pPr>
        <w:ind w:left="820" w:right="100" w:hanging="812"/>
        <w:spacing w:after="0" w:line="334" w:lineRule="auto"/>
        <w:tabs>
          <w:tab w:leader="none" w:pos="82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620" w:right="140" w:hanging="802"/>
        <w:spacing w:after="0" w:line="342" w:lineRule="auto"/>
        <w:tabs>
          <w:tab w:leader="none" w:pos="1610" w:val="left"/>
        </w:tabs>
        <w:numPr>
          <w:ilvl w:val="1"/>
          <w:numId w:val="2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620" w:right="420" w:hanging="802"/>
        <w:spacing w:after="0" w:line="277" w:lineRule="auto"/>
        <w:tabs>
          <w:tab w:leader="none" w:pos="162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May 8, 2020</w:t>
      </w:r>
    </w:p>
    <w:p>
      <w:pPr>
        <w:spacing w:after="0" w:line="158"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31750</wp:posOffset>
            </wp:positionV>
            <wp:extent cx="27514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President, Chief Financial Officer and Treasurer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985" w:right="33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32</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104"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104"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4"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March 31, 2020 as filed with the Securities and Exchange Commission on the date hereof (the “Report”), Matt Maddox, as Chief Executive Officer of the Company, and Craig S. Billings, as Chief Financial Officer of the Company, each hereby certifies, pursuant to 18 U.S.C. Section 1350, as adopted pursuant to Section 906 of the Sarbanes-Oxley Act of 2002, that, to the best of their knowledge:</w:t>
      </w:r>
    </w:p>
    <w:p>
      <w:pPr>
        <w:spacing w:after="0" w:line="65" w:lineRule="exact"/>
        <w:rPr>
          <w:sz w:val="20"/>
          <w:szCs w:val="20"/>
          <w:color w:val="auto"/>
        </w:rPr>
      </w:pPr>
    </w:p>
    <w:p>
      <w:pPr>
        <w:ind w:left="660" w:hanging="652"/>
        <w:spacing w:after="0"/>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39344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3934460" cy="8890"/>
                    </a:xfrm>
                    <a:prstGeom prst="rect">
                      <a:avLst/>
                    </a:prstGeom>
                    <a:noFill/>
                  </pic:spPr>
                </pic:pic>
              </a:graphicData>
            </a:graphic>
          </wp:anchor>
        </w:drawing>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5340" w:type="dxa"/>
            <w:vAlign w:val="bottom"/>
          </w:tcPr>
          <w:p>
            <w:pPr>
              <w:ind w:left="380"/>
              <w:spacing w:after="0"/>
              <w:rPr>
                <w:sz w:val="20"/>
                <w:szCs w:val="20"/>
                <w:color w:val="auto"/>
              </w:rPr>
            </w:pPr>
            <w:r>
              <w:rPr>
                <w:rFonts w:ascii="Arial" w:cs="Arial" w:eastAsia="Arial" w:hAnsi="Arial"/>
                <w:sz w:val="18"/>
                <w:szCs w:val="18"/>
                <w:color w:val="auto"/>
              </w:rPr>
              <w:t>Matt Maddox</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5340" w:type="dxa"/>
            <w:vAlign w:val="bottom"/>
          </w:tcPr>
          <w:p>
            <w:pPr>
              <w:ind w:left="380"/>
              <w:spacing w:after="0"/>
              <w:rPr>
                <w:sz w:val="20"/>
                <w:szCs w:val="20"/>
                <w:color w:val="auto"/>
              </w:rPr>
            </w:pPr>
            <w:r>
              <w:rPr>
                <w:rFonts w:ascii="Arial" w:cs="Arial" w:eastAsia="Arial" w:hAnsi="Arial"/>
                <w:sz w:val="18"/>
                <w:szCs w:val="18"/>
                <w:color w:val="auto"/>
              </w:rPr>
              <w:t>Director, Chief Executive Officer</w:t>
            </w:r>
          </w:p>
        </w:tc>
      </w:tr>
      <w:tr>
        <w:trPr>
          <w:trHeight w:val="270"/>
        </w:trPr>
        <w:tc>
          <w:tcPr>
            <w:tcW w:w="860" w:type="dxa"/>
            <w:vAlign w:val="bottom"/>
          </w:tcPr>
          <w:p>
            <w:pPr>
              <w:spacing w:after="0"/>
              <w:rPr>
                <w:sz w:val="23"/>
                <w:szCs w:val="23"/>
                <w:color w:val="auto"/>
              </w:rPr>
            </w:pPr>
          </w:p>
        </w:tc>
        <w:tc>
          <w:tcPr>
            <w:tcW w:w="5340" w:type="dxa"/>
            <w:vAlign w:val="bottom"/>
          </w:tcPr>
          <w:p>
            <w:pPr>
              <w:ind w:left="380"/>
              <w:spacing w:after="0"/>
              <w:rPr>
                <w:sz w:val="20"/>
                <w:szCs w:val="20"/>
                <w:color w:val="auto"/>
              </w:rPr>
            </w:pPr>
            <w:r>
              <w:rPr>
                <w:rFonts w:ascii="Arial" w:cs="Arial" w:eastAsia="Arial" w:hAnsi="Arial"/>
                <w:sz w:val="18"/>
                <w:szCs w:val="18"/>
                <w:color w:val="auto"/>
              </w:rPr>
              <w:t>(Principal Executive Officer)</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Date:</w:t>
            </w:r>
          </w:p>
        </w:tc>
        <w:tc>
          <w:tcPr>
            <w:tcW w:w="5340" w:type="dxa"/>
            <w:vAlign w:val="bottom"/>
          </w:tcPr>
          <w:p>
            <w:pPr>
              <w:ind w:left="380"/>
              <w:spacing w:after="0"/>
              <w:rPr>
                <w:sz w:val="20"/>
                <w:szCs w:val="20"/>
                <w:color w:val="auto"/>
              </w:rPr>
            </w:pPr>
            <w:r>
              <w:rPr>
                <w:rFonts w:ascii="Arial" w:cs="Arial" w:eastAsia="Arial" w:hAnsi="Arial"/>
                <w:sz w:val="18"/>
                <w:szCs w:val="18"/>
                <w:color w:val="auto"/>
              </w:rPr>
              <w:t>May 8, 2020</w:t>
            </w:r>
          </w:p>
        </w:tc>
      </w:tr>
      <w:tr>
        <w:trPr>
          <w:trHeight w:val="648"/>
        </w:trPr>
        <w:tc>
          <w:tcPr>
            <w:tcW w:w="6200" w:type="dxa"/>
            <w:vAlign w:val="bottom"/>
            <w:gridSpan w:val="2"/>
          </w:tcPr>
          <w:p>
            <w:pPr>
              <w:spacing w:after="0"/>
              <w:rPr>
                <w:sz w:val="20"/>
                <w:szCs w:val="20"/>
                <w:color w:val="auto"/>
              </w:rPr>
            </w:pPr>
            <w:r>
              <w:rPr>
                <w:rFonts w:ascii="Arial" w:cs="Arial" w:eastAsia="Arial" w:hAnsi="Arial"/>
                <w:sz w:val="18"/>
                <w:szCs w:val="18"/>
                <w:color w:val="auto"/>
              </w:rPr>
              <w:t>/s/ Craig S. Billings</w:t>
            </w:r>
          </w:p>
        </w:tc>
      </w:tr>
      <w:tr>
        <w:trPr>
          <w:trHeight w:val="27"/>
        </w:trPr>
        <w:tc>
          <w:tcPr>
            <w:tcW w:w="860" w:type="dxa"/>
            <w:vAlign w:val="bottom"/>
            <w:tcBorders>
              <w:bottom w:val="single" w:sz="8" w:color="auto"/>
            </w:tcBorders>
          </w:tcPr>
          <w:p>
            <w:pPr>
              <w:spacing w:after="0"/>
              <w:rPr>
                <w:sz w:val="2"/>
                <w:szCs w:val="2"/>
                <w:color w:val="auto"/>
              </w:rPr>
            </w:pPr>
          </w:p>
        </w:tc>
        <w:tc>
          <w:tcPr>
            <w:tcW w:w="5340" w:type="dxa"/>
            <w:vAlign w:val="bottom"/>
            <w:tcBorders>
              <w:bottom w:val="single" w:sz="8" w:color="auto"/>
            </w:tcBorders>
          </w:tcPr>
          <w:p>
            <w:pPr>
              <w:spacing w:after="0"/>
              <w:rPr>
                <w:sz w:val="2"/>
                <w:szCs w:val="2"/>
                <w:color w:val="auto"/>
              </w:rPr>
            </w:pPr>
          </w:p>
        </w:tc>
      </w:tr>
      <w:tr>
        <w:trPr>
          <w:trHeight w:val="237"/>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5340" w:type="dxa"/>
            <w:vAlign w:val="bottom"/>
          </w:tcPr>
          <w:p>
            <w:pPr>
              <w:ind w:left="380"/>
              <w:spacing w:after="0"/>
              <w:rPr>
                <w:sz w:val="20"/>
                <w:szCs w:val="20"/>
                <w:color w:val="auto"/>
              </w:rPr>
            </w:pPr>
            <w:r>
              <w:rPr>
                <w:rFonts w:ascii="Arial" w:cs="Arial" w:eastAsia="Arial" w:hAnsi="Arial"/>
                <w:sz w:val="18"/>
                <w:szCs w:val="18"/>
                <w:color w:val="auto"/>
              </w:rPr>
              <w:t>Craig S. Billings</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5340" w:type="dxa"/>
            <w:vAlign w:val="bottom"/>
          </w:tcPr>
          <w:p>
            <w:pPr>
              <w:ind w:left="380"/>
              <w:spacing w:after="0"/>
              <w:rPr>
                <w:sz w:val="20"/>
                <w:szCs w:val="20"/>
                <w:color w:val="auto"/>
              </w:rPr>
            </w:pPr>
            <w:r>
              <w:rPr>
                <w:rFonts w:ascii="Arial" w:cs="Arial" w:eastAsia="Arial" w:hAnsi="Arial"/>
                <w:sz w:val="18"/>
                <w:szCs w:val="18"/>
                <w:color w:val="auto"/>
              </w:rPr>
              <w:t>President, Chief Financial Officer and Treasurer</w:t>
            </w:r>
          </w:p>
        </w:tc>
      </w:tr>
      <w:tr>
        <w:trPr>
          <w:trHeight w:val="270"/>
        </w:trPr>
        <w:tc>
          <w:tcPr>
            <w:tcW w:w="860" w:type="dxa"/>
            <w:vAlign w:val="bottom"/>
          </w:tcPr>
          <w:p>
            <w:pPr>
              <w:spacing w:after="0"/>
              <w:rPr>
                <w:sz w:val="23"/>
                <w:szCs w:val="23"/>
                <w:color w:val="auto"/>
              </w:rPr>
            </w:pPr>
          </w:p>
        </w:tc>
        <w:tc>
          <w:tcPr>
            <w:tcW w:w="5340" w:type="dxa"/>
            <w:vAlign w:val="bottom"/>
          </w:tcPr>
          <w:p>
            <w:pPr>
              <w:ind w:left="380"/>
              <w:spacing w:after="0"/>
              <w:rPr>
                <w:sz w:val="20"/>
                <w:szCs w:val="20"/>
                <w:color w:val="auto"/>
              </w:rPr>
            </w:pPr>
            <w:r>
              <w:rPr>
                <w:rFonts w:ascii="Arial" w:cs="Arial" w:eastAsia="Arial" w:hAnsi="Arial"/>
                <w:sz w:val="18"/>
                <w:szCs w:val="18"/>
                <w:color w:val="auto"/>
              </w:rPr>
              <w:t>(Principal Financial and Accounting Officer)</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Date:</w:t>
            </w:r>
          </w:p>
        </w:tc>
        <w:tc>
          <w:tcPr>
            <w:tcW w:w="5340" w:type="dxa"/>
            <w:vAlign w:val="bottom"/>
          </w:tcPr>
          <w:p>
            <w:pPr>
              <w:ind w:left="380"/>
              <w:spacing w:after="0"/>
              <w:rPr>
                <w:sz w:val="20"/>
                <w:szCs w:val="20"/>
                <w:color w:val="auto"/>
              </w:rPr>
            </w:pPr>
            <w:r>
              <w:rPr>
                <w:rFonts w:ascii="Arial" w:cs="Arial" w:eastAsia="Arial" w:hAnsi="Arial"/>
                <w:sz w:val="18"/>
                <w:szCs w:val="18"/>
                <w:color w:val="auto"/>
              </w:rPr>
              <w:t>May 8, 2020</w:t>
            </w:r>
          </w:p>
        </w:tc>
      </w:tr>
    </w:tbl>
    <w:p>
      <w:pPr>
        <w:spacing w:after="0" w:line="12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58FD05"/>
    <w:multiLevelType w:val="hybridMultilevel"/>
    <w:lvl w:ilvl="0">
      <w:lvlJc w:val="left"/>
      <w:lvlText w:val="☒"/>
      <w:numFmt w:val="bullet"/>
      <w:start w:val="1"/>
    </w:lvl>
  </w:abstractNum>
  <w:abstractNum w:abstractNumId="1">
    <w:nsid w:val="23D86AAC"/>
    <w:multiLevelType w:val="hybridMultilevel"/>
    <w:lvl w:ilvl="0">
      <w:lvlJc w:val="left"/>
      <w:lvlText w:val="☐"/>
      <w:numFmt w:val="bullet"/>
      <w:start w:val="1"/>
    </w:lvl>
  </w:abstractNum>
  <w:abstractNum w:abstractNumId="2">
    <w:nsid w:val="45E6D486"/>
    <w:multiLevelType w:val="hybridMultilevel"/>
    <w:lvl w:ilvl="0">
      <w:lvlJc w:val="left"/>
      <w:lvlText w:val="(%1)"/>
      <w:numFmt w:val="decimal"/>
      <w:start w:val="1"/>
    </w:lvl>
  </w:abstractNum>
  <w:abstractNum w:abstractNumId="3">
    <w:nsid w:val="5C10FE21"/>
    <w:multiLevelType w:val="hybridMultilevel"/>
    <w:lvl w:ilvl="0">
      <w:lvlJc w:val="left"/>
      <w:lvlText w:val="(%1)"/>
      <w:numFmt w:val="decimal"/>
      <w:start w:val="1"/>
    </w:lvl>
  </w:abstractNum>
  <w:abstractNum w:abstractNumId="4">
    <w:nsid w:val="E7FFA2B"/>
    <w:multiLevelType w:val="hybridMultilevel"/>
    <w:lvl w:ilvl="0">
      <w:lvlJc w:val="left"/>
      <w:lvlText w:val="(%1)"/>
      <w:numFmt w:val="decimal"/>
      <w:start w:val="1"/>
    </w:lvl>
  </w:abstractNum>
  <w:abstractNum w:abstractNumId="5">
    <w:nsid w:val="3C5991AA"/>
    <w:multiLevelType w:val="hybridMultilevel"/>
    <w:lvl w:ilvl="0">
      <w:lvlJc w:val="left"/>
      <w:lvlText w:val="(%1)"/>
      <w:numFmt w:val="decimal"/>
      <w:start w:val="1"/>
    </w:lvl>
  </w:abstractNum>
  <w:abstractNum w:abstractNumId="6">
    <w:nsid w:val="4BD8591A"/>
    <w:multiLevelType w:val="hybridMultilevel"/>
    <w:lvl w:ilvl="0">
      <w:lvlJc w:val="left"/>
      <w:lvlText w:val="(%1)"/>
      <w:numFmt w:val="decimal"/>
      <w:start w:val="1"/>
    </w:lvl>
  </w:abstractNum>
  <w:abstractNum w:abstractNumId="7">
    <w:nsid w:val="78DF6A55"/>
    <w:multiLevelType w:val="hybridMultilevel"/>
    <w:lvl w:ilvl="0">
      <w:lvlJc w:val="left"/>
      <w:lvlText w:val="•"/>
      <w:numFmt w:val="bullet"/>
      <w:start w:val="1"/>
    </w:lvl>
  </w:abstractNum>
  <w:abstractNum w:abstractNumId="8">
    <w:nsid w:val="39B7AAA2"/>
    <w:multiLevelType w:val="hybridMultilevel"/>
    <w:lvl w:ilvl="0">
      <w:lvlJc w:val="left"/>
      <w:lvlText w:val="(%1)"/>
      <w:numFmt w:val="decimal"/>
      <w:start w:val="1"/>
    </w:lvl>
  </w:abstractNum>
  <w:abstractNum w:abstractNumId="9">
    <w:nsid w:val="2B0D8DBE"/>
    <w:multiLevelType w:val="hybridMultilevel"/>
    <w:lvl w:ilvl="0">
      <w:lvlJc w:val="left"/>
      <w:lvlText w:val="•"/>
      <w:numFmt w:val="bullet"/>
      <w:start w:val="1"/>
    </w:lvl>
  </w:abstractNum>
  <w:abstractNum w:abstractNumId="10">
    <w:nsid w:val="6C80EC70"/>
    <w:multiLevelType w:val="hybridMultilevel"/>
    <w:lvl w:ilvl="0">
      <w:lvlJc w:val="left"/>
      <w:lvlText w:val="•"/>
      <w:numFmt w:val="bullet"/>
      <w:start w:val="1"/>
    </w:lvl>
  </w:abstractNum>
  <w:abstractNum w:abstractNumId="11">
    <w:nsid w:val="379E21B5"/>
    <w:multiLevelType w:val="hybridMultilevel"/>
    <w:lvl w:ilvl="0">
      <w:lvlJc w:val="left"/>
      <w:lvlText w:val="(%1)"/>
      <w:numFmt w:val="lowerLetter"/>
      <w:start w:val="1"/>
    </w:lvl>
  </w:abstractNum>
  <w:abstractNum w:abstractNumId="12">
    <w:nsid w:val="69E373"/>
    <w:multiLevelType w:val="hybridMultilevel"/>
    <w:lvl w:ilvl="0">
      <w:lvlJc w:val="left"/>
      <w:lvlText w:val="%1"/>
      <w:numFmt w:val="decimal"/>
      <w:start w:val="101"/>
    </w:lvl>
  </w:abstractNum>
  <w:abstractNum w:abstractNumId="13">
    <w:nsid w:val="2C27173B"/>
    <w:multiLevelType w:val="hybridMultilevel"/>
    <w:lvl w:ilvl="0">
      <w:lvlJc w:val="left"/>
      <w:lvlText w:val="(%1)"/>
      <w:numFmt w:val="decimal"/>
      <w:start w:val="1"/>
    </w:lvl>
  </w:abstractNum>
  <w:abstractNum w:abstractNumId="14">
    <w:nsid w:val="4C9B0904"/>
    <w:multiLevelType w:val="hybridMultilevel"/>
    <w:lvl w:ilvl="0">
      <w:lvlJc w:val="left"/>
      <w:lvlText w:val="(%1)"/>
      <w:numFmt w:val="decimal"/>
      <w:start w:val="1"/>
    </w:lvl>
  </w:abstractNum>
  <w:abstractNum w:abstractNumId="15">
    <w:nsid w:val="6AA7B75C"/>
    <w:multiLevelType w:val="hybridMultilevel"/>
    <w:lvl w:ilvl="0">
      <w:lvlJc w:val="left"/>
      <w:lvlText w:val="(%1)"/>
      <w:numFmt w:val="decimal"/>
      <w:start w:val="3"/>
    </w:lvl>
  </w:abstractNum>
  <w:abstractNum w:abstractNumId="16">
    <w:nsid w:val="1DF029D3"/>
    <w:multiLevelType w:val="hybridMultilevel"/>
    <w:lvl w:ilvl="0">
      <w:lvlJc w:val="left"/>
      <w:lvlText w:val="(%1)"/>
      <w:numFmt w:val="decimal"/>
      <w:start w:val="2"/>
    </w:lvl>
  </w:abstractNum>
  <w:abstractNum w:abstractNumId="17">
    <w:nsid w:val="5675FF36"/>
    <w:multiLevelType w:val="hybridMultilevel"/>
    <w:lvl w:ilvl="0">
      <w:lvlJc w:val="left"/>
      <w:lvlText w:val="(%1)"/>
      <w:numFmt w:val="decimal"/>
      <w:start w:val="1"/>
    </w:lvl>
  </w:abstractNum>
  <w:abstractNum w:abstractNumId="18">
    <w:nsid w:val="3DD15094"/>
    <w:multiLevelType w:val="hybridMultilevel"/>
    <w:lvl w:ilvl="0">
      <w:lvlJc w:val="left"/>
      <w:lvlText w:val="(%1)"/>
      <w:numFmt w:val="decimal"/>
      <w:start w:val="2"/>
    </w:lvl>
  </w:abstractNum>
  <w:abstractNum w:abstractNumId="19">
    <w:nsid w:val="3DB012B3"/>
    <w:multiLevelType w:val="hybridMultilevel"/>
    <w:lvl w:ilvl="0">
      <w:lvlJc w:val="left"/>
      <w:lvlText w:val="(%1)"/>
      <w:numFmt w:val="lowerLetter"/>
      <w:start w:val="1"/>
    </w:lvl>
  </w:abstractNum>
  <w:abstractNum w:abstractNumId="20">
    <w:nsid w:val="2708C9AF"/>
    <w:multiLevelType w:val="hybridMultilevel"/>
    <w:lvl w:ilvl="0">
      <w:lvlJc w:val="left"/>
      <w:lvlText w:val="(%1)"/>
      <w:numFmt w:val="lowerRoman"/>
      <w:start w:val="1"/>
    </w:lvl>
  </w:abstractNum>
  <w:abstractNum w:abstractNumId="21">
    <w:nsid w:val="5B25ACE2"/>
    <w:multiLevelType w:val="hybridMultilevel"/>
    <w:lvl w:ilvl="0">
      <w:lvlJc w:val="left"/>
      <w:lvlText w:val="(%1)"/>
      <w:numFmt w:val="lowerRoman"/>
      <w:start w:val="9"/>
    </w:lvl>
  </w:abstractNum>
  <w:abstractNum w:abstractNumId="22">
    <w:nsid w:val="175DFCF0"/>
    <w:multiLevelType w:val="hybridMultilevel"/>
    <w:lvl w:ilvl="0">
      <w:lvlJc w:val="left"/>
      <w:lvlText w:val="(%1)"/>
      <w:numFmt w:val="lowerRoman"/>
      <w:start w:val="1"/>
    </w:lvl>
  </w:abstractNum>
  <w:abstractNum w:abstractNumId="23">
    <w:nsid w:val="4F97E3E4"/>
    <w:multiLevelType w:val="hybridMultilevel"/>
    <w:lvl w:ilvl="0">
      <w:lvlJc w:val="left"/>
      <w:lvlText w:val="(%1)"/>
      <w:numFmt w:val="lowerLetter"/>
      <w:start w:val="3"/>
    </w:lvl>
  </w:abstractNum>
  <w:abstractNum w:abstractNumId="24">
    <w:nsid w:val="53B0A9E"/>
    <w:multiLevelType w:val="hybridMultilevel"/>
    <w:lvl w:ilvl="0">
      <w:lvlJc w:val="left"/>
      <w:lvlText w:val="(%1)"/>
      <w:numFmt w:val="lowerLetter"/>
      <w:start w:val="5"/>
    </w:lvl>
  </w:abstractNum>
  <w:abstractNum w:abstractNumId="25">
    <w:nsid w:val="34FD6B4F"/>
    <w:multiLevelType w:val="hybridMultilevel"/>
    <w:lvl w:ilvl="0">
      <w:lvlJc w:val="left"/>
      <w:lvlText w:val="(%1)"/>
      <w:numFmt w:val="upperLetter"/>
      <w:start w:val="1"/>
    </w:lvl>
  </w:abstractNum>
  <w:abstractNum w:abstractNumId="26">
    <w:nsid w:val="5915FF32"/>
    <w:multiLevelType w:val="hybridMultilevel"/>
    <w:lvl w:ilvl="0">
      <w:lvlJc w:val="left"/>
      <w:lvlText w:val="(%1)"/>
      <w:numFmt w:val="upperLetter"/>
      <w:start w:val="5"/>
    </w:lvl>
  </w:abstractNum>
  <w:abstractNum w:abstractNumId="27">
    <w:nsid w:val="56438D15"/>
    <w:multiLevelType w:val="hybridMultilevel"/>
    <w:lvl w:ilvl="0">
      <w:lvlJc w:val="left"/>
      <w:lvlText w:val="%1"/>
      <w:numFmt w:val="lowerLetter"/>
      <w:start w:val="1"/>
    </w:lvl>
    <w:lvl w:ilvl="1">
      <w:lvlJc w:val="left"/>
      <w:lvlText w:val="(%2)"/>
      <w:numFmt w:val="lowerLetter"/>
      <w:start w:val="1"/>
    </w:lvl>
  </w:abstractNum>
  <w:abstractNum w:abstractNumId="28">
    <w:nsid w:val="519E3149"/>
    <w:multiLevelType w:val="hybridMultilevel"/>
    <w:lvl w:ilvl="0">
      <w:lvlJc w:val="left"/>
      <w:lvlText w:val="(%1)"/>
      <w:numFmt w:val="lowerLetter"/>
      <w:start w:val="35"/>
    </w:lvl>
    <w:lvl w:ilvl="1">
      <w:lvlJc w:val="left"/>
      <w:lvlText w:val="(%2)"/>
      <w:numFmt w:val="lowerLetter"/>
      <w:start w:val="2"/>
    </w:lvl>
  </w:abstractNum>
  <w:abstractNum w:abstractNumId="29">
    <w:nsid w:val="2C6E4AFD"/>
    <w:multiLevelType w:val="hybridMultilevel"/>
    <w:lvl w:ilvl="0">
      <w:lvlJc w:val="left"/>
      <w:lvlText w:val="(%1)"/>
      <w:numFmt w:val="lowerLetter"/>
      <w:start w:val="61"/>
    </w:lvl>
    <w:lvl w:ilvl="1">
      <w:lvlJc w:val="left"/>
      <w:lvlText w:val="%2"/>
      <w:numFmt w:val="lowerLetter"/>
      <w:start w:val="1"/>
    </w:lvl>
  </w:abstractNum>
  <w:abstractNum w:abstractNumId="30">
    <w:nsid w:val="17A1B582"/>
    <w:multiLevelType w:val="hybridMultilevel"/>
    <w:lvl w:ilvl="0">
      <w:lvlJc w:val="left"/>
      <w:lvlText w:val="(%1)"/>
      <w:numFmt w:val="lowerLetter"/>
      <w:start w:val="4"/>
    </w:lvl>
  </w:abstractNum>
  <w:abstractNum w:abstractNumId="31">
    <w:nsid w:val="4DF72E4E"/>
    <w:multiLevelType w:val="hybridMultilevel"/>
    <w:lvl w:ilvl="0">
      <w:lvlJc w:val="left"/>
      <w:lvlText w:val="(%1)"/>
      <w:numFmt w:val="lowerLetter"/>
      <w:start w:val="10"/>
    </w:lvl>
  </w:abstractNum>
  <w:abstractNum w:abstractNumId="32">
    <w:nsid w:val="5046B5A9"/>
    <w:multiLevelType w:val="hybridMultilevel"/>
    <w:lvl w:ilvl="0">
      <w:lvlJc w:val="left"/>
      <w:lvlText w:val="(%1)"/>
      <w:numFmt w:val="decimal"/>
      <w:start w:val="2"/>
    </w:lvl>
  </w:abstractNum>
  <w:abstractNum w:abstractNumId="33">
    <w:nsid w:val="5D888A08"/>
    <w:multiLevelType w:val="hybridMultilevel"/>
    <w:lvl w:ilvl="0">
      <w:lvlJc w:val="left"/>
      <w:lvlText w:val="(%1)"/>
      <w:numFmt w:val="decimal"/>
      <w:start w:val="1"/>
    </w:lvl>
  </w:abstractNum>
  <w:abstractNum w:abstractNumId="34">
    <w:nsid w:val="2A082C70"/>
    <w:multiLevelType w:val="hybridMultilevel"/>
    <w:lvl w:ilvl="0">
      <w:lvlJc w:val="left"/>
      <w:lvlText w:val="(%1)"/>
      <w:numFmt w:val="decimal"/>
      <w:start w:val="1"/>
    </w:lvl>
  </w:abstractNum>
  <w:abstractNum w:abstractNumId="35">
    <w:nsid w:val="5EC6AFD4"/>
    <w:multiLevelType w:val="hybridMultilevel"/>
    <w:lvl w:ilvl="0">
      <w:lvlJc w:val="left"/>
      <w:lvlText w:val="(%1)"/>
      <w:numFmt w:val="decimal"/>
      <w:start w:val="1"/>
    </w:lvl>
  </w:abstractNum>
  <w:abstractNum w:abstractNumId="36">
    <w:nsid w:val="19E21BB2"/>
    <w:multiLevelType w:val="hybridMultilevel"/>
    <w:lvl w:ilvl="0">
      <w:lvlJc w:val="left"/>
      <w:lvlText w:val="(%1)"/>
      <w:numFmt w:val="decimal"/>
      <w:start w:val="6"/>
    </w:lvl>
  </w:abstractNum>
  <w:abstractNum w:abstractNumId="37">
    <w:nsid w:val="75E0858A"/>
    <w:multiLevelType w:val="hybridMultilevel"/>
    <w:lvl w:ilvl="0">
      <w:lvlJc w:val="left"/>
      <w:lvlText w:val="(%1)"/>
      <w:numFmt w:val="decimal"/>
      <w:start w:val="1"/>
    </w:lvl>
  </w:abstractNum>
  <w:abstractNum w:abstractNumId="38">
    <w:nsid w:val="57A61A29"/>
    <w:multiLevelType w:val="hybridMultilevel"/>
    <w:lvl w:ilvl="0">
      <w:lvlJc w:val="left"/>
      <w:lvlText w:val="(%1)"/>
      <w:numFmt w:val="decimal"/>
      <w:start w:val="3"/>
    </w:lvl>
  </w:abstractNum>
  <w:abstractNum w:abstractNumId="39">
    <w:nsid w:val="5399C654"/>
    <w:multiLevelType w:val="hybridMultilevel"/>
    <w:lvl w:ilvl="0">
      <w:lvlJc w:val="left"/>
      <w:lvlText w:val="(%1)"/>
      <w:numFmt w:val="lowerLetter"/>
      <w:start w:val="1"/>
    </w:lvl>
  </w:abstractNum>
  <w:abstractNum w:abstractNumId="40">
    <w:nsid w:val="20EE1348"/>
    <w:multiLevelType w:val="hybridMultilevel"/>
    <w:lvl w:ilvl="0">
      <w:lvlJc w:val="left"/>
      <w:lvlText w:val="(%1)"/>
      <w:numFmt w:val="lowerRoman"/>
      <w:start w:val="3"/>
    </w:lvl>
  </w:abstractNum>
  <w:abstractNum w:abstractNumId="41">
    <w:nsid w:val="4427069A"/>
    <w:multiLevelType w:val="hybridMultilevel"/>
    <w:lvl w:ilvl="0">
      <w:lvlJc w:val="left"/>
      <w:lvlText w:val="(%1)"/>
      <w:numFmt w:val="decimal"/>
      <w:start w:val="1"/>
    </w:lvl>
  </w:abstractNum>
  <w:abstractNum w:abstractNumId="42">
    <w:nsid w:val="B37E80A"/>
    <w:multiLevelType w:val="hybridMultilevel"/>
    <w:lvl w:ilvl="0">
      <w:lvlJc w:val="left"/>
      <w:lvlText w:val="(%1)"/>
      <w:numFmt w:val="decimal"/>
      <w:start w:val="1"/>
    </w:lvl>
  </w:abstractNum>
  <w:abstractNum w:abstractNumId="43">
    <w:nsid w:val="2157F6BC"/>
    <w:multiLevelType w:val="hybridMultilevel"/>
    <w:lvl w:ilvl="0">
      <w:lvlJc w:val="left"/>
      <w:lvlText w:val="(%1)"/>
      <w:numFmt w:val="decimal"/>
      <w:start w:val="1"/>
    </w:lvl>
  </w:abstractNum>
  <w:abstractNum w:abstractNumId="44">
    <w:nsid w:val="704E1DD5"/>
    <w:multiLevelType w:val="hybridMultilevel"/>
    <w:lvl w:ilvl="0">
      <w:lvlJc w:val="left"/>
      <w:lvlText w:val="(%1)"/>
      <w:numFmt w:val="decimal"/>
      <w:start w:val="4"/>
    </w:lvl>
  </w:abstractNum>
  <w:abstractNum w:abstractNumId="45">
    <w:nsid w:val="57D2F10E"/>
    <w:multiLevelType w:val="hybridMultilevel"/>
    <w:lvl w:ilvl="0">
      <w:lvlJc w:val="left"/>
      <w:lvlText w:val="(%1)"/>
      <w:numFmt w:val="decimal"/>
      <w:start w:val="1"/>
    </w:lvl>
  </w:abstractNum>
  <w:abstractNum w:abstractNumId="46">
    <w:nsid w:val="BFFAE18"/>
    <w:multiLevelType w:val="hybridMultilevel"/>
    <w:lvl w:ilvl="0">
      <w:lvlJc w:val="left"/>
      <w:lvlText w:val="(%1)"/>
      <w:numFmt w:val="decimal"/>
      <w:start w:val="2"/>
    </w:lvl>
  </w:abstractNum>
  <w:abstractNum w:abstractNumId="47">
    <w:nsid w:val="E3E47A8"/>
    <w:multiLevelType w:val="hybridMultilevel"/>
    <w:lvl w:ilvl="0">
      <w:lvlJc w:val="left"/>
      <w:lvlText w:val="(%1)"/>
      <w:numFmt w:val="decimal"/>
      <w:start w:val="1"/>
    </w:lvl>
  </w:abstractNum>
  <w:abstractNum w:abstractNumId="48">
    <w:nsid w:val="2E48F044"/>
    <w:multiLevelType w:val="hybridMultilevel"/>
    <w:lvl w:ilvl="0">
      <w:lvlJc w:val="left"/>
      <w:lvlText w:val="(%1)"/>
      <w:numFmt w:val="decimal"/>
      <w:start w:val="1"/>
    </w:lvl>
  </w:abstractNum>
  <w:abstractNum w:abstractNumId="49">
    <w:nsid w:val="49D0FEAC"/>
    <w:multiLevelType w:val="hybridMultilevel"/>
    <w:lvl w:ilvl="0">
      <w:lvlJc w:val="left"/>
      <w:lvlText w:val="(%1)"/>
      <w:numFmt w:val="lowerLetter"/>
      <w:start w:val="1"/>
    </w:lvl>
  </w:abstractNum>
  <w:abstractNum w:abstractNumId="50">
    <w:nsid w:val="4BEE5A5B"/>
    <w:multiLevelType w:val="hybridMultilevel"/>
    <w:lvl w:ilvl="0">
      <w:lvlJc w:val="left"/>
      <w:lvlText w:val="(%1)"/>
      <w:numFmt w:val="lowerLetter"/>
      <w:start w:val="2"/>
    </w:lvl>
  </w:abstractNum>
  <w:abstractNum w:abstractNumId="51">
    <w:nsid w:val="5551B9F3"/>
    <w:multiLevelType w:val="hybridMultilevel"/>
    <w:lvl w:ilvl="0">
      <w:lvlJc w:val="left"/>
      <w:lvlText w:val="(%1)"/>
      <w:numFmt w:val="decimal"/>
      <w:start w:val="1"/>
    </w:lvl>
  </w:abstractNum>
  <w:abstractNum w:abstractNumId="52">
    <w:nsid w:val="24F6AB8E"/>
    <w:multiLevelType w:val="hybridMultilevel"/>
    <w:lvl w:ilvl="0">
      <w:lvlJc w:val="left"/>
      <w:lvlText w:val="(%1)"/>
      <w:numFmt w:val="lowerLetter"/>
      <w:start w:val="4"/>
    </w:lvl>
  </w:abstractNum>
  <w:abstractNum w:abstractNumId="53">
    <w:nsid w:val="634C574C"/>
    <w:multiLevelType w:val="hybridMultilevel"/>
    <w:lvl w:ilvl="0">
      <w:lvlJc w:val="left"/>
      <w:lvlText w:val="(%1)"/>
      <w:numFmt w:val="lowerLetter"/>
      <w:start w:val="1"/>
    </w:lvl>
  </w:abstractNum>
  <w:abstractNum w:abstractNumId="54">
    <w:nsid w:val="24E99DD7"/>
    <w:multiLevelType w:val="hybridMultilevel"/>
    <w:lvl w:ilvl="0">
      <w:lvlJc w:val="left"/>
      <w:lvlText w:val="%1"/>
      <w:numFmt w:val="upperLetter"/>
      <w:start w:val="1"/>
    </w:lvl>
    <w:lvl w:ilvl="1">
      <w:lvlJc w:val="left"/>
      <w:lvlText w:val="(%2)"/>
      <w:numFmt w:val="decimal"/>
      <w:start w:val="1"/>
    </w:lvl>
  </w:abstractNum>
  <w:abstractNum w:abstractNumId="55">
    <w:nsid w:val="2A31B62D"/>
    <w:multiLevelType w:val="hybridMultilevel"/>
    <w:lvl w:ilvl="0">
      <w:lvlJc w:val="left"/>
      <w:lvlText w:val="(%1)"/>
      <w:numFmt w:val="upperLetter"/>
      <w:start w:val="2"/>
    </w:lvl>
    <w:lvl w:ilvl="1">
      <w:lvlJc w:val="left"/>
      <w:lvlText w:val="(%2)"/>
      <w:numFmt w:val="decimal"/>
      <w:start w:val="3"/>
    </w:lvl>
  </w:abstractNum>
  <w:abstractNum w:abstractNumId="56">
    <w:nsid w:val="1849C29B"/>
    <w:multiLevelType w:val="hybridMultilevel"/>
    <w:lvl w:ilvl="0">
      <w:lvlJc w:val="left"/>
      <w:lvlText w:val="(%1)"/>
      <w:numFmt w:val="lowerLetter"/>
      <w:start w:val="2"/>
    </w:lvl>
  </w:abstractNum>
  <w:abstractNum w:abstractNumId="57">
    <w:nsid w:val="7DFF9D09"/>
    <w:multiLevelType w:val="hybridMultilevel"/>
    <w:lvl w:ilvl="0">
      <w:lvlJc w:val="left"/>
      <w:lvlText w:val="(%1)"/>
      <w:numFmt w:val="decimal"/>
      <w:start w:val="1"/>
    </w:lvl>
  </w:abstractNum>
  <w:abstractNum w:abstractNumId="58">
    <w:nsid w:val="754342"/>
    <w:multiLevelType w:val="hybridMultilevel"/>
    <w:lvl w:ilvl="0">
      <w:lvlJc w:val="left"/>
      <w:lvlText w:val="(%1)"/>
      <w:numFmt w:val="decimal"/>
      <w:start w:val="2"/>
    </w:lvl>
  </w:abstractNum>
  <w:abstractNum w:abstractNumId="59">
    <w:nsid w:val="69E7F3E5"/>
    <w:multiLevelType w:val="hybridMultilevel"/>
    <w:lvl w:ilvl="0">
      <w:lvlJc w:val="left"/>
      <w:lvlText w:val="(%1)"/>
      <w:numFmt w:val="lowerRoman"/>
      <w:start w:val="1"/>
    </w:lvl>
  </w:abstractNum>
  <w:abstractNum w:abstractNumId="60">
    <w:nsid w:val="2A6DE806"/>
    <w:multiLevelType w:val="hybridMultilevel"/>
    <w:lvl w:ilvl="0">
      <w:lvlJc w:val="left"/>
      <w:lvlText w:val="(%1)"/>
      <w:numFmt w:val="lowerRoman"/>
      <w:start w:val="1"/>
    </w:lvl>
  </w:abstractNum>
  <w:abstractNum w:abstractNumId="61">
    <w:nsid w:val="1816F8C4"/>
    <w:multiLevelType w:val="hybridMultilevel"/>
    <w:lvl w:ilvl="0">
      <w:lvlJc w:val="left"/>
      <w:lvlText w:val="(%1)"/>
      <w:numFmt w:val="decimal"/>
      <w:start w:val="3"/>
    </w:lvl>
  </w:abstractNum>
  <w:abstractNum w:abstractNumId="62">
    <w:nsid w:val="37DF2233"/>
    <w:multiLevelType w:val="hybridMultilevel"/>
    <w:lvl w:ilvl="0">
      <w:lvlJc w:val="left"/>
      <w:lvlText w:val="(%1)"/>
      <w:numFmt w:val="upperLetter"/>
      <w:start w:val="1"/>
    </w:lvl>
  </w:abstractNum>
  <w:abstractNum w:abstractNumId="63">
    <w:nsid w:val="7AB49DAF"/>
    <w:multiLevelType w:val="hybridMultilevel"/>
    <w:lvl w:ilvl="0">
      <w:lvlJc w:val="left"/>
      <w:lvlText w:val="(%1)"/>
      <w:numFmt w:val="upperLetter"/>
      <w:start w:val="3"/>
    </w:lvl>
  </w:abstractNum>
  <w:abstractNum w:abstractNumId="64">
    <w:nsid w:val="759F82CD"/>
    <w:multiLevelType w:val="hybridMultilevel"/>
    <w:lvl w:ilvl="0">
      <w:lvlJc w:val="left"/>
      <w:lvlText w:val="(%1)"/>
      <w:numFmt w:val="decimal"/>
      <w:start w:val="4"/>
    </w:lvl>
  </w:abstractNum>
  <w:abstractNum w:abstractNumId="65">
    <w:nsid w:val="61E74EA3"/>
    <w:multiLevelType w:val="hybridMultilevel"/>
    <w:lvl w:ilvl="0">
      <w:lvlJc w:val="left"/>
      <w:lvlText w:val="(%1)"/>
      <w:numFmt w:val="upperLetter"/>
      <w:start w:val="1"/>
    </w:lvl>
  </w:abstractNum>
  <w:abstractNum w:abstractNumId="66">
    <w:nsid w:val="597B4D84"/>
    <w:multiLevelType w:val="hybridMultilevel"/>
    <w:lvl w:ilvl="0">
      <w:lvlJc w:val="left"/>
      <w:lvlText w:val="(%1)"/>
      <w:numFmt w:val="decimal"/>
      <w:start w:val="1"/>
    </w:lvl>
  </w:abstractNum>
  <w:abstractNum w:abstractNumId="67">
    <w:nsid w:val="F819E7F"/>
    <w:multiLevelType w:val="hybridMultilevel"/>
    <w:lvl w:ilvl="0">
      <w:lvlJc w:val="left"/>
      <w:lvlText w:val="%1"/>
      <w:numFmt w:val="lowerLetter"/>
      <w:start w:val="1"/>
    </w:lvl>
    <w:lvl w:ilvl="1">
      <w:lvlJc w:val="left"/>
      <w:lvlText w:val="(%2)"/>
      <w:numFmt w:val="upperLetter"/>
      <w:start w:val="1"/>
    </w:lvl>
  </w:abstractNum>
  <w:abstractNum w:abstractNumId="68">
    <w:nsid w:val="57C7D42D"/>
    <w:multiLevelType w:val="hybridMultilevel"/>
    <w:lvl w:ilvl="0">
      <w:lvlJc w:val="left"/>
      <w:lvlText w:val="(%1)"/>
      <w:numFmt w:val="lowerLetter"/>
      <w:start w:val="1"/>
    </w:lvl>
    <w:lvl w:ilvl="1">
      <w:lvlJc w:val="left"/>
      <w:lvlText w:val="(%2)"/>
      <w:numFmt w:val="upperLetter"/>
      <w:start w:val="2"/>
    </w:lvl>
  </w:abstractNum>
  <w:abstractNum w:abstractNumId="69">
    <w:nsid w:val="312167AD"/>
    <w:multiLevelType w:val="hybridMultilevel"/>
    <w:lvl w:ilvl="0">
      <w:lvlJc w:val="left"/>
      <w:lvlText w:val="%1"/>
      <w:numFmt w:val="upperLetter"/>
      <w:start w:val="1"/>
    </w:lvl>
    <w:lvl w:ilvl="1">
      <w:lvlJc w:val="left"/>
      <w:lvlText w:val="(%2)"/>
      <w:numFmt w:val="decimal"/>
      <w:start w:val="2"/>
    </w:lvl>
  </w:abstractNum>
  <w:abstractNum w:abstractNumId="70">
    <w:nsid w:val="631B64D4"/>
    <w:multiLevelType w:val="hybridMultilevel"/>
    <w:lvl w:ilvl="0">
      <w:lvlJc w:val="left"/>
      <w:lvlText w:val="(%1)"/>
      <w:numFmt w:val="upperLetter"/>
      <w:start w:val="1"/>
    </w:lvl>
    <w:lvl w:ilvl="1">
      <w:lvlJc w:val="left"/>
      <w:lvlText w:val="%2"/>
      <w:numFmt w:val="decimal"/>
      <w:start w:val="1"/>
    </w:lvl>
  </w:abstractNum>
  <w:abstractNum w:abstractNumId="71">
    <w:nsid w:val="78B5E776"/>
    <w:multiLevelType w:val="hybridMultilevel"/>
    <w:lvl w:ilvl="0">
      <w:lvlJc w:val="left"/>
      <w:lvlText w:val="(%1)"/>
      <w:numFmt w:val="decimal"/>
      <w:start w:val="3"/>
    </w:lvl>
  </w:abstractNum>
  <w:abstractNum w:abstractNumId="72">
    <w:nsid w:val="75486E47"/>
    <w:multiLevelType w:val="hybridMultilevel"/>
    <w:lvl w:ilvl="0">
      <w:lvlJc w:val="left"/>
      <w:lvlText w:val="(%1)"/>
      <w:numFmt w:val="lowerRoman"/>
      <w:start w:val="1"/>
    </w:lvl>
  </w:abstractNum>
  <w:abstractNum w:abstractNumId="73">
    <w:nsid w:val="6E534CDE"/>
    <w:multiLevelType w:val="hybridMultilevel"/>
    <w:lvl w:ilvl="0">
      <w:lvlJc w:val="left"/>
      <w:lvlText w:val="(%1)"/>
      <w:numFmt w:val="decimal"/>
      <w:start w:val="4"/>
    </w:lvl>
  </w:abstractNum>
  <w:abstractNum w:abstractNumId="74">
    <w:nsid w:val="1A0DDE32"/>
    <w:multiLevelType w:val="hybridMultilevel"/>
    <w:lvl w:ilvl="0">
      <w:lvlJc w:val="left"/>
      <w:lvlText w:val="(%1)"/>
      <w:numFmt w:val="decimal"/>
      <w:start w:val="1"/>
    </w:lvl>
  </w:abstractNum>
  <w:abstractNum w:abstractNumId="75">
    <w:nsid w:val="65968C1C"/>
    <w:multiLevelType w:val="hybridMultilevel"/>
    <w:lvl w:ilvl="0">
      <w:lvlJc w:val="left"/>
      <w:lvlText w:val="(%1)"/>
      <w:numFmt w:val="upperLetter"/>
      <w:start w:val="1"/>
    </w:lvl>
  </w:abstractNum>
  <w:abstractNum w:abstractNumId="76">
    <w:nsid w:val="46263DEC"/>
    <w:multiLevelType w:val="hybridMultilevel"/>
    <w:lvl w:ilvl="0">
      <w:lvlJc w:val="left"/>
      <w:lvlText w:val="(%1)"/>
      <w:numFmt w:val="decimal"/>
      <w:start w:val="2"/>
    </w:lvl>
  </w:abstractNum>
  <w:abstractNum w:abstractNumId="77">
    <w:nsid w:val="260D8C4A"/>
    <w:multiLevelType w:val="hybridMultilevel"/>
    <w:lvl w:ilvl="0">
      <w:lvlJc w:val="left"/>
      <w:lvlText w:val="(%1)"/>
      <w:numFmt w:val="upperLetter"/>
      <w:start w:val="1"/>
    </w:lvl>
  </w:abstractNum>
  <w:abstractNum w:abstractNumId="78">
    <w:nsid w:val="73D4D3C4"/>
    <w:multiLevelType w:val="hybridMultilevel"/>
    <w:lvl w:ilvl="0">
      <w:lvlJc w:val="left"/>
      <w:lvlText w:val="(%1)"/>
      <w:numFmt w:val="decimal"/>
      <w:start w:val="3"/>
    </w:lvl>
  </w:abstractNum>
  <w:abstractNum w:abstractNumId="79">
    <w:nsid w:val="746F2E30"/>
    <w:multiLevelType w:val="hybridMultilevel"/>
    <w:lvl w:ilvl="0">
      <w:lvlJc w:val="left"/>
      <w:lvlText w:val="(%1)"/>
      <w:numFmt w:val="decimal"/>
      <w:start w:val="3"/>
    </w:lvl>
    <w:lvl w:ilvl="1">
      <w:lvlJc w:val="left"/>
      <w:lvlText w:val="(%2)"/>
      <w:numFmt w:val="lowerLetter"/>
      <w:start w:val="5"/>
    </w:lvl>
  </w:abstractNum>
  <w:abstractNum w:abstractNumId="80">
    <w:nsid w:val="6FDE8AF6"/>
    <w:multiLevelType w:val="hybridMultilevel"/>
    <w:lvl w:ilvl="0">
      <w:lvlJc w:val="left"/>
      <w:lvlText w:val="(%1)"/>
      <w:numFmt w:val="decimal"/>
      <w:start w:val="1"/>
    </w:lvl>
  </w:abstractNum>
  <w:abstractNum w:abstractNumId="81">
    <w:nsid w:val="3FC32E20"/>
    <w:multiLevelType w:val="hybridMultilevel"/>
    <w:lvl w:ilvl="0">
      <w:lvlJc w:val="left"/>
      <w:lvlText w:val="(%1)"/>
      <w:numFmt w:val="upperLetter"/>
      <w:start w:val="1"/>
    </w:lvl>
  </w:abstractNum>
  <w:abstractNum w:abstractNumId="82">
    <w:nsid w:val="49C0E823"/>
    <w:multiLevelType w:val="hybridMultilevel"/>
    <w:lvl w:ilvl="0">
      <w:lvlJc w:val="left"/>
      <w:lvlText w:val="(%1)"/>
      <w:numFmt w:val="upperLetter"/>
      <w:start w:val="3"/>
    </w:lvl>
  </w:abstractNum>
  <w:abstractNum w:abstractNumId="83">
    <w:nsid w:val="14D53685"/>
    <w:multiLevelType w:val="hybridMultilevel"/>
    <w:lvl w:ilvl="0">
      <w:lvlJc w:val="left"/>
      <w:lvlText w:val="(%1)"/>
      <w:numFmt w:val="decimal"/>
      <w:start w:val="2"/>
    </w:lvl>
  </w:abstractNum>
  <w:abstractNum w:abstractNumId="84">
    <w:nsid w:val="230F856C"/>
    <w:multiLevelType w:val="hybridMultilevel"/>
    <w:lvl w:ilvl="0">
      <w:lvlJc w:val="left"/>
      <w:lvlText w:val="(%1)"/>
      <w:numFmt w:val="upperLetter"/>
      <w:start w:val="1"/>
    </w:lvl>
  </w:abstractNum>
  <w:abstractNum w:abstractNumId="85">
    <w:nsid w:val="6EAA85FB"/>
    <w:multiLevelType w:val="hybridMultilevel"/>
    <w:lvl w:ilvl="0">
      <w:lvlJc w:val="left"/>
      <w:lvlText w:val="(%1)"/>
      <w:numFmt w:val="decimal"/>
      <w:start w:val="3"/>
    </w:lvl>
  </w:abstractNum>
  <w:abstractNum w:abstractNumId="86">
    <w:nsid w:val="3F06ECB2"/>
    <w:multiLevelType w:val="hybridMultilevel"/>
    <w:lvl w:ilvl="0">
      <w:lvlJc w:val="left"/>
      <w:lvlText w:val="(%1)"/>
      <w:numFmt w:val="lowerLetter"/>
      <w:start w:val="6"/>
    </w:lvl>
  </w:abstractNum>
  <w:abstractNum w:abstractNumId="87">
    <w:nsid w:val="3B594807"/>
    <w:multiLevelType w:val="hybridMultilevel"/>
    <w:lvl w:ilvl="0">
      <w:lvlJc w:val="left"/>
      <w:lvlText w:val="(%1)"/>
      <w:numFmt w:val="upperLetter"/>
      <w:start w:val="1"/>
    </w:lvl>
  </w:abstractNum>
  <w:abstractNum w:abstractNumId="88">
    <w:nsid w:val="6CAA2304"/>
    <w:multiLevelType w:val="hybridMultilevel"/>
    <w:lvl w:ilvl="0">
      <w:lvlJc w:val="left"/>
      <w:lvlText w:val="(%1)"/>
      <w:numFmt w:val="upperLetter"/>
      <w:start w:val="2"/>
    </w:lvl>
    <w:lvl w:ilvl="1">
      <w:lvlJc w:val="left"/>
      <w:lvlText w:val="(%2)"/>
      <w:numFmt w:val="upperLetter"/>
      <w:start w:val="2"/>
    </w:lvl>
  </w:abstractNum>
  <w:abstractNum w:abstractNumId="89">
    <w:nsid w:val="3F7C2FF4"/>
    <w:multiLevelType w:val="hybridMultilevel"/>
    <w:lvl w:ilvl="0">
      <w:lvlJc w:val="left"/>
      <w:lvlText w:val="(%1)"/>
      <w:numFmt w:val="decimal"/>
      <w:start w:val="3"/>
    </w:lvl>
  </w:abstractNum>
  <w:abstractNum w:abstractNumId="90">
    <w:nsid w:val="25413BEC"/>
    <w:multiLevelType w:val="hybridMultilevel"/>
    <w:lvl w:ilvl="0">
      <w:lvlJc w:val="left"/>
      <w:lvlText w:val="(%1)"/>
      <w:numFmt w:val="lowerLetter"/>
      <w:start w:val="7"/>
    </w:lvl>
  </w:abstractNum>
  <w:abstractNum w:abstractNumId="91">
    <w:nsid w:val="17180B0B"/>
    <w:multiLevelType w:val="hybridMultilevel"/>
    <w:lvl w:ilvl="0">
      <w:lvlJc w:val="left"/>
      <w:lvlText w:val="(%1)"/>
      <w:numFmt w:val="decimal"/>
      <w:start w:val="1"/>
    </w:lvl>
  </w:abstractNum>
  <w:abstractNum w:abstractNumId="92">
    <w:nsid w:val="579328B9"/>
    <w:multiLevelType w:val="hybridMultilevel"/>
    <w:lvl w:ilvl="0">
      <w:lvlJc w:val="left"/>
      <w:lvlText w:val="(%1)"/>
      <w:numFmt w:val="upperLetter"/>
      <w:start w:val="1"/>
    </w:lvl>
  </w:abstractNum>
  <w:abstractNum w:abstractNumId="93">
    <w:nsid w:val="5D205E20"/>
    <w:multiLevelType w:val="hybridMultilevel"/>
    <w:lvl w:ilvl="0">
      <w:lvlJc w:val="left"/>
      <w:lvlText w:val="(%1)"/>
      <w:numFmt w:val="decimal"/>
      <w:start w:val="6"/>
    </w:lvl>
  </w:abstractNum>
  <w:abstractNum w:abstractNumId="94">
    <w:nsid w:val="11CCA8BA"/>
    <w:multiLevelType w:val="hybridMultilevel"/>
    <w:lvl w:ilvl="0">
      <w:lvlJc w:val="left"/>
      <w:lvlText w:val="(%1)"/>
      <w:numFmt w:val="lowerLetter"/>
      <w:start w:val="2"/>
    </w:lvl>
  </w:abstractNum>
  <w:abstractNum w:abstractNumId="95">
    <w:nsid w:val="4D32AB86"/>
    <w:multiLevelType w:val="hybridMultilevel"/>
    <w:lvl w:ilvl="0">
      <w:lvlJc w:val="left"/>
      <w:lvlText w:val="(%1)"/>
      <w:numFmt w:val="lowerLetter"/>
      <w:start w:val="1"/>
    </w:lvl>
  </w:abstractNum>
  <w:abstractNum w:abstractNumId="96">
    <w:nsid w:val="3F07ACC3"/>
    <w:multiLevelType w:val="hybridMultilevel"/>
    <w:lvl w:ilvl="0">
      <w:lvlJc w:val="left"/>
      <w:lvlText w:val="(%1)"/>
      <w:numFmt w:val="lowerLetter"/>
      <w:start w:val="1"/>
    </w:lvl>
  </w:abstractNum>
  <w:abstractNum w:abstractNumId="97">
    <w:nsid w:val="6B47F63E"/>
    <w:multiLevelType w:val="hybridMultilevel"/>
    <w:lvl w:ilvl="0">
      <w:lvlJc w:val="left"/>
      <w:lvlText w:val="(%1)"/>
      <w:numFmt w:val="lowerLetter"/>
      <w:start w:val="1"/>
    </w:lvl>
  </w:abstractNum>
  <w:abstractNum w:abstractNumId="98">
    <w:nsid w:val="5CB44A05"/>
    <w:multiLevelType w:val="hybridMultilevel"/>
    <w:lvl w:ilvl="0">
      <w:lvlJc w:val="left"/>
      <w:lvlText w:val="(%1)"/>
      <w:numFmt w:val="lowerLetter"/>
      <w:start w:val="1"/>
    </w:lvl>
  </w:abstractNum>
  <w:abstractNum w:abstractNumId="99">
    <w:nsid w:val="16CF80F1"/>
    <w:multiLevelType w:val="hybridMultilevel"/>
    <w:lvl w:ilvl="0">
      <w:lvlJc w:val="left"/>
      <w:lvlText w:val="(%1)"/>
      <w:numFmt w:val="lowerLetter"/>
      <w:start w:val="2"/>
    </w:lvl>
  </w:abstractNum>
  <w:abstractNum w:abstractNumId="100">
    <w:nsid w:val="1C695DEC"/>
    <w:multiLevelType w:val="hybridMultilevel"/>
    <w:lvl w:ilvl="0">
      <w:lvlJc w:val="left"/>
      <w:lvlText w:val="(%1)"/>
      <w:numFmt w:val="lowerLetter"/>
      <w:start w:val="3"/>
    </w:lvl>
  </w:abstractNum>
  <w:abstractNum w:abstractNumId="101">
    <w:nsid w:val="3FCFAED9"/>
    <w:multiLevelType w:val="hybridMultilevel"/>
    <w:lvl w:ilvl="0">
      <w:lvlJc w:val="left"/>
      <w:lvlText w:val="(%1)"/>
      <w:numFmt w:val="decimal"/>
      <w:start w:val="1"/>
    </w:lvl>
  </w:abstractNum>
  <w:abstractNum w:abstractNumId="102">
    <w:nsid w:val="F856867"/>
    <w:multiLevelType w:val="hybridMultilevel"/>
    <w:lvl w:ilvl="0">
      <w:lvlJc w:val="left"/>
      <w:lvlText w:val="(%1)"/>
      <w:numFmt w:val="decimal"/>
      <w:start w:val="2"/>
    </w:lvl>
    <w:lvl w:ilvl="1">
      <w:lvlJc w:val="left"/>
      <w:lvlText w:val="(%2)"/>
      <w:numFmt w:val="lowerLetter"/>
      <w:start w:val="1"/>
    </w:lvl>
  </w:abstractNum>
  <w:abstractNum w:abstractNumId="103">
    <w:nsid w:val="11B1CC33"/>
    <w:multiLevelType w:val="hybridMultilevel"/>
    <w:lvl w:ilvl="0">
      <w:lvlJc w:val="left"/>
      <w:lvlText w:val="(%1)"/>
      <w:numFmt w:val="decimal"/>
      <w:start w:val="1"/>
    </w:lvl>
  </w:abstractNum>
  <w:abstractNum w:abstractNumId="104">
    <w:nsid w:val="2E22FBB7"/>
    <w:multiLevelType w:val="hybridMultilevel"/>
    <w:lvl w:ilvl="0">
      <w:lvlJc w:val="left"/>
      <w:lvlText w:val="(%1)"/>
      <w:numFmt w:val="lowerLetter"/>
      <w:start w:val="2"/>
    </w:lvl>
  </w:abstractNum>
  <w:abstractNum w:abstractNumId="105">
    <w:nsid w:val="29934699"/>
    <w:multiLevelType w:val="hybridMultilevel"/>
    <w:lvl w:ilvl="0">
      <w:lvlJc w:val="left"/>
      <w:lvlText w:val="(%1)"/>
      <w:numFmt w:val="lowerLetter"/>
      <w:start w:val="1"/>
    </w:lvl>
  </w:abstractNum>
  <w:abstractNum w:abstractNumId="106">
    <w:nsid w:val="77485850"/>
    <w:multiLevelType w:val="hybridMultilevel"/>
    <w:lvl w:ilvl="0">
      <w:lvlJc w:val="left"/>
      <w:lvlText w:val="(%1)"/>
      <w:numFmt w:val="lowerLetter"/>
      <w:start w:val="1"/>
    </w:lvl>
  </w:abstractNum>
  <w:abstractNum w:abstractNumId="107">
    <w:nsid w:val="744939A3"/>
    <w:multiLevelType w:val="hybridMultilevel"/>
    <w:lvl w:ilvl="0">
      <w:lvlJc w:val="left"/>
      <w:lvlText w:val="%1"/>
      <w:numFmt w:val="decimal"/>
      <w:start w:val="1"/>
    </w:lvl>
    <w:lvl w:ilvl="1">
      <w:lvlJc w:val="left"/>
      <w:lvlText w:val="(%2)"/>
      <w:numFmt w:val="lowerLetter"/>
      <w:start w:val="1"/>
    </w:lvl>
  </w:abstractNum>
  <w:abstractNum w:abstractNumId="108">
    <w:nsid w:val="4FA0D2E3"/>
    <w:multiLevelType w:val="hybridMultilevel"/>
    <w:lvl w:ilvl="0">
      <w:lvlJc w:val="left"/>
      <w:lvlText w:val="(%1)"/>
      <w:numFmt w:val="decimal"/>
      <w:start w:val="3"/>
    </w:lvl>
    <w:lvl w:ilvl="1">
      <w:lvlJc w:val="left"/>
      <w:lvlText w:val="%2"/>
      <w:numFmt w:val="lowerLetter"/>
      <w:start w:val="1"/>
    </w:lvl>
  </w:abstractNum>
  <w:abstractNum w:abstractNumId="109">
    <w:nsid w:val="6B1D2C14"/>
    <w:multiLevelType w:val="hybridMultilevel"/>
    <w:lvl w:ilvl="0">
      <w:lvlJc w:val="left"/>
      <w:lvlText w:val="(%1)"/>
      <w:numFmt w:val="decimal"/>
      <w:start w:val="4"/>
    </w:lvl>
  </w:abstractNum>
  <w:abstractNum w:abstractNumId="110">
    <w:nsid w:val="68B867D3"/>
    <w:multiLevelType w:val="hybridMultilevel"/>
    <w:lvl w:ilvl="0">
      <w:lvlJc w:val="left"/>
      <w:lvlText w:val="(%1)"/>
      <w:numFmt w:val="lowerLetter"/>
      <w:start w:val="1"/>
    </w:lvl>
  </w:abstractNum>
  <w:abstractNum w:abstractNumId="111">
    <w:nsid w:val="3F7F5DD9"/>
    <w:multiLevelType w:val="hybridMultilevel"/>
    <w:lvl w:ilvl="0">
      <w:lvlJc w:val="left"/>
      <w:lvlText w:val="(%1)"/>
      <w:numFmt w:val="lowerLetter"/>
      <w:start w:val="1"/>
    </w:lvl>
  </w:abstractNum>
  <w:abstractNum w:abstractNumId="112">
    <w:nsid w:val="2AE05A34"/>
    <w:multiLevelType w:val="hybridMultilevel"/>
    <w:lvl w:ilvl="0">
      <w:lvlJc w:val="left"/>
      <w:lvlText w:val="(%1)"/>
      <w:numFmt w:val="lowerLetter"/>
      <w:start w:val="5"/>
    </w:lvl>
  </w:abstractNum>
  <w:abstractNum w:abstractNumId="113">
    <w:nsid w:val="32794FF7"/>
    <w:multiLevelType w:val="hybridMultilevel"/>
    <w:lvl w:ilvl="0">
      <w:lvlJc w:val="left"/>
      <w:lvlText w:val="(%1)"/>
      <w:numFmt w:val="lowerLetter"/>
      <w:start w:val="15"/>
    </w:lvl>
  </w:abstractNum>
  <w:abstractNum w:abstractNumId="114">
    <w:nsid w:val="5454945E"/>
    <w:multiLevelType w:val="hybridMultilevel"/>
    <w:lvl w:ilvl="0">
      <w:lvlJc w:val="left"/>
      <w:lvlText w:val="(%1)"/>
      <w:numFmt w:val="lowerLetter"/>
      <w:start w:val="1"/>
    </w:lvl>
  </w:abstractNum>
  <w:abstractNum w:abstractNumId="115">
    <w:nsid w:val="4DEFDFA0"/>
    <w:multiLevelType w:val="hybridMultilevel"/>
    <w:lvl w:ilvl="0">
      <w:lvlJc w:val="left"/>
      <w:lvlText w:val="(%1)"/>
      <w:numFmt w:val="lowerLetter"/>
      <w:start w:val="1"/>
    </w:lvl>
  </w:abstractNum>
  <w:abstractNum w:abstractNumId="116">
    <w:nsid w:val="2123D5F2"/>
    <w:multiLevelType w:val="hybridMultilevel"/>
    <w:lvl w:ilvl="0">
      <w:lvlJc w:val="left"/>
      <w:lvlText w:val="(%1)"/>
      <w:numFmt w:val="lowerLetter"/>
      <w:start w:val="1"/>
    </w:lvl>
  </w:abstractNum>
  <w:abstractNum w:abstractNumId="117">
    <w:nsid w:val="135B8110"/>
    <w:multiLevelType w:val="hybridMultilevel"/>
    <w:lvl w:ilvl="0">
      <w:lvlJc w:val="left"/>
      <w:lvlText w:val="(%1)"/>
      <w:numFmt w:val="decimal"/>
      <w:start w:val="1"/>
    </w:lvl>
  </w:abstractNum>
  <w:abstractNum w:abstractNumId="118">
    <w:nsid w:val="94927A8"/>
    <w:multiLevelType w:val="hybridMultilevel"/>
    <w:lvl w:ilvl="0">
      <w:lvlJc w:val="left"/>
      <w:lvlText w:val="(%1)"/>
      <w:numFmt w:val="decimal"/>
      <w:start w:val="7"/>
    </w:lvl>
  </w:abstractNum>
  <w:abstractNum w:abstractNumId="119">
    <w:nsid w:val="DCDF8F6"/>
    <w:multiLevelType w:val="hybridMultilevel"/>
    <w:lvl w:ilvl="0">
      <w:lvlJc w:val="left"/>
      <w:lvlText w:val="(%1)"/>
      <w:numFmt w:val="decimal"/>
      <w:start w:val="1"/>
    </w:lvl>
  </w:abstractNum>
  <w:abstractNum w:abstractNumId="120">
    <w:nsid w:val="52D7B105"/>
    <w:multiLevelType w:val="hybridMultilevel"/>
    <w:lvl w:ilvl="0">
      <w:lvlJc w:val="left"/>
      <w:lvlText w:val="(%1)"/>
      <w:numFmt w:val="lowerLetter"/>
      <w:start w:val="3"/>
    </w:lvl>
  </w:abstractNum>
  <w:abstractNum w:abstractNumId="121">
    <w:nsid w:val="2E8A6394"/>
    <w:multiLevelType w:val="hybridMultilevel"/>
    <w:lvl w:ilvl="0">
      <w:lvlJc w:val="left"/>
      <w:lvlText w:val="(%1)"/>
      <w:numFmt w:val="lowerLetter"/>
      <w:start w:val="4"/>
    </w:lvl>
  </w:abstractNum>
  <w:abstractNum w:abstractNumId="122">
    <w:nsid w:val="24E60401"/>
    <w:multiLevelType w:val="hybridMultilevel"/>
    <w:lvl w:ilvl="0">
      <w:lvlJc w:val="left"/>
      <w:lvlText w:val="(%1)"/>
      <w:numFmt w:val="lowerLetter"/>
      <w:start w:val="1"/>
    </w:lvl>
  </w:abstractNum>
  <w:abstractNum w:abstractNumId="123">
    <w:nsid w:val="2A6AD9BE"/>
    <w:multiLevelType w:val="hybridMultilevel"/>
    <w:lvl w:ilvl="0">
      <w:lvlJc w:val="left"/>
      <w:lvlText w:val="(%1)"/>
      <w:numFmt w:val="lowerLetter"/>
      <w:start w:val="1"/>
    </w:lvl>
  </w:abstractNum>
  <w:abstractNum w:abstractNumId="124">
    <w:nsid w:val="BAAC1B4"/>
    <w:multiLevelType w:val="hybridMultilevel"/>
    <w:lvl w:ilvl="0">
      <w:lvlJc w:val="left"/>
      <w:lvlText w:val="(%1)"/>
      <w:numFmt w:val="decimal"/>
      <w:start w:val="1"/>
    </w:lvl>
  </w:abstractNum>
  <w:abstractNum w:abstractNumId="125">
    <w:nsid w:val="36B2ACBC"/>
    <w:multiLevelType w:val="hybridMultilevel"/>
    <w:lvl w:ilvl="0">
      <w:lvlJc w:val="left"/>
      <w:lvlText w:val="(%1)"/>
      <w:numFmt w:val="lowerLetter"/>
      <w:start w:val="4"/>
    </w:lvl>
  </w:abstractNum>
  <w:abstractNum w:abstractNumId="126">
    <w:nsid w:val="779D8544"/>
    <w:multiLevelType w:val="hybridMultilevel"/>
    <w:lvl w:ilvl="0">
      <w:lvlJc w:val="left"/>
      <w:lvlText w:val="(%1)"/>
      <w:numFmt w:val="lowerLetter"/>
      <w:start w:val="6"/>
    </w:lvl>
  </w:abstractNum>
  <w:abstractNum w:abstractNumId="127">
    <w:nsid w:val="4AB26E78"/>
    <w:multiLevelType w:val="hybridMultilevel"/>
    <w:lvl w:ilvl="0">
      <w:lvlJc w:val="left"/>
      <w:lvlText w:val="(%1)"/>
      <w:numFmt w:val="decimal"/>
      <w:start w:val="1"/>
    </w:lvl>
  </w:abstractNum>
  <w:abstractNum w:abstractNumId="128">
    <w:nsid w:val="21FAA2FA"/>
    <w:multiLevelType w:val="hybridMultilevel"/>
    <w:lvl w:ilvl="0">
      <w:lvlJc w:val="left"/>
      <w:lvlText w:val="(%1)"/>
      <w:numFmt w:val="lowerLetter"/>
      <w:start w:val="8"/>
    </w:lvl>
  </w:abstractNum>
  <w:abstractNum w:abstractNumId="129">
    <w:nsid w:val="5451CF49"/>
    <w:multiLevelType w:val="hybridMultilevel"/>
    <w:lvl w:ilvl="0">
      <w:lvlJc w:val="left"/>
      <w:lvlText w:val="(%1)"/>
      <w:numFmt w:val="lowerLetter"/>
      <w:start w:val="1"/>
    </w:lvl>
  </w:abstractNum>
  <w:abstractNum w:abstractNumId="130">
    <w:nsid w:val="6181EF69"/>
    <w:multiLevelType w:val="hybridMultilevel"/>
    <w:lvl w:ilvl="0">
      <w:lvlJc w:val="left"/>
      <w:lvlText w:val="(%1)"/>
      <w:numFmt w:val="lowerLetter"/>
      <w:start w:val="1"/>
    </w:lvl>
  </w:abstractNum>
  <w:abstractNum w:abstractNumId="131">
    <w:nsid w:val="3E6400E6"/>
    <w:multiLevelType w:val="hybridMultilevel"/>
    <w:lvl w:ilvl="0">
      <w:lvlJc w:val="left"/>
      <w:lvlText w:val="(%1)"/>
      <w:numFmt w:val="decimal"/>
      <w:start w:val="1"/>
    </w:lvl>
  </w:abstractNum>
  <w:abstractNum w:abstractNumId="132">
    <w:nsid w:val="14217E23"/>
    <w:multiLevelType w:val="hybridMultilevel"/>
    <w:lvl w:ilvl="0">
      <w:lvlJc w:val="left"/>
      <w:lvlText w:val="(%1)"/>
      <w:numFmt w:val="lowerLetter"/>
      <w:start w:val="3"/>
    </w:lvl>
  </w:abstractNum>
  <w:abstractNum w:abstractNumId="133">
    <w:nsid w:val="710757D0"/>
    <w:multiLevelType w:val="hybridMultilevel"/>
    <w:lvl w:ilvl="0">
      <w:lvlJc w:val="left"/>
      <w:lvlText w:val="(%1)"/>
      <w:numFmt w:val="decimal"/>
      <w:start w:val="1"/>
    </w:lvl>
  </w:abstractNum>
  <w:abstractNum w:abstractNumId="134">
    <w:nsid w:val="5015CD1A"/>
    <w:multiLevelType w:val="hybridMultilevel"/>
    <w:lvl w:ilvl="0">
      <w:lvlJc w:val="left"/>
      <w:lvlText w:val="(%1)"/>
      <w:numFmt w:val="lowerLetter"/>
      <w:start w:val="4"/>
    </w:lvl>
  </w:abstractNum>
  <w:abstractNum w:abstractNumId="135">
    <w:nsid w:val="424479DA"/>
    <w:multiLevelType w:val="hybridMultilevel"/>
    <w:lvl w:ilvl="0">
      <w:lvlJc w:val="left"/>
      <w:lvlText w:val="(%1)"/>
      <w:numFmt w:val="lowerLetter"/>
      <w:start w:val="1"/>
    </w:lvl>
  </w:abstractNum>
  <w:abstractNum w:abstractNumId="136">
    <w:nsid w:val="1A9A9E69"/>
    <w:multiLevelType w:val="hybridMultilevel"/>
    <w:lvl w:ilvl="0">
      <w:lvlJc w:val="left"/>
      <w:lvlText w:val="(%1)"/>
      <w:numFmt w:val="lowerLetter"/>
      <w:start w:val="3"/>
    </w:lvl>
  </w:abstractNum>
  <w:abstractNum w:abstractNumId="137">
    <w:nsid w:val="475E256A"/>
    <w:multiLevelType w:val="hybridMultilevel"/>
    <w:lvl w:ilvl="0">
      <w:lvlJc w:val="left"/>
      <w:lvlText w:val="(%1)"/>
      <w:numFmt w:val="lowerLetter"/>
      <w:start w:val="13"/>
    </w:lvl>
  </w:abstractNum>
  <w:abstractNum w:abstractNumId="138">
    <w:nsid w:val="368DB37E"/>
    <w:multiLevelType w:val="hybridMultilevel"/>
    <w:lvl w:ilvl="0">
      <w:lvlJc w:val="left"/>
      <w:lvlText w:val="(%1)"/>
      <w:numFmt w:val="lowerLetter"/>
      <w:start w:val="1"/>
    </w:lvl>
  </w:abstractNum>
  <w:abstractNum w:abstractNumId="139">
    <w:nsid w:val="6A3B714C"/>
    <w:multiLevelType w:val="hybridMultilevel"/>
    <w:lvl w:ilvl="0">
      <w:lvlJc w:val="left"/>
      <w:lvlText w:val="(%1)"/>
      <w:numFmt w:val="lowerLetter"/>
      <w:start w:val="3"/>
    </w:lvl>
  </w:abstractNum>
  <w:abstractNum w:abstractNumId="140">
    <w:nsid w:val="327B517E"/>
    <w:multiLevelType w:val="hybridMultilevel"/>
    <w:lvl w:ilvl="0">
      <w:lvlJc w:val="left"/>
      <w:lvlText w:val="(%1)"/>
      <w:numFmt w:val="lowerLetter"/>
      <w:start w:val="1"/>
    </w:lvl>
  </w:abstractNum>
  <w:abstractNum w:abstractNumId="141">
    <w:nsid w:val="1F461B51"/>
    <w:multiLevelType w:val="hybridMultilevel"/>
    <w:lvl w:ilvl="0">
      <w:lvlJc w:val="left"/>
      <w:lvlText w:val="(%1)"/>
      <w:numFmt w:val="decimal"/>
      <w:start w:val="1"/>
    </w:lvl>
  </w:abstractNum>
  <w:abstractNum w:abstractNumId="142">
    <w:nsid w:val="29BACF25"/>
    <w:multiLevelType w:val="hybridMultilevel"/>
    <w:lvl w:ilvl="0">
      <w:lvlJc w:val="left"/>
      <w:lvlText w:val="(%1)"/>
      <w:numFmt w:val="lowerLetter"/>
      <w:start w:val="3"/>
    </w:lvl>
  </w:abstractNum>
  <w:abstractNum w:abstractNumId="143">
    <w:nsid w:val="5D5BABB3"/>
    <w:multiLevelType w:val="hybridMultilevel"/>
    <w:lvl w:ilvl="0">
      <w:lvlJc w:val="left"/>
      <w:lvlText w:val="(%1)"/>
      <w:numFmt w:val="lowerLetter"/>
      <w:start w:val="1"/>
    </w:lvl>
  </w:abstractNum>
  <w:abstractNum w:abstractNumId="144">
    <w:nsid w:val="51BF6B48"/>
    <w:multiLevelType w:val="hybridMultilevel"/>
    <w:lvl w:ilvl="0">
      <w:lvlJc w:val="left"/>
      <w:lvlText w:val="(%1)"/>
      <w:numFmt w:val="lowerLetter"/>
      <w:start w:val="1"/>
    </w:lvl>
  </w:abstractNum>
  <w:abstractNum w:abstractNumId="145">
    <w:nsid w:val="7E0F6384"/>
    <w:multiLevelType w:val="hybridMultilevel"/>
    <w:lvl w:ilvl="0">
      <w:lvlJc w:val="left"/>
      <w:lvlText w:val="(%1)"/>
      <w:numFmt w:val="lowerLetter"/>
      <w:start w:val="4"/>
    </w:lvl>
  </w:abstractNum>
  <w:abstractNum w:abstractNumId="146">
    <w:nsid w:val="2B4B8B53"/>
    <w:multiLevelType w:val="hybridMultilevel"/>
    <w:lvl w:ilvl="0">
      <w:lvlJc w:val="left"/>
      <w:lvlText w:val="(%1)"/>
      <w:numFmt w:val="lowerLetter"/>
      <w:start w:val="1"/>
    </w:lvl>
  </w:abstractNum>
  <w:abstractNum w:abstractNumId="147">
    <w:nsid w:val="72E3413A"/>
    <w:multiLevelType w:val="hybridMultilevel"/>
    <w:lvl w:ilvl="0">
      <w:lvlJc w:val="left"/>
      <w:lvlText w:val="(%1)"/>
      <w:numFmt w:val="lowerLetter"/>
      <w:start w:val="3"/>
    </w:lvl>
  </w:abstractNum>
  <w:abstractNum w:abstractNumId="148">
    <w:nsid w:val="116AE494"/>
    <w:multiLevelType w:val="hybridMultilevel"/>
    <w:lvl w:ilvl="0">
      <w:lvlJc w:val="left"/>
      <w:lvlText w:val="(%1)"/>
      <w:numFmt w:val="lowerLetter"/>
      <w:start w:val="1"/>
    </w:lvl>
  </w:abstractNum>
  <w:abstractNum w:abstractNumId="149">
    <w:nsid w:val="3494B2FB"/>
    <w:multiLevelType w:val="hybridMultilevel"/>
    <w:lvl w:ilvl="0">
      <w:lvlJc w:val="left"/>
      <w:lvlText w:val="(%1)"/>
      <w:numFmt w:val="lowerLetter"/>
      <w:start w:val="7"/>
    </w:lvl>
  </w:abstractNum>
  <w:abstractNum w:abstractNumId="150">
    <w:nsid w:val="B13A31"/>
    <w:multiLevelType w:val="hybridMultilevel"/>
    <w:lvl w:ilvl="0">
      <w:lvlJc w:val="left"/>
      <w:lvlText w:val="(%1)"/>
      <w:numFmt w:val="lowerLetter"/>
      <w:start w:val="1"/>
    </w:lvl>
  </w:abstractNum>
  <w:abstractNum w:abstractNumId="151">
    <w:nsid w:val="64429599"/>
    <w:multiLevelType w:val="hybridMultilevel"/>
    <w:lvl w:ilvl="0">
      <w:lvlJc w:val="left"/>
      <w:lvlText w:val="(%1)"/>
      <w:numFmt w:val="lowerLetter"/>
      <w:start w:val="8"/>
    </w:lvl>
  </w:abstractNum>
  <w:abstractNum w:abstractNumId="152">
    <w:nsid w:val="631F1690"/>
    <w:multiLevelType w:val="hybridMultilevel"/>
    <w:lvl w:ilvl="0">
      <w:lvlJc w:val="left"/>
      <w:lvlText w:val="(%1)"/>
      <w:numFmt w:val="lowerLetter"/>
      <w:start w:val="1"/>
    </w:lvl>
  </w:abstractNum>
  <w:abstractNum w:abstractNumId="153">
    <w:nsid w:val="25973E32"/>
    <w:multiLevelType w:val="hybridMultilevel"/>
    <w:lvl w:ilvl="0">
      <w:lvlJc w:val="left"/>
      <w:lvlText w:val="(%1)"/>
      <w:numFmt w:val="decimal"/>
      <w:start w:val="1"/>
    </w:lvl>
  </w:abstractNum>
  <w:abstractNum w:abstractNumId="154">
    <w:nsid w:val="EAD6F57"/>
    <w:multiLevelType w:val="hybridMultilevel"/>
    <w:lvl w:ilvl="0">
      <w:lvlJc w:val="left"/>
      <w:lvlText w:val="(%1)"/>
      <w:numFmt w:val="lowerLetter"/>
      <w:start w:val="2"/>
    </w:lvl>
  </w:abstractNum>
  <w:abstractNum w:abstractNumId="155">
    <w:nsid w:val="6EC9D844"/>
    <w:multiLevelType w:val="hybridMultilevel"/>
    <w:lvl w:ilvl="0">
      <w:lvlJc w:val="left"/>
      <w:lvlText w:val="(%1)"/>
      <w:numFmt w:val="lowerLetter"/>
      <w:start w:val="4"/>
    </w:lvl>
  </w:abstractNum>
  <w:abstractNum w:abstractNumId="156">
    <w:nsid w:val="5C49EAEE"/>
    <w:multiLevelType w:val="hybridMultilevel"/>
    <w:lvl w:ilvl="0">
      <w:lvlJc w:val="left"/>
      <w:lvlText w:val="(%1)"/>
      <w:numFmt w:val="lowerLetter"/>
      <w:start w:val="1"/>
    </w:lvl>
  </w:abstractNum>
  <w:abstractNum w:abstractNumId="157">
    <w:nsid w:val="64AF49B"/>
    <w:multiLevelType w:val="hybridMultilevel"/>
    <w:lvl w:ilvl="0">
      <w:lvlJc w:val="left"/>
      <w:lvlText w:val="(%1)"/>
      <w:numFmt w:val="decimal"/>
      <w:start w:val="1"/>
    </w:lvl>
  </w:abstractNum>
  <w:abstractNum w:abstractNumId="158">
    <w:nsid w:val="397C46BC"/>
    <w:multiLevelType w:val="hybridMultilevel"/>
    <w:lvl w:ilvl="0">
      <w:lvlJc w:val="left"/>
      <w:lvlText w:val="%1"/>
      <w:numFmt w:val="lowerLetter"/>
      <w:start w:val="1"/>
    </w:lvl>
    <w:lvl w:ilvl="1">
      <w:lvlJc w:val="left"/>
      <w:lvlText w:val="(%2)"/>
      <w:numFmt w:val="lowerLetter"/>
      <w:start w:val="2"/>
    </w:lvl>
  </w:abstractNum>
  <w:abstractNum w:abstractNumId="159">
    <w:nsid w:val="7E448DE9"/>
    <w:multiLevelType w:val="hybridMultilevel"/>
    <w:lvl w:ilvl="0">
      <w:lvlJc w:val="left"/>
      <w:lvlText w:val="(%1)"/>
      <w:numFmt w:val="lowerLetter"/>
      <w:start w:val="3"/>
    </w:lvl>
    <w:lvl w:ilvl="1">
      <w:lvlJc w:val="left"/>
      <w:lvlText w:val="(%2)"/>
      <w:numFmt w:val="lowerLetter"/>
      <w:start w:val="4"/>
    </w:lvl>
  </w:abstractNum>
  <w:abstractNum w:abstractNumId="160">
    <w:nsid w:val="5A9CC3E5"/>
    <w:multiLevelType w:val="hybridMultilevel"/>
    <w:lvl w:ilvl="0">
      <w:lvlJc w:val="left"/>
      <w:lvlText w:val="(%1)"/>
      <w:numFmt w:val="lowerLetter"/>
      <w:start w:val="1"/>
    </w:lvl>
  </w:abstractNum>
  <w:abstractNum w:abstractNumId="161">
    <w:nsid w:val="1AFE3625"/>
    <w:multiLevelType w:val="hybridMultilevel"/>
    <w:lvl w:ilvl="0">
      <w:lvlJc w:val="left"/>
      <w:lvlText w:val="(%1)"/>
      <w:numFmt w:val="decimal"/>
      <w:start w:val="1"/>
    </w:lvl>
  </w:abstractNum>
  <w:abstractNum w:abstractNumId="162">
    <w:nsid w:val="3CA88ECF"/>
    <w:multiLevelType w:val="hybridMultilevel"/>
    <w:lvl w:ilvl="0">
      <w:lvlJc w:val="left"/>
      <w:lvlText w:val="(%1)"/>
      <w:numFmt w:val="lowerLetter"/>
      <w:start w:val="2"/>
    </w:lvl>
  </w:abstractNum>
  <w:abstractNum w:abstractNumId="163">
    <w:nsid w:val="6EBE4208"/>
    <w:multiLevelType w:val="hybridMultilevel"/>
    <w:lvl w:ilvl="0">
      <w:lvlJc w:val="left"/>
      <w:lvlText w:val="(%1)"/>
      <w:numFmt w:val="lowerLetter"/>
      <w:start w:val="1"/>
    </w:lvl>
  </w:abstractNum>
  <w:abstractNum w:abstractNumId="164">
    <w:nsid w:val="C058DF5"/>
    <w:multiLevelType w:val="hybridMultilevel"/>
    <w:lvl w:ilvl="0">
      <w:lvlJc w:val="left"/>
      <w:lvlText w:val="(%1)"/>
      <w:numFmt w:val="lowerLetter"/>
      <w:start w:val="3"/>
    </w:lvl>
  </w:abstractNum>
  <w:abstractNum w:abstractNumId="165">
    <w:nsid w:val="CBE5BE9"/>
    <w:multiLevelType w:val="hybridMultilevel"/>
    <w:lvl w:ilvl="0">
      <w:lvlJc w:val="left"/>
      <w:lvlText w:val="(%1)"/>
      <w:numFmt w:val="lowerLetter"/>
      <w:start w:val="1"/>
    </w:lvl>
  </w:abstractNum>
  <w:abstractNum w:abstractNumId="166">
    <w:nsid w:val="3102BBE2"/>
    <w:multiLevelType w:val="hybridMultilevel"/>
    <w:lvl w:ilvl="0">
      <w:lvlJc w:val="left"/>
      <w:lvlText w:val="(%1)"/>
      <w:numFmt w:val="lowerLetter"/>
      <w:start w:val="1"/>
    </w:lvl>
  </w:abstractNum>
  <w:abstractNum w:abstractNumId="167">
    <w:nsid w:val="26A02C5E"/>
    <w:multiLevelType w:val="hybridMultilevel"/>
    <w:lvl w:ilvl="0">
      <w:lvlJc w:val="left"/>
      <w:lvlText w:val="%1."/>
      <w:numFmt w:val="decimal"/>
      <w:start w:val="1"/>
    </w:lvl>
  </w:abstractNum>
  <w:abstractNum w:abstractNumId="168">
    <w:nsid w:val="541C8153"/>
    <w:multiLevelType w:val="hybridMultilevel"/>
    <w:lvl w:ilvl="0">
      <w:lvlJc w:val="left"/>
      <w:lvlText w:val="%1."/>
      <w:numFmt w:val="decimal"/>
      <w:start w:val="4"/>
    </w:lvl>
    <w:lvl w:ilvl="1">
      <w:lvlJc w:val="left"/>
      <w:lvlText w:val="%2."/>
      <w:numFmt w:val="decimal"/>
      <w:start w:val="1"/>
    </w:lvl>
  </w:abstractNum>
  <w:abstractNum w:abstractNumId="169">
    <w:nsid w:val="67906F60"/>
    <w:multiLevelType w:val="hybridMultilevel"/>
    <w:lvl w:ilvl="0">
      <w:lvlJc w:val="left"/>
      <w:lvlText w:val="%1."/>
      <w:numFmt w:val="decimal"/>
      <w:start w:val="3"/>
    </w:lvl>
    <w:lvl w:ilvl="1">
      <w:lvlJc w:val="left"/>
      <w:lvlText w:val="%2."/>
      <w:numFmt w:val="decimal"/>
      <w:start w:val="1"/>
    </w:lvl>
  </w:abstractNum>
  <w:abstractNum w:abstractNumId="170">
    <w:nsid w:val="10DB9DAA"/>
    <w:multiLevelType w:val="hybridMultilevel"/>
    <w:lvl w:ilvl="0">
      <w:lvlJc w:val="left"/>
      <w:lvlText w:val="%1."/>
      <w:numFmt w:val="decimal"/>
      <w:start w:val="2"/>
    </w:lvl>
  </w:abstractNum>
  <w:abstractNum w:abstractNumId="171">
    <w:nsid w:val="697D2D2"/>
    <w:multiLevelType w:val="hybridMultilevel"/>
    <w:lvl w:ilvl="0">
      <w:lvlJc w:val="left"/>
      <w:lvlText w:val="%1."/>
      <w:numFmt w:val="decimal"/>
      <w:start w:val="1"/>
    </w:lvl>
  </w:abstractNum>
  <w:abstractNum w:abstractNumId="172">
    <w:nsid w:val="6D68AB2"/>
    <w:multiLevelType w:val="hybridMultilevel"/>
    <w:lvl w:ilvl="0">
      <w:lvlJc w:val="left"/>
      <w:lvlText w:val="%1."/>
      <w:numFmt w:val="decimal"/>
      <w:start w:val="3"/>
    </w:lvl>
  </w:abstractNum>
  <w:abstractNum w:abstractNumId="173">
    <w:nsid w:val="3A966CD0"/>
    <w:multiLevelType w:val="hybridMultilevel"/>
    <w:lvl w:ilvl="0">
      <w:lvlJc w:val="left"/>
      <w:lvlText w:val="%1."/>
      <w:numFmt w:val="decimal"/>
      <w:start w:val="6"/>
    </w:lvl>
  </w:abstractNum>
  <w:abstractNum w:abstractNumId="174">
    <w:nsid w:val="63F37E85"/>
    <w:multiLevelType w:val="hybridMultilevel"/>
    <w:lvl w:ilvl="0">
      <w:lvlJc w:val="left"/>
      <w:lvlText w:val="%1"/>
      <w:numFmt w:val="lowerRoman"/>
      <w:start w:val="1"/>
    </w:lvl>
    <w:lvl w:ilvl="1">
      <w:lvlJc w:val="left"/>
      <w:lvlText w:val="%2."/>
      <w:numFmt w:val="decimal"/>
      <w:start w:val="8"/>
    </w:lvl>
  </w:abstractNum>
  <w:abstractNum w:abstractNumId="175">
    <w:nsid w:val="5895F5FA"/>
    <w:multiLevelType w:val="hybridMultilevel"/>
    <w:lvl w:ilvl="0">
      <w:lvlJc w:val="left"/>
      <w:lvlText w:val="(%1)"/>
      <w:numFmt w:val="lowerRoman"/>
      <w:start w:val="3"/>
    </w:lvl>
    <w:lvl w:ilvl="1">
      <w:lvlJc w:val="left"/>
      <w:lvlText w:val="%2"/>
      <w:numFmt w:val="decimal"/>
      <w:start w:val="1"/>
    </w:lvl>
  </w:abstractNum>
  <w:abstractNum w:abstractNumId="176">
    <w:nsid w:val="38A5D054"/>
    <w:multiLevelType w:val="hybridMultilevel"/>
    <w:lvl w:ilvl="0">
      <w:lvlJc w:val="left"/>
      <w:lvlText w:val="%1."/>
      <w:numFmt w:val="decimal"/>
      <w:start w:val="9"/>
    </w:lvl>
  </w:abstractNum>
  <w:abstractNum w:abstractNumId="177">
    <w:nsid w:val="F3F09D8"/>
    <w:multiLevelType w:val="hybridMultilevel"/>
    <w:lvl w:ilvl="0">
      <w:lvlJc w:val="left"/>
      <w:lvlText w:val="%1."/>
      <w:numFmt w:val="decimal"/>
      <w:start w:val="15"/>
    </w:lvl>
  </w:abstractNum>
  <w:abstractNum w:abstractNumId="178">
    <w:nsid w:val="4B793735"/>
    <w:multiLevelType w:val="hybridMultilevel"/>
    <w:lvl w:ilvl="0">
      <w:lvlJc w:val="left"/>
      <w:lvlText w:val="*"/>
      <w:numFmt w:val="bullet"/>
      <w:start w:val="1"/>
    </w:lvl>
  </w:abstractNum>
  <w:abstractNum w:abstractNumId="179">
    <w:nsid w:val="4A10B4E8"/>
    <w:multiLevelType w:val="hybridMultilevel"/>
    <w:lvl w:ilvl="0">
      <w:lvlJc w:val="left"/>
      <w:lvlText w:val="%1."/>
      <w:numFmt w:val="decimal"/>
      <w:start w:val="1"/>
    </w:lvl>
  </w:abstractNum>
  <w:abstractNum w:abstractNumId="180">
    <w:nsid w:val="43D3BCD4"/>
    <w:multiLevelType w:val="hybridMultilevel"/>
    <w:lvl w:ilvl="0">
      <w:lvlJc w:val="left"/>
      <w:lvlText w:val="%1."/>
      <w:numFmt w:val="decimal"/>
      <w:start w:val="3"/>
    </w:lvl>
    <w:lvl w:ilvl="1">
      <w:lvlJc w:val="left"/>
      <w:lvlText w:val="%2."/>
      <w:numFmt w:val="decimal"/>
      <w:start w:val="1"/>
    </w:lvl>
  </w:abstractNum>
  <w:abstractNum w:abstractNumId="181">
    <w:nsid w:val="4C2A7166"/>
    <w:multiLevelType w:val="hybridMultilevel"/>
    <w:lvl w:ilvl="0">
      <w:lvlJc w:val="left"/>
      <w:lvlText w:val="%1."/>
      <w:numFmt w:val="decimal"/>
      <w:start w:val="3"/>
    </w:lvl>
  </w:abstractNum>
  <w:abstractNum w:abstractNumId="182">
    <w:nsid w:val="2E534A82"/>
    <w:multiLevelType w:val="hybridMultilevel"/>
    <w:lvl w:ilvl="0">
      <w:lvlJc w:val="left"/>
      <w:lvlText w:val="%1."/>
      <w:numFmt w:val="decimal"/>
      <w:start w:val="3"/>
    </w:lvl>
  </w:abstractNum>
  <w:abstractNum w:abstractNumId="183">
    <w:nsid w:val="26F2D364"/>
    <w:multiLevelType w:val="hybridMultilevel"/>
    <w:lvl w:ilvl="0">
      <w:lvlJc w:val="left"/>
      <w:lvlText w:val="%1."/>
      <w:numFmt w:val="decimal"/>
      <w:start w:val="1"/>
    </w:lvl>
  </w:abstractNum>
  <w:abstractNum w:abstractNumId="184">
    <w:nsid w:val="71C1AF98"/>
    <w:multiLevelType w:val="hybridMultilevel"/>
    <w:lvl w:ilvl="0">
      <w:lvlJc w:val="left"/>
      <w:lvlText w:val="%1."/>
      <w:numFmt w:val="decimal"/>
      <w:start w:val="3"/>
    </w:lvl>
  </w:abstractNum>
  <w:abstractNum w:abstractNumId="185">
    <w:nsid w:val="3D00B9D9"/>
    <w:multiLevelType w:val="hybridMultilevel"/>
    <w:lvl w:ilvl="0">
      <w:lvlJc w:val="left"/>
      <w:lvlText w:val="%1."/>
      <w:numFmt w:val="decimal"/>
      <w:start w:val="6"/>
    </w:lvl>
  </w:abstractNum>
  <w:abstractNum w:abstractNumId="186">
    <w:nsid w:val="15BCABA8"/>
    <w:multiLevelType w:val="hybridMultilevel"/>
    <w:lvl w:ilvl="0">
      <w:lvlJc w:val="left"/>
      <w:lvlText w:val="(%1)"/>
      <w:numFmt w:val="lowerRoman"/>
      <w:start w:val="3"/>
    </w:lvl>
    <w:lvl w:ilvl="1">
      <w:lvlJc w:val="left"/>
      <w:lvlText w:val="%2."/>
      <w:numFmt w:val="decimal"/>
      <w:start w:val="8"/>
    </w:lvl>
  </w:abstractNum>
  <w:abstractNum w:abstractNumId="187">
    <w:nsid w:val="4E0B9A87"/>
    <w:multiLevelType w:val="hybridMultilevel"/>
    <w:lvl w:ilvl="0">
      <w:lvlJc w:val="left"/>
      <w:lvlText w:val="(%1)"/>
      <w:numFmt w:val="lowerRoman"/>
      <w:start w:val="3"/>
    </w:lvl>
    <w:lvl w:ilvl="1">
      <w:lvlJc w:val="left"/>
      <w:lvlText w:val="%2"/>
      <w:numFmt w:val="decimal"/>
      <w:start w:val="1"/>
    </w:lvl>
  </w:abstractNum>
  <w:abstractNum w:abstractNumId="188">
    <w:nsid w:val="434BAE75"/>
    <w:multiLevelType w:val="hybridMultilevel"/>
    <w:lvl w:ilvl="0">
      <w:lvlJc w:val="left"/>
      <w:lvlText w:val="%1."/>
      <w:numFmt w:val="decimal"/>
      <w:start w:val="9"/>
    </w:lvl>
  </w:abstractNum>
  <w:abstractNum w:abstractNumId="189">
    <w:nsid w:val="4F38F265"/>
    <w:multiLevelType w:val="hybridMultilevel"/>
    <w:lvl w:ilvl="0">
      <w:lvlJc w:val="left"/>
      <w:lvlText w:val="%1."/>
      <w:numFmt w:val="decimal"/>
      <w:start w:val="12"/>
    </w:lvl>
  </w:abstractNum>
  <w:abstractNum w:abstractNumId="190">
    <w:nsid w:val="4C502870"/>
    <w:multiLevelType w:val="hybridMultilevel"/>
    <w:lvl w:ilvl="0">
      <w:lvlJc w:val="left"/>
      <w:lvlText w:val="*"/>
      <w:numFmt w:val="bullet"/>
      <w:start w:val="1"/>
    </w:lvl>
  </w:abstractNum>
  <w:abstractNum w:abstractNumId="191">
    <w:nsid w:val="1DE8725A"/>
    <w:multiLevelType w:val="hybridMultilevel"/>
    <w:lvl w:ilvl="0">
      <w:lvlJc w:val="left"/>
      <w:lvlText w:val="%1."/>
      <w:numFmt w:val="decimal"/>
      <w:start w:val="1"/>
    </w:lvl>
  </w:abstractNum>
  <w:abstractNum w:abstractNumId="192">
    <w:nsid w:val="6A37288A"/>
    <w:multiLevelType w:val="hybridMultilevel"/>
    <w:lvl w:ilvl="0">
      <w:lvlJc w:val="left"/>
      <w:lvlText w:val="%1."/>
      <w:numFmt w:val="decimal"/>
      <w:start w:val="2"/>
    </w:lvl>
    <w:lvl w:ilvl="1">
      <w:lvlJc w:val="left"/>
      <w:lvlText w:val="(%2)"/>
      <w:numFmt w:val="lowerLetter"/>
      <w:start w:val="1"/>
    </w:lvl>
  </w:abstractNum>
  <w:abstractNum w:abstractNumId="193">
    <w:nsid w:val="8F8B73F"/>
    <w:multiLevelType w:val="hybridMultilevel"/>
    <w:lvl w:ilvl="0">
      <w:lvlJc w:val="left"/>
      <w:lvlText w:val="(%1)"/>
      <w:numFmt w:val="lowerLetter"/>
      <w:start w:val="2"/>
    </w:lvl>
  </w:abstractNum>
  <w:abstractNum w:abstractNumId="194">
    <w:nsid w:val="CA6B462"/>
    <w:multiLevelType w:val="hybridMultilevel"/>
    <w:lvl w:ilvl="0">
      <w:lvlJc w:val="left"/>
      <w:lvlText w:val="%1."/>
      <w:numFmt w:val="decimal"/>
      <w:start w:val="4"/>
    </w:lvl>
    <w:lvl w:ilvl="1">
      <w:lvlJc w:val="left"/>
      <w:lvlText w:val="(%2)"/>
      <w:numFmt w:val="lowerLetter"/>
      <w:start w:val="1"/>
    </w:lvl>
  </w:abstractNum>
  <w:abstractNum w:abstractNumId="195">
    <w:nsid w:val="763CB68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6">
    <w:nsid w:val="15B7132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97">
    <w:nsid w:val="3DA97044"/>
    <w:multiLevelType w:val="hybridMultilevel"/>
    <w:lvl w:ilvl="0">
      <w:lvlJc w:val="left"/>
      <w:lvlText w:val="(%1)"/>
      <w:numFmt w:val="lowerLetter"/>
      <w:start w:val="1"/>
    </w:lvl>
    <w:lvl w:ilvl="1">
      <w:lvlJc w:val="left"/>
      <w:lvlText w:val="(%2)"/>
      <w:numFmt w:val="lowerRoman"/>
      <w:start w:val="1"/>
    </w:lvl>
  </w:abstractNum>
  <w:abstractNum w:abstractNumId="198">
    <w:nsid w:val="1CDCE2DE"/>
    <w:multiLevelType w:val="hybridMultilevel"/>
    <w:lvl w:ilvl="0">
      <w:lvlJc w:val="left"/>
      <w:lvlText w:val="%1."/>
      <w:numFmt w:val="decimal"/>
      <w:start w:val="1"/>
    </w:lvl>
  </w:abstractNum>
  <w:abstractNum w:abstractNumId="199">
    <w:nsid w:val="69D3947C"/>
    <w:multiLevelType w:val="hybridMultilevel"/>
    <w:lvl w:ilvl="0">
      <w:lvlJc w:val="left"/>
      <w:lvlText w:val="(%1)"/>
      <w:numFmt w:val="lowerLetter"/>
      <w:start w:val="1"/>
    </w:lvl>
  </w:abstractNum>
  <w:abstractNum w:abstractNumId="200">
    <w:nsid w:val="2539DFA5"/>
    <w:multiLevelType w:val="hybridMultilevel"/>
    <w:lvl w:ilvl="0">
      <w:lvlJc w:val="left"/>
      <w:lvlText w:val="(%1)"/>
      <w:numFmt w:val="lowerRoman"/>
      <w:start w:val="4"/>
    </w:lvl>
    <w:lvl w:ilvl="1">
      <w:lvlJc w:val="left"/>
      <w:lvlText w:val="(%2)"/>
      <w:numFmt w:val="lowerLetter"/>
      <w:start w:val="2"/>
    </w:lvl>
  </w:abstractNum>
  <w:abstractNum w:abstractNumId="201">
    <w:nsid w:val="2DB88089"/>
    <w:multiLevelType w:val="hybridMultilevel"/>
    <w:lvl w:ilvl="0">
      <w:lvlJc w:val="left"/>
      <w:lvlText w:val="%1."/>
      <w:numFmt w:val="decimal"/>
      <w:start w:val="2"/>
    </w:lvl>
  </w:abstractNum>
  <w:abstractNum w:abstractNumId="202">
    <w:nsid w:val="706B674E"/>
    <w:multiLevelType w:val="hybridMultilevel"/>
    <w:lvl w:ilvl="0">
      <w:lvlJc w:val="left"/>
      <w:lvlText w:val="(%1)"/>
      <w:numFmt w:val="lowerLetter"/>
      <w:start w:val="1"/>
    </w:lvl>
  </w:abstractNum>
  <w:abstractNum w:abstractNumId="203">
    <w:nsid w:val="2C106A57"/>
    <w:multiLevelType w:val="hybridMultilevel"/>
    <w:lvl w:ilvl="0">
      <w:lvlJc w:val="left"/>
      <w:lvlText w:val="(%1)"/>
      <w:numFmt w:val="lowerLetter"/>
      <w:start w:val="2"/>
    </w:lvl>
  </w:abstractNum>
  <w:abstractNum w:abstractNumId="204">
    <w:nsid w:val="684EED59"/>
    <w:multiLevelType w:val="hybridMultilevel"/>
    <w:lvl w:ilvl="0">
      <w:lvlJc w:val="left"/>
      <w:lvlText w:val="(%1)"/>
      <w:numFmt w:val="lowerLetter"/>
      <w:start w:val="1"/>
    </w:lvl>
  </w:abstractNum>
  <w:abstractNum w:abstractNumId="205">
    <w:nsid w:val="545EE5D3"/>
    <w:multiLevelType w:val="hybridMultilevel"/>
    <w:lvl w:ilvl="0">
      <w:lvlJc w:val="left"/>
      <w:lvlText w:val="%1."/>
      <w:numFmt w:val="decimal"/>
      <w:start w:val="1"/>
    </w:lvl>
  </w:abstractNum>
  <w:abstractNum w:abstractNumId="206">
    <w:nsid w:val="4A66051"/>
    <w:multiLevelType w:val="hybridMultilevel"/>
    <w:lvl w:ilvl="0">
      <w:lvlJc w:val="left"/>
      <w:lvlText w:val="(%1)"/>
      <w:numFmt w:val="upperLetter"/>
      <w:start w:val="5"/>
    </w:lvl>
    <w:lvl w:ilvl="1">
      <w:lvlJc w:val="left"/>
      <w:lvlText w:val="%2."/>
      <w:numFmt w:val="decimal"/>
      <w:start w:val="3"/>
    </w:lvl>
  </w:abstractNum>
  <w:abstractNum w:abstractNumId="207">
    <w:nsid w:val="20F4BDAD"/>
    <w:multiLevelType w:val="hybridMultilevel"/>
    <w:lvl w:ilvl="0">
      <w:lvlJc w:val="left"/>
      <w:lvlText w:val="%1."/>
      <w:numFmt w:val="decimal"/>
      <w:start w:val="1"/>
    </w:lvl>
    <w:lvl w:ilvl="1">
      <w:lvlJc w:val="left"/>
      <w:lvlText w:val="(%2)"/>
      <w:numFmt w:val="lowerLetter"/>
      <w:start w:val="1"/>
    </w:lvl>
  </w:abstractNum>
  <w:abstractNum w:abstractNumId="208">
    <w:nsid w:val="639DEFAC"/>
    <w:multiLevelType w:val="hybridMultilevel"/>
    <w:lvl w:ilvl="0">
      <w:lvlJc w:val="left"/>
      <w:lvlText w:val="(%1)"/>
      <w:numFmt w:val="lowerLetter"/>
      <w:start w:val="2"/>
    </w:lvl>
  </w:abstractNum>
  <w:abstractNum w:abstractNumId="209">
    <w:nsid w:val="501F9786"/>
    <w:multiLevelType w:val="hybridMultilevel"/>
    <w:lvl w:ilvl="0">
      <w:lvlJc w:val="left"/>
      <w:lvlText w:val="%1"/>
      <w:numFmt w:val="decimal"/>
      <w:start w:val="1"/>
    </w:lvl>
    <w:lvl w:ilvl="1">
      <w:lvlJc w:val="left"/>
      <w:lvlText w:val="(%2)"/>
      <w:numFmt w:val="lowerLetter"/>
      <w:start w:val="8"/>
    </w:lvl>
  </w:abstractNum>
  <w:abstractNum w:abstractNumId="210">
    <w:nsid w:val="6B057295"/>
    <w:multiLevelType w:val="hybridMultilevel"/>
    <w:lvl w:ilvl="0">
      <w:lvlJc w:val="left"/>
      <w:lvlText w:val="%1."/>
      <w:numFmt w:val="decimal"/>
      <w:start w:val="3"/>
    </w:lvl>
    <w:lvl w:ilvl="1">
      <w:lvlJc w:val="left"/>
      <w:lvlText w:val="(%2)"/>
      <w:numFmt w:val="lowerLetter"/>
      <w:start w:val="1"/>
    </w:lvl>
  </w:abstractNum>
  <w:abstractNum w:abstractNumId="211">
    <w:nsid w:val="2771AC80"/>
    <w:multiLevelType w:val="hybridMultilevel"/>
    <w:lvl w:ilvl="0">
      <w:lvlJc w:val="left"/>
      <w:lvlText w:val="%1."/>
      <w:numFmt w:val="decimal"/>
      <w:start w:val="6"/>
    </w:lvl>
  </w:abstractNum>
  <w:abstractNum w:abstractNumId="212">
    <w:nsid w:val="1C4A08EC"/>
    <w:multiLevelType w:val="hybridMultilevel"/>
    <w:lvl w:ilvl="0">
      <w:lvlJc w:val="left"/>
      <w:lvlText w:val="%1."/>
      <w:numFmt w:val="decimal"/>
      <w:start w:val="7"/>
    </w:lvl>
  </w:abstractNum>
  <w:abstractNum w:abstractNumId="213">
    <w:nsid w:val="1958BD17"/>
    <w:multiLevelType w:val="hybridMultilevel"/>
    <w:lvl w:ilvl="0">
      <w:lvlJc w:val="left"/>
      <w:lvlText w:val="%1."/>
      <w:numFmt w:val="lowerLetter"/>
      <w:start w:val="1"/>
    </w:lvl>
    <w:lvl w:ilvl="1">
      <w:lvlJc w:val="left"/>
      <w:lvlText w:val="(%2)"/>
      <w:numFmt w:val="lowerLetter"/>
      <w:start w:val="7"/>
    </w:lvl>
  </w:abstractNum>
  <w:abstractNum w:abstractNumId="214">
    <w:nsid w:val="4E647FE4"/>
    <w:multiLevelType w:val="hybridMultilevel"/>
    <w:lvl w:ilvl="0">
      <w:lvlJc w:val="left"/>
      <w:lvlText w:val="%1."/>
      <w:numFmt w:val="lowerLetter"/>
      <w:start w:val="4"/>
    </w:lvl>
  </w:abstractNum>
  <w:abstractNum w:abstractNumId="215">
    <w:nsid w:val="E0BB885"/>
    <w:multiLevelType w:val="hybridMultilevel"/>
    <w:lvl w:ilvl="0">
      <w:lvlJc w:val="left"/>
      <w:lvlText w:val="%1."/>
      <w:numFmt w:val="lowerLetter"/>
      <w:start w:val="7"/>
    </w:lvl>
  </w:abstractNum>
  <w:abstractNum w:abstractNumId="216">
    <w:nsid w:val="565976F1"/>
    <w:multiLevelType w:val="hybridMultilevel"/>
    <w:lvl w:ilvl="0">
      <w:lvlJc w:val="left"/>
      <w:lvlText w:val="%1."/>
      <w:numFmt w:val="lowerLetter"/>
      <w:start w:val="9"/>
    </w:lvl>
    <w:lvl w:ilvl="1">
      <w:lvlJc w:val="left"/>
      <w:lvlText w:val="(%2)"/>
      <w:numFmt w:val="lowerLetter"/>
      <w:start w:val="4"/>
    </w:lvl>
  </w:abstractNum>
  <w:abstractNum w:abstractNumId="217">
    <w:nsid w:val="64212B8C"/>
    <w:multiLevelType w:val="hybridMultilevel"/>
    <w:lvl w:ilvl="0">
      <w:lvlJc w:val="left"/>
      <w:lvlText w:val="%1"/>
      <w:numFmt w:val="lowerLetter"/>
      <w:start w:val="1"/>
    </w:lvl>
    <w:lvl w:ilvl="1">
      <w:lvlJc w:val="left"/>
      <w:lvlText w:val="(%2)"/>
      <w:numFmt w:val="lowerLetter"/>
      <w:start w:val="15"/>
    </w:lvl>
  </w:abstractNum>
  <w:abstractNum w:abstractNumId="218">
    <w:nsid w:val="5C17530C"/>
    <w:multiLevelType w:val="hybridMultilevel"/>
    <w:lvl w:ilvl="0">
      <w:lvlJc w:val="left"/>
      <w:lvlText w:val="%1."/>
      <w:numFmt w:val="lowerLetter"/>
      <w:start w:val="1"/>
    </w:lvl>
  </w:abstractNum>
  <w:abstractNum w:abstractNumId="219">
    <w:nsid w:val="19A52566"/>
    <w:multiLevelType w:val="hybridMultilevel"/>
    <w:lvl w:ilvl="0">
      <w:lvlJc w:val="left"/>
      <w:lvlText w:val="%1."/>
      <w:numFmt w:val="lowerLetter"/>
      <w:start w:val="1"/>
    </w:lvl>
  </w:abstractNum>
  <w:abstractNum w:abstractNumId="220">
    <w:nsid w:val="335A1DF1"/>
    <w:multiLevelType w:val="hybridMultilevel"/>
    <w:lvl w:ilvl="0">
      <w:lvlJc w:val="left"/>
      <w:lvlText w:val="%1."/>
      <w:numFmt w:val="decimal"/>
      <w:start w:val="1"/>
    </w:lvl>
    <w:lvl w:ilvl="1">
      <w:lvlJc w:val="left"/>
      <w:lvlText w:val="%2."/>
      <w:numFmt w:val="lowerLetter"/>
      <w:start w:val="1"/>
    </w:lvl>
  </w:abstractNum>
  <w:abstractNum w:abstractNumId="221">
    <w:nsid w:val="28677B7C"/>
    <w:multiLevelType w:val="hybridMultilevel"/>
    <w:lvl w:ilvl="0">
      <w:lvlJc w:val="left"/>
      <w:lvlText w:val="%1."/>
      <w:numFmt w:val="decimal"/>
      <w:start w:val="1"/>
    </w:lvl>
    <w:lvl w:ilvl="1">
      <w:lvlJc w:val="left"/>
      <w:lvlText w:val="%2."/>
      <w:numFmt w:val="lowerLetter"/>
      <w:start w:val="1"/>
    </w:lvl>
  </w:abstractNum>
  <w:abstractNum w:abstractNumId="222">
    <w:nsid w:val="378D97C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65" Type="http://schemas.openxmlformats.org/officeDocument/2006/relationships/hyperlink" Target="http://www.sec.gov/Archives/edgar/data/1174922/000117492215000044/ex-31.htm" TargetMode="External"/><Relationship Id="rId66" Type="http://schemas.openxmlformats.org/officeDocument/2006/relationships/hyperlink" Target="https://www.sec.gov/Archives/edgar/data/1174922/000117492220000024/ex32-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2020-05-08T15:35:19Z</dcterms:created>
  <dcterms:modified xsi:type="dcterms:W3CDTF">2020-05-08T15:35:19Z</dcterms:modified>
</cp:coreProperties>
</file>