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t>UNITED STATES</w:t>
      </w:r>
    </w:p>
    <w:p>
      <w:pPr>
        <w:jc w:val="center"/>
        <w:ind w:right="-19"/>
        <w:spacing w:after="0" w:line="233" w:lineRule="auto"/>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line="226" w:lineRule="auto"/>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8"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186" w:lineRule="exact"/>
        <w:rPr>
          <w:sz w:val="24"/>
          <w:szCs w:val="24"/>
          <w:color w:val="auto"/>
        </w:rPr>
      </w:pPr>
    </w:p>
    <w:p>
      <w:pPr>
        <w:ind w:left="3260"/>
        <w:spacing w:after="0"/>
        <w:rPr>
          <w:sz w:val="20"/>
          <w:szCs w:val="20"/>
          <w:color w:val="auto"/>
        </w:rPr>
      </w:pPr>
      <w:r>
        <w:rPr>
          <w:rFonts w:ascii="Arial" w:cs="Arial" w:eastAsia="Arial" w:hAnsi="Arial"/>
          <w:sz w:val="20"/>
          <w:szCs w:val="20"/>
          <w:color w:val="auto"/>
        </w:rPr>
        <w:t>Date of Report (Date of earliest event reported): July 14, 2011</w:t>
      </w:r>
    </w:p>
    <w:p>
      <w:pPr>
        <w:spacing w:after="0" w:line="196" w:lineRule="exact"/>
        <w:rPr>
          <w:sz w:val="24"/>
          <w:szCs w:val="24"/>
          <w:color w:val="auto"/>
        </w:rPr>
      </w:pPr>
    </w:p>
    <w:p>
      <w:pPr>
        <w:ind w:left="4420"/>
        <w:spacing w:after="0"/>
        <w:rPr>
          <w:sz w:val="20"/>
          <w:szCs w:val="20"/>
          <w:color w:val="auto"/>
        </w:rPr>
      </w:pPr>
      <w:r>
        <w:rPr>
          <w:rFonts w:ascii="Arial" w:cs="Arial" w:eastAsia="Arial" w:hAnsi="Arial"/>
          <w:sz w:val="20"/>
          <w:szCs w:val="20"/>
          <w:b w:val="1"/>
          <w:bCs w:val="1"/>
          <w:color w:val="auto"/>
        </w:rPr>
        <w:t>WYNN RESORTS, LIMITED</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pacing w:after="0" w:line="172" w:lineRule="exact"/>
        <w:rPr>
          <w:sz w:val="24"/>
          <w:szCs w:val="24"/>
          <w:color w:val="auto"/>
        </w:rPr>
      </w:pPr>
    </w:p>
    <w:tbl>
      <w:tblPr>
        <w:tblLayout w:type="fixed"/>
        <w:tblInd w:w="160" w:type="dxa"/>
        <w:tblCellMar>
          <w:top w:w="0" w:type="dxa"/>
          <w:left w:w="0" w:type="dxa"/>
          <w:bottom w:w="0" w:type="dxa"/>
          <w:right w:w="0" w:type="dxa"/>
        </w:tblCellMar>
      </w:tblPr>
      <w:tr>
        <w:trPr>
          <w:trHeight w:val="230"/>
        </w:trPr>
        <w:tc>
          <w:tcPr>
            <w:tcW w:w="3500" w:type="dxa"/>
            <w:vAlign w:val="bottom"/>
          </w:tcPr>
          <w:p>
            <w:pPr>
              <w:jc w:val="center"/>
              <w:spacing w:after="0"/>
              <w:rPr>
                <w:sz w:val="20"/>
                <w:szCs w:val="20"/>
                <w:color w:val="auto"/>
              </w:rPr>
            </w:pPr>
            <w:r>
              <w:rPr>
                <w:rFonts w:ascii="Arial" w:cs="Arial" w:eastAsia="Arial" w:hAnsi="Arial"/>
                <w:sz w:val="20"/>
                <w:szCs w:val="20"/>
                <w:b w:val="1"/>
                <w:bCs w:val="1"/>
                <w:color w:val="auto"/>
                <w:w w:val="89"/>
              </w:rPr>
              <w:t>Nevada</w:t>
            </w:r>
          </w:p>
        </w:tc>
        <w:tc>
          <w:tcPr>
            <w:tcW w:w="4280" w:type="dxa"/>
            <w:vAlign w:val="bottom"/>
          </w:tcPr>
          <w:p>
            <w:pPr>
              <w:jc w:val="right"/>
              <w:ind w:right="1701"/>
              <w:spacing w:after="0"/>
              <w:rPr>
                <w:sz w:val="20"/>
                <w:szCs w:val="20"/>
                <w:color w:val="auto"/>
              </w:rPr>
            </w:pPr>
            <w:r>
              <w:rPr>
                <w:rFonts w:ascii="Arial" w:cs="Arial" w:eastAsia="Arial" w:hAnsi="Arial"/>
                <w:sz w:val="20"/>
                <w:szCs w:val="20"/>
                <w:b w:val="1"/>
                <w:bCs w:val="1"/>
                <w:color w:val="auto"/>
              </w:rPr>
              <w:t>000-50028</w:t>
            </w:r>
          </w:p>
        </w:tc>
        <w:tc>
          <w:tcPr>
            <w:tcW w:w="3020" w:type="dxa"/>
            <w:vAlign w:val="bottom"/>
          </w:tcPr>
          <w:p>
            <w:pPr>
              <w:jc w:val="center"/>
              <w:ind w:left="41"/>
              <w:spacing w:after="0"/>
              <w:rPr>
                <w:sz w:val="20"/>
                <w:szCs w:val="20"/>
                <w:color w:val="auto"/>
              </w:rPr>
            </w:pPr>
            <w:r>
              <w:rPr>
                <w:rFonts w:ascii="Arial" w:cs="Arial" w:eastAsia="Arial" w:hAnsi="Arial"/>
                <w:sz w:val="20"/>
                <w:szCs w:val="20"/>
                <w:b w:val="1"/>
                <w:bCs w:val="1"/>
                <w:color w:val="auto"/>
                <w:w w:val="89"/>
              </w:rPr>
              <w:t>46-0484987</w:t>
            </w:r>
          </w:p>
        </w:tc>
      </w:tr>
      <w:tr>
        <w:trPr>
          <w:trHeight w:val="250"/>
        </w:trPr>
        <w:tc>
          <w:tcPr>
            <w:tcW w:w="3500" w:type="dxa"/>
            <w:vAlign w:val="bottom"/>
          </w:tcPr>
          <w:p>
            <w:pPr>
              <w:jc w:val="center"/>
              <w:spacing w:after="0"/>
              <w:rPr>
                <w:sz w:val="20"/>
                <w:szCs w:val="20"/>
                <w:color w:val="auto"/>
              </w:rPr>
            </w:pPr>
            <w:r>
              <w:rPr>
                <w:rFonts w:ascii="Arial" w:cs="Arial" w:eastAsia="Arial" w:hAnsi="Arial"/>
                <w:sz w:val="20"/>
                <w:szCs w:val="20"/>
                <w:color w:val="auto"/>
                <w:w w:val="92"/>
              </w:rPr>
              <w:t>(State or other jurisdiction of incorporation)</w:t>
            </w:r>
          </w:p>
        </w:tc>
        <w:tc>
          <w:tcPr>
            <w:tcW w:w="4280" w:type="dxa"/>
            <w:vAlign w:val="bottom"/>
          </w:tcPr>
          <w:p>
            <w:pPr>
              <w:jc w:val="center"/>
              <w:ind w:right="81"/>
              <w:spacing w:after="0"/>
              <w:rPr>
                <w:sz w:val="20"/>
                <w:szCs w:val="20"/>
                <w:color w:val="auto"/>
              </w:rPr>
            </w:pPr>
            <w:r>
              <w:rPr>
                <w:rFonts w:ascii="Arial" w:cs="Arial" w:eastAsia="Arial" w:hAnsi="Arial"/>
                <w:sz w:val="20"/>
                <w:szCs w:val="20"/>
                <w:color w:val="auto"/>
                <w:w w:val="91"/>
              </w:rPr>
              <w:t>(Commission File Number)</w:t>
            </w:r>
          </w:p>
        </w:tc>
        <w:tc>
          <w:tcPr>
            <w:tcW w:w="3020" w:type="dxa"/>
            <w:vAlign w:val="bottom"/>
          </w:tcPr>
          <w:p>
            <w:pPr>
              <w:jc w:val="center"/>
              <w:ind w:left="41"/>
              <w:spacing w:after="0"/>
              <w:rPr>
                <w:sz w:val="20"/>
                <w:szCs w:val="20"/>
                <w:color w:val="auto"/>
              </w:rPr>
            </w:pPr>
            <w:r>
              <w:rPr>
                <w:rFonts w:ascii="Arial" w:cs="Arial" w:eastAsia="Arial" w:hAnsi="Arial"/>
                <w:sz w:val="20"/>
                <w:szCs w:val="20"/>
                <w:color w:val="auto"/>
                <w:w w:val="93"/>
              </w:rPr>
              <w:t>(I.R.S. Employer Identification No.)</w:t>
            </w:r>
          </w:p>
        </w:tc>
      </w:tr>
      <w:tr>
        <w:trPr>
          <w:trHeight w:val="614"/>
        </w:trPr>
        <w:tc>
          <w:tcPr>
            <w:tcW w:w="3500" w:type="dxa"/>
            <w:vAlign w:val="bottom"/>
          </w:tcPr>
          <w:p>
            <w:pPr>
              <w:spacing w:after="0"/>
              <w:rPr>
                <w:sz w:val="24"/>
                <w:szCs w:val="24"/>
                <w:color w:val="auto"/>
              </w:rPr>
            </w:pPr>
          </w:p>
        </w:tc>
        <w:tc>
          <w:tcPr>
            <w:tcW w:w="4280" w:type="dxa"/>
            <w:vAlign w:val="bottom"/>
          </w:tcPr>
          <w:p>
            <w:pPr>
              <w:jc w:val="center"/>
              <w:ind w:right="81"/>
              <w:spacing w:after="0"/>
              <w:rPr>
                <w:sz w:val="20"/>
                <w:szCs w:val="20"/>
                <w:color w:val="auto"/>
              </w:rPr>
            </w:pPr>
            <w:r>
              <w:rPr>
                <w:rFonts w:ascii="Arial" w:cs="Arial" w:eastAsia="Arial" w:hAnsi="Arial"/>
                <w:sz w:val="20"/>
                <w:szCs w:val="20"/>
                <w:b w:val="1"/>
                <w:bCs w:val="1"/>
                <w:color w:val="auto"/>
                <w:w w:val="99"/>
              </w:rPr>
              <w:t>WYNN LAS VEGAS, LLC</w:t>
            </w:r>
          </w:p>
        </w:tc>
        <w:tc>
          <w:tcPr>
            <w:tcW w:w="3020" w:type="dxa"/>
            <w:vAlign w:val="bottom"/>
          </w:tcPr>
          <w:p>
            <w:pPr>
              <w:spacing w:after="0"/>
              <w:rPr>
                <w:sz w:val="24"/>
                <w:szCs w:val="24"/>
                <w:color w:val="auto"/>
              </w:rPr>
            </w:pPr>
          </w:p>
        </w:tc>
      </w:tr>
      <w:tr>
        <w:trPr>
          <w:trHeight w:val="250"/>
        </w:trPr>
        <w:tc>
          <w:tcPr>
            <w:tcW w:w="3500" w:type="dxa"/>
            <w:vAlign w:val="bottom"/>
          </w:tcPr>
          <w:p>
            <w:pPr>
              <w:spacing w:after="0"/>
              <w:rPr>
                <w:sz w:val="21"/>
                <w:szCs w:val="21"/>
                <w:color w:val="auto"/>
              </w:rPr>
            </w:pPr>
          </w:p>
        </w:tc>
        <w:tc>
          <w:tcPr>
            <w:tcW w:w="4280" w:type="dxa"/>
            <w:vAlign w:val="bottom"/>
          </w:tcPr>
          <w:p>
            <w:pPr>
              <w:jc w:val="center"/>
              <w:ind w:right="81"/>
              <w:spacing w:after="0"/>
              <w:rPr>
                <w:sz w:val="20"/>
                <w:szCs w:val="20"/>
                <w:color w:val="auto"/>
              </w:rPr>
            </w:pPr>
            <w:r>
              <w:rPr>
                <w:rFonts w:ascii="Arial" w:cs="Arial" w:eastAsia="Arial" w:hAnsi="Arial"/>
                <w:sz w:val="20"/>
                <w:szCs w:val="20"/>
                <w:color w:val="auto"/>
                <w:w w:val="89"/>
              </w:rPr>
              <w:t>(Exact name of registrant as specified in its charter)</w:t>
            </w:r>
          </w:p>
        </w:tc>
        <w:tc>
          <w:tcPr>
            <w:tcW w:w="3020" w:type="dxa"/>
            <w:vAlign w:val="bottom"/>
          </w:tcPr>
          <w:p>
            <w:pPr>
              <w:spacing w:after="0"/>
              <w:rPr>
                <w:sz w:val="21"/>
                <w:szCs w:val="21"/>
                <w:color w:val="auto"/>
              </w:rPr>
            </w:pPr>
          </w:p>
        </w:tc>
      </w:tr>
      <w:tr>
        <w:trPr>
          <w:trHeight w:val="398"/>
        </w:trPr>
        <w:tc>
          <w:tcPr>
            <w:tcW w:w="3500" w:type="dxa"/>
            <w:vAlign w:val="bottom"/>
          </w:tcPr>
          <w:p>
            <w:pPr>
              <w:jc w:val="center"/>
              <w:spacing w:after="0"/>
              <w:rPr>
                <w:sz w:val="20"/>
                <w:szCs w:val="20"/>
                <w:color w:val="auto"/>
              </w:rPr>
            </w:pPr>
            <w:r>
              <w:rPr>
                <w:rFonts w:ascii="Arial" w:cs="Arial" w:eastAsia="Arial" w:hAnsi="Arial"/>
                <w:sz w:val="20"/>
                <w:szCs w:val="20"/>
                <w:b w:val="1"/>
                <w:bCs w:val="1"/>
                <w:color w:val="auto"/>
                <w:w w:val="89"/>
              </w:rPr>
              <w:t>Nevada</w:t>
            </w:r>
          </w:p>
        </w:tc>
        <w:tc>
          <w:tcPr>
            <w:tcW w:w="4280" w:type="dxa"/>
            <w:vAlign w:val="bottom"/>
          </w:tcPr>
          <w:p>
            <w:pPr>
              <w:jc w:val="right"/>
              <w:ind w:right="1661"/>
              <w:spacing w:after="0"/>
              <w:rPr>
                <w:sz w:val="20"/>
                <w:szCs w:val="20"/>
                <w:color w:val="auto"/>
              </w:rPr>
            </w:pPr>
            <w:r>
              <w:rPr>
                <w:rFonts w:ascii="Arial" w:cs="Arial" w:eastAsia="Arial" w:hAnsi="Arial"/>
                <w:sz w:val="20"/>
                <w:szCs w:val="20"/>
                <w:b w:val="1"/>
                <w:bCs w:val="1"/>
                <w:color w:val="auto"/>
              </w:rPr>
              <w:t>333-100768</w:t>
            </w:r>
          </w:p>
        </w:tc>
        <w:tc>
          <w:tcPr>
            <w:tcW w:w="3020" w:type="dxa"/>
            <w:vAlign w:val="bottom"/>
          </w:tcPr>
          <w:p>
            <w:pPr>
              <w:jc w:val="center"/>
              <w:ind w:left="41"/>
              <w:spacing w:after="0"/>
              <w:rPr>
                <w:sz w:val="20"/>
                <w:szCs w:val="20"/>
                <w:color w:val="auto"/>
              </w:rPr>
            </w:pPr>
            <w:r>
              <w:rPr>
                <w:rFonts w:ascii="Arial" w:cs="Arial" w:eastAsia="Arial" w:hAnsi="Arial"/>
                <w:sz w:val="20"/>
                <w:szCs w:val="20"/>
                <w:b w:val="1"/>
                <w:bCs w:val="1"/>
                <w:color w:val="auto"/>
                <w:w w:val="89"/>
              </w:rPr>
              <w:t>88-0494875</w:t>
            </w:r>
          </w:p>
        </w:tc>
      </w:tr>
      <w:tr>
        <w:trPr>
          <w:trHeight w:val="250"/>
        </w:trPr>
        <w:tc>
          <w:tcPr>
            <w:tcW w:w="3500" w:type="dxa"/>
            <w:vAlign w:val="bottom"/>
          </w:tcPr>
          <w:p>
            <w:pPr>
              <w:jc w:val="center"/>
              <w:spacing w:after="0"/>
              <w:rPr>
                <w:sz w:val="20"/>
                <w:szCs w:val="20"/>
                <w:color w:val="auto"/>
              </w:rPr>
            </w:pPr>
            <w:r>
              <w:rPr>
                <w:rFonts w:ascii="Arial" w:cs="Arial" w:eastAsia="Arial" w:hAnsi="Arial"/>
                <w:sz w:val="20"/>
                <w:szCs w:val="20"/>
                <w:color w:val="auto"/>
                <w:w w:val="92"/>
              </w:rPr>
              <w:t>(State or other jurisdiction of incorporation)</w:t>
            </w:r>
          </w:p>
        </w:tc>
        <w:tc>
          <w:tcPr>
            <w:tcW w:w="4280" w:type="dxa"/>
            <w:vAlign w:val="bottom"/>
          </w:tcPr>
          <w:p>
            <w:pPr>
              <w:jc w:val="center"/>
              <w:ind w:right="81"/>
              <w:spacing w:after="0"/>
              <w:rPr>
                <w:sz w:val="20"/>
                <w:szCs w:val="20"/>
                <w:color w:val="auto"/>
              </w:rPr>
            </w:pPr>
            <w:r>
              <w:rPr>
                <w:rFonts w:ascii="Arial" w:cs="Arial" w:eastAsia="Arial" w:hAnsi="Arial"/>
                <w:sz w:val="20"/>
                <w:szCs w:val="20"/>
                <w:color w:val="auto"/>
                <w:w w:val="91"/>
              </w:rPr>
              <w:t>(Commission File Number)</w:t>
            </w:r>
          </w:p>
        </w:tc>
        <w:tc>
          <w:tcPr>
            <w:tcW w:w="3020" w:type="dxa"/>
            <w:vAlign w:val="bottom"/>
          </w:tcPr>
          <w:p>
            <w:pPr>
              <w:jc w:val="center"/>
              <w:ind w:left="41"/>
              <w:spacing w:after="0"/>
              <w:rPr>
                <w:sz w:val="20"/>
                <w:szCs w:val="20"/>
                <w:color w:val="auto"/>
              </w:rPr>
            </w:pPr>
            <w:r>
              <w:rPr>
                <w:rFonts w:ascii="Arial" w:cs="Arial" w:eastAsia="Arial" w:hAnsi="Arial"/>
                <w:sz w:val="20"/>
                <w:szCs w:val="20"/>
                <w:color w:val="auto"/>
                <w:w w:val="93"/>
              </w:rPr>
              <w:t>(I.R.S. Employer Identification No.)</w:t>
            </w:r>
          </w:p>
        </w:tc>
      </w:tr>
      <w:tr>
        <w:trPr>
          <w:trHeight w:val="608"/>
        </w:trPr>
        <w:tc>
          <w:tcPr>
            <w:tcW w:w="7780" w:type="dxa"/>
            <w:vAlign w:val="bottom"/>
            <w:gridSpan w:val="2"/>
          </w:tcPr>
          <w:p>
            <w:pPr>
              <w:jc w:val="center"/>
              <w:ind w:right="2281"/>
              <w:spacing w:after="0"/>
              <w:rPr>
                <w:sz w:val="20"/>
                <w:szCs w:val="20"/>
                <w:color w:val="auto"/>
              </w:rPr>
            </w:pPr>
            <w:r>
              <w:rPr>
                <w:rFonts w:ascii="Arial" w:cs="Arial" w:eastAsia="Arial" w:hAnsi="Arial"/>
                <w:sz w:val="20"/>
                <w:szCs w:val="20"/>
                <w:b w:val="1"/>
                <w:bCs w:val="1"/>
                <w:color w:val="auto"/>
                <w:w w:val="87"/>
              </w:rPr>
              <w:t>3131 Las Vegas Boulevard South</w:t>
            </w:r>
          </w:p>
        </w:tc>
        <w:tc>
          <w:tcPr>
            <w:tcW w:w="3020" w:type="dxa"/>
            <w:vAlign w:val="bottom"/>
          </w:tcPr>
          <w:p>
            <w:pPr>
              <w:spacing w:after="0"/>
              <w:rPr>
                <w:sz w:val="24"/>
                <w:szCs w:val="24"/>
                <w:color w:val="auto"/>
              </w:rPr>
            </w:pPr>
          </w:p>
        </w:tc>
      </w:tr>
      <w:tr>
        <w:trPr>
          <w:trHeight w:val="222"/>
        </w:trPr>
        <w:tc>
          <w:tcPr>
            <w:tcW w:w="3500" w:type="dxa"/>
            <w:vAlign w:val="bottom"/>
          </w:tcPr>
          <w:p>
            <w:pPr>
              <w:jc w:val="center"/>
              <w:ind w:left="1781"/>
              <w:spacing w:after="0" w:line="222" w:lineRule="exact"/>
              <w:rPr>
                <w:sz w:val="20"/>
                <w:szCs w:val="20"/>
                <w:color w:val="auto"/>
              </w:rPr>
            </w:pPr>
            <w:r>
              <w:rPr>
                <w:rFonts w:ascii="Arial" w:cs="Arial" w:eastAsia="Arial" w:hAnsi="Arial"/>
                <w:sz w:val="20"/>
                <w:szCs w:val="20"/>
                <w:b w:val="1"/>
                <w:bCs w:val="1"/>
                <w:color w:val="auto"/>
                <w:w w:val="87"/>
              </w:rPr>
              <w:t>Las Vegas, Nevada</w:t>
            </w:r>
          </w:p>
        </w:tc>
        <w:tc>
          <w:tcPr>
            <w:tcW w:w="4280" w:type="dxa"/>
            <w:vAlign w:val="bottom"/>
          </w:tcPr>
          <w:p>
            <w:pPr>
              <w:spacing w:after="0"/>
              <w:rPr>
                <w:sz w:val="19"/>
                <w:szCs w:val="19"/>
                <w:color w:val="auto"/>
              </w:rPr>
            </w:pPr>
          </w:p>
        </w:tc>
        <w:tc>
          <w:tcPr>
            <w:tcW w:w="3020" w:type="dxa"/>
            <w:vAlign w:val="bottom"/>
          </w:tcPr>
          <w:p>
            <w:pPr>
              <w:jc w:val="right"/>
              <w:ind w:right="2041"/>
              <w:spacing w:after="0" w:line="222" w:lineRule="exact"/>
              <w:rPr>
                <w:sz w:val="20"/>
                <w:szCs w:val="20"/>
                <w:color w:val="auto"/>
              </w:rPr>
            </w:pPr>
            <w:r>
              <w:rPr>
                <w:rFonts w:ascii="Arial" w:cs="Arial" w:eastAsia="Arial" w:hAnsi="Arial"/>
                <w:sz w:val="20"/>
                <w:szCs w:val="20"/>
                <w:b w:val="1"/>
                <w:bCs w:val="1"/>
                <w:color w:val="auto"/>
              </w:rPr>
              <w:t>89109</w:t>
            </w:r>
          </w:p>
        </w:tc>
      </w:tr>
      <w:tr>
        <w:trPr>
          <w:trHeight w:val="250"/>
        </w:trPr>
        <w:tc>
          <w:tcPr>
            <w:tcW w:w="7780" w:type="dxa"/>
            <w:vAlign w:val="bottom"/>
            <w:gridSpan w:val="2"/>
          </w:tcPr>
          <w:p>
            <w:pPr>
              <w:jc w:val="center"/>
              <w:ind w:right="2281"/>
              <w:spacing w:after="0"/>
              <w:rPr>
                <w:sz w:val="20"/>
                <w:szCs w:val="20"/>
                <w:color w:val="auto"/>
              </w:rPr>
            </w:pPr>
            <w:r>
              <w:rPr>
                <w:rFonts w:ascii="Arial" w:cs="Arial" w:eastAsia="Arial" w:hAnsi="Arial"/>
                <w:sz w:val="20"/>
                <w:szCs w:val="20"/>
                <w:color w:val="auto"/>
                <w:w w:val="90"/>
              </w:rPr>
              <w:t>(Address of principal executive offices of each registrant)</w:t>
            </w:r>
          </w:p>
        </w:tc>
        <w:tc>
          <w:tcPr>
            <w:tcW w:w="3020" w:type="dxa"/>
            <w:vAlign w:val="bottom"/>
          </w:tcPr>
          <w:p>
            <w:pPr>
              <w:jc w:val="center"/>
              <w:ind w:right="1681"/>
              <w:spacing w:after="0"/>
              <w:rPr>
                <w:sz w:val="20"/>
                <w:szCs w:val="20"/>
                <w:color w:val="auto"/>
              </w:rPr>
            </w:pPr>
            <w:r>
              <w:rPr>
                <w:rFonts w:ascii="Arial" w:cs="Arial" w:eastAsia="Arial" w:hAnsi="Arial"/>
                <w:sz w:val="20"/>
                <w:szCs w:val="20"/>
                <w:color w:val="auto"/>
                <w:w w:val="93"/>
              </w:rPr>
              <w:t>(Zip Code)</w:t>
            </w:r>
          </w:p>
        </w:tc>
      </w:tr>
      <w:tr>
        <w:trPr>
          <w:trHeight w:val="398"/>
        </w:trPr>
        <w:tc>
          <w:tcPr>
            <w:tcW w:w="3500" w:type="dxa"/>
            <w:vAlign w:val="bottom"/>
          </w:tcPr>
          <w:p>
            <w:pPr>
              <w:spacing w:after="0"/>
              <w:rPr>
                <w:sz w:val="24"/>
                <w:szCs w:val="24"/>
                <w:color w:val="auto"/>
              </w:rPr>
            </w:pPr>
          </w:p>
        </w:tc>
        <w:tc>
          <w:tcPr>
            <w:tcW w:w="4280" w:type="dxa"/>
            <w:vAlign w:val="bottom"/>
          </w:tcPr>
          <w:p>
            <w:pPr>
              <w:jc w:val="right"/>
              <w:ind w:right="1501"/>
              <w:spacing w:after="0"/>
              <w:rPr>
                <w:sz w:val="20"/>
                <w:szCs w:val="20"/>
                <w:color w:val="auto"/>
              </w:rPr>
            </w:pPr>
            <w:r>
              <w:rPr>
                <w:rFonts w:ascii="Arial" w:cs="Arial" w:eastAsia="Arial" w:hAnsi="Arial"/>
                <w:sz w:val="20"/>
                <w:szCs w:val="20"/>
                <w:b w:val="1"/>
                <w:bCs w:val="1"/>
                <w:color w:val="auto"/>
              </w:rPr>
              <w:t>(702) 770-7555</w:t>
            </w:r>
          </w:p>
        </w:tc>
        <w:tc>
          <w:tcPr>
            <w:tcW w:w="3020" w:type="dxa"/>
            <w:vAlign w:val="bottom"/>
          </w:tcPr>
          <w:p>
            <w:pPr>
              <w:spacing w:after="0"/>
              <w:rPr>
                <w:sz w:val="24"/>
                <w:szCs w:val="24"/>
                <w:color w:val="auto"/>
              </w:rPr>
            </w:pPr>
          </w:p>
        </w:tc>
      </w:tr>
      <w:tr>
        <w:trPr>
          <w:trHeight w:val="250"/>
        </w:trPr>
        <w:tc>
          <w:tcPr>
            <w:tcW w:w="7780" w:type="dxa"/>
            <w:vAlign w:val="bottom"/>
            <w:gridSpan w:val="2"/>
          </w:tcPr>
          <w:p>
            <w:pPr>
              <w:jc w:val="center"/>
              <w:ind w:left="3221"/>
              <w:spacing w:after="0"/>
              <w:rPr>
                <w:sz w:val="20"/>
                <w:szCs w:val="20"/>
                <w:color w:val="auto"/>
              </w:rPr>
            </w:pPr>
            <w:r>
              <w:rPr>
                <w:rFonts w:ascii="Arial" w:cs="Arial" w:eastAsia="Arial" w:hAnsi="Arial"/>
                <w:sz w:val="20"/>
                <w:szCs w:val="20"/>
                <w:color w:val="auto"/>
                <w:w w:val="88"/>
              </w:rPr>
              <w:t>(Registrant’s telephone number, including area code)</w:t>
            </w:r>
          </w:p>
        </w:tc>
        <w:tc>
          <w:tcPr>
            <w:tcW w:w="3020" w:type="dxa"/>
            <w:vAlign w:val="bottom"/>
          </w:tcPr>
          <w:p>
            <w:pPr>
              <w:spacing w:after="0"/>
              <w:rPr>
                <w:sz w:val="21"/>
                <w:szCs w:val="21"/>
                <w:color w:val="auto"/>
              </w:rPr>
            </w:pPr>
          </w:p>
        </w:tc>
      </w:tr>
    </w:tbl>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186" w:lineRule="exact"/>
        <w:rPr>
          <w:sz w:val="24"/>
          <w:szCs w:val="24"/>
          <w:color w:val="auto"/>
        </w:rPr>
      </w:pPr>
    </w:p>
    <w:p>
      <w:pPr>
        <w:spacing w:after="0" w:line="246"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177" w:lineRule="exact"/>
        <w:rPr>
          <w:sz w:val="24"/>
          <w:szCs w:val="24"/>
          <w:color w:val="auto"/>
        </w:rPr>
      </w:pPr>
    </w:p>
    <w:p>
      <w:pPr>
        <w:ind w:left="520" w:hanging="45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20"/>
          <w:szCs w:val="20"/>
          <w:color w:val="auto"/>
        </w:rPr>
        <w:t>Written communication pursuant to Rule 425 under the Securities Act (17 CFR 230.425)</w:t>
      </w:r>
    </w:p>
    <w:p>
      <w:pPr>
        <w:spacing w:after="0" w:line="94" w:lineRule="exact"/>
        <w:rPr>
          <w:rFonts w:ascii="Arial" w:cs="Arial" w:eastAsia="Arial" w:hAnsi="Arial"/>
          <w:sz w:val="18"/>
          <w:szCs w:val="18"/>
          <w:color w:val="auto"/>
        </w:rPr>
      </w:pPr>
    </w:p>
    <w:p>
      <w:pPr>
        <w:ind w:left="520" w:hanging="45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20"/>
          <w:szCs w:val="20"/>
          <w:color w:val="auto"/>
        </w:rPr>
        <w:t>Soliciting material pursuant to Rule 14a-12 under the Exchange Act (17 CFR 240.14a-12)</w:t>
      </w:r>
    </w:p>
    <w:p>
      <w:pPr>
        <w:spacing w:after="0" w:line="94" w:lineRule="exact"/>
        <w:rPr>
          <w:rFonts w:ascii="Arial" w:cs="Arial" w:eastAsia="Arial" w:hAnsi="Arial"/>
          <w:sz w:val="18"/>
          <w:szCs w:val="18"/>
          <w:color w:val="auto"/>
        </w:rPr>
      </w:pPr>
    </w:p>
    <w:p>
      <w:pPr>
        <w:ind w:left="520" w:hanging="45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20"/>
          <w:szCs w:val="20"/>
          <w:color w:val="auto"/>
        </w:rPr>
        <w:t>Pre-commencement communications pursuant to Rule 14d-2(b) under the Exchange Act (17 CFR 240.14d-2(b))</w:t>
      </w:r>
    </w:p>
    <w:p>
      <w:pPr>
        <w:spacing w:after="0" w:line="94" w:lineRule="exact"/>
        <w:rPr>
          <w:rFonts w:ascii="Arial" w:cs="Arial" w:eastAsia="Arial" w:hAnsi="Arial"/>
          <w:sz w:val="18"/>
          <w:szCs w:val="18"/>
          <w:color w:val="auto"/>
        </w:rPr>
      </w:pPr>
    </w:p>
    <w:p>
      <w:pPr>
        <w:ind w:left="520" w:hanging="45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600075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39" w:lineRule="exact"/>
        <w:rPr>
          <w:sz w:val="20"/>
          <w:szCs w:val="20"/>
          <w:color w:val="auto"/>
        </w:rPr>
      </w:pPr>
    </w:p>
    <w:p>
      <w:pPr>
        <w:ind w:right="180" w:firstLine="648"/>
        <w:spacing w:after="0" w:line="282" w:lineRule="auto"/>
        <w:rPr>
          <w:sz w:val="20"/>
          <w:szCs w:val="20"/>
          <w:color w:val="auto"/>
        </w:rPr>
      </w:pPr>
      <w:r>
        <w:rPr>
          <w:rFonts w:ascii="Arial" w:cs="Arial" w:eastAsia="Arial" w:hAnsi="Arial"/>
          <w:sz w:val="19"/>
          <w:szCs w:val="19"/>
          <w:color w:val="auto"/>
        </w:rPr>
        <w:t>On July 18, 2011, Wynn Resorts, Limited (the “Company”) issued a press release announcing its results of operations for the second quarter of 2011. The press release is furnished herewith as Exhibit 99.1. The information in Item 2.02 and Item 7.01 of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69"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information set forth under Item 2.02 of this report is incorporated herein by reference.</w:t>
      </w:r>
    </w:p>
    <w:p>
      <w:pPr>
        <w:spacing w:after="0" w:line="227"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8.1</w:t>
      </w:r>
      <w:r>
        <w:rPr>
          <w:sz w:val="20"/>
          <w:szCs w:val="20"/>
          <w:color w:val="auto"/>
        </w:rPr>
        <w:tab/>
      </w:r>
      <w:r>
        <w:rPr>
          <w:rFonts w:ascii="Arial" w:cs="Arial" w:eastAsia="Arial" w:hAnsi="Arial"/>
          <w:sz w:val="19"/>
          <w:szCs w:val="19"/>
          <w:b w:val="1"/>
          <w:bCs w:val="1"/>
          <w:color w:val="auto"/>
        </w:rPr>
        <w:t>Other Events.</w:t>
      </w:r>
    </w:p>
    <w:p>
      <w:pPr>
        <w:spacing w:after="0" w:line="239" w:lineRule="exact"/>
        <w:rPr>
          <w:sz w:val="20"/>
          <w:szCs w:val="20"/>
          <w:color w:val="auto"/>
        </w:rPr>
      </w:pPr>
    </w:p>
    <w:p>
      <w:pPr>
        <w:jc w:val="center"/>
        <w:ind w:left="260" w:right="200"/>
        <w:spacing w:after="0" w:line="328" w:lineRule="auto"/>
        <w:rPr>
          <w:sz w:val="20"/>
          <w:szCs w:val="20"/>
          <w:color w:val="auto"/>
        </w:rPr>
      </w:pPr>
      <w:r>
        <w:rPr>
          <w:rFonts w:ascii="Arial" w:cs="Arial" w:eastAsia="Arial" w:hAnsi="Arial"/>
          <w:sz w:val="19"/>
          <w:szCs w:val="19"/>
          <w:color w:val="auto"/>
        </w:rPr>
        <w:t>On July 14, 2011, the Board of Directors of the Company declared a quarterly cash dividend of $0.50 per share of its outstanding common stock. This cash dividend will be payable on August 11, 2011 to stockholders of record on July 28, 2011.</w:t>
      </w:r>
    </w:p>
    <w:p>
      <w:pPr>
        <w:spacing w:after="0" w:line="126"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1400" w:hanging="582"/>
        <w:spacing w:after="0"/>
        <w:tabs>
          <w:tab w:leader="none" w:pos="140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840" w:type="dxa"/>
            <w:vAlign w:val="bottom"/>
          </w:tcPr>
          <w:p>
            <w:pPr>
              <w:jc w:val="center"/>
              <w:spacing w:after="0"/>
              <w:rPr>
                <w:sz w:val="20"/>
                <w:szCs w:val="20"/>
                <w:color w:val="auto"/>
              </w:rPr>
            </w:pPr>
            <w:r>
              <w:rPr>
                <w:rFonts w:ascii="Arial" w:cs="Arial" w:eastAsia="Arial" w:hAnsi="Arial"/>
                <w:sz w:val="22"/>
                <w:szCs w:val="22"/>
                <w:color w:val="auto"/>
                <w:w w:val="93"/>
              </w:rPr>
              <w:t>Exhibit Number</w:t>
            </w:r>
          </w:p>
        </w:tc>
        <w:tc>
          <w:tcPr>
            <w:tcW w:w="9580" w:type="dxa"/>
            <w:vAlign w:val="bottom"/>
            <w:gridSpan w:val="2"/>
          </w:tcPr>
          <w:p>
            <w:pPr>
              <w:ind w:left="620"/>
              <w:spacing w:after="0"/>
              <w:rPr>
                <w:sz w:val="20"/>
                <w:szCs w:val="20"/>
                <w:color w:val="auto"/>
              </w:rPr>
            </w:pPr>
            <w:r>
              <w:rPr>
                <w:rFonts w:ascii="Arial" w:cs="Arial" w:eastAsia="Arial" w:hAnsi="Arial"/>
                <w:sz w:val="22"/>
                <w:szCs w:val="22"/>
                <w:color w:val="auto"/>
              </w:rPr>
              <w:t>Description</w:t>
            </w:r>
          </w:p>
        </w:tc>
      </w:tr>
      <w:tr>
        <w:trPr>
          <w:trHeight w:val="20"/>
        </w:trPr>
        <w:tc>
          <w:tcPr>
            <w:tcW w:w="1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960" w:type="dxa"/>
            <w:vAlign w:val="bottom"/>
            <w:shd w:val="clear" w:color="auto" w:fill="000000"/>
          </w:tcPr>
          <w:p>
            <w:pPr>
              <w:spacing w:after="0" w:line="20" w:lineRule="exact"/>
              <w:rPr>
                <w:sz w:val="1"/>
                <w:szCs w:val="1"/>
                <w:color w:val="auto"/>
              </w:rPr>
            </w:pPr>
          </w:p>
        </w:tc>
      </w:tr>
      <w:tr>
        <w:trPr>
          <w:trHeight w:val="463"/>
        </w:trPr>
        <w:tc>
          <w:tcPr>
            <w:tcW w:w="1840" w:type="dxa"/>
            <w:vAlign w:val="bottom"/>
          </w:tcPr>
          <w:p>
            <w:pPr>
              <w:jc w:val="right"/>
              <w:ind w:right="612"/>
              <w:spacing w:after="0"/>
              <w:rPr>
                <w:sz w:val="20"/>
                <w:szCs w:val="20"/>
                <w:color w:val="auto"/>
              </w:rPr>
            </w:pPr>
            <w:r>
              <w:rPr>
                <w:rFonts w:ascii="Arial" w:cs="Arial" w:eastAsia="Arial" w:hAnsi="Arial"/>
                <w:sz w:val="22"/>
                <w:szCs w:val="22"/>
                <w:color w:val="auto"/>
              </w:rPr>
              <w:t>99.1</w:t>
            </w:r>
          </w:p>
        </w:tc>
        <w:tc>
          <w:tcPr>
            <w:tcW w:w="9580" w:type="dxa"/>
            <w:vAlign w:val="bottom"/>
            <w:gridSpan w:val="2"/>
          </w:tcPr>
          <w:p>
            <w:pPr>
              <w:ind w:left="620"/>
              <w:spacing w:after="0"/>
              <w:rPr>
                <w:sz w:val="20"/>
                <w:szCs w:val="20"/>
                <w:color w:val="auto"/>
              </w:rPr>
            </w:pPr>
            <w:r>
              <w:rPr>
                <w:rFonts w:ascii="Arial" w:cs="Arial" w:eastAsia="Arial" w:hAnsi="Arial"/>
                <w:sz w:val="22"/>
                <w:szCs w:val="22"/>
                <w:color w:val="auto"/>
              </w:rPr>
              <w:t>Press release, dated July 18, 2011, of Wynn Resorts, Limited.</w:t>
            </w:r>
          </w:p>
        </w:tc>
      </w:tr>
      <w:tr>
        <w:trPr>
          <w:trHeight w:val="892"/>
        </w:trPr>
        <w:tc>
          <w:tcPr>
            <w:tcW w:w="18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8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July 18, 2011</w:t>
      </w:r>
    </w:p>
    <w:p>
      <w:pPr>
        <w:spacing w:after="0" w:line="198"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WYNN RESORTS, LIMITED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240" w:type="dxa"/>
            <w:vAlign w:val="bottom"/>
          </w:tcPr>
          <w:p>
            <w:pPr>
              <w:ind w:left="5320"/>
              <w:spacing w:after="0"/>
              <w:rPr>
                <w:sz w:val="20"/>
                <w:szCs w:val="20"/>
                <w:color w:val="auto"/>
              </w:rPr>
            </w:pPr>
            <w:r>
              <w:rPr>
                <w:rFonts w:ascii="Arial" w:cs="Arial" w:eastAsia="Arial" w:hAnsi="Arial"/>
                <w:sz w:val="22"/>
                <w:szCs w:val="22"/>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 Maddox</w:t>
            </w:r>
          </w:p>
        </w:tc>
        <w:tc>
          <w:tcPr>
            <w:tcW w:w="780" w:type="dxa"/>
            <w:vAlign w:val="bottom"/>
          </w:tcPr>
          <w:p>
            <w:pPr>
              <w:spacing w:after="0"/>
              <w:rPr>
                <w:sz w:val="23"/>
                <w:szCs w:val="23"/>
                <w:color w:val="auto"/>
              </w:rPr>
            </w:pPr>
          </w:p>
        </w:tc>
      </w:tr>
      <w:tr>
        <w:trPr>
          <w:trHeight w:val="215"/>
        </w:trPr>
        <w:tc>
          <w:tcPr>
            <w:tcW w:w="6240" w:type="dxa"/>
            <w:vAlign w:val="bottom"/>
          </w:tcPr>
          <w:p>
            <w:pPr>
              <w:spacing w:after="0"/>
              <w:rPr>
                <w:sz w:val="18"/>
                <w:szCs w:val="18"/>
                <w:color w:val="auto"/>
              </w:rPr>
            </w:pPr>
          </w:p>
        </w:tc>
        <w:tc>
          <w:tcPr>
            <w:tcW w:w="4400" w:type="dxa"/>
            <w:vAlign w:val="bottom"/>
          </w:tcPr>
          <w:p>
            <w:pPr>
              <w:spacing w:after="0" w:line="216" w:lineRule="exact"/>
              <w:rPr>
                <w:sz w:val="20"/>
                <w:szCs w:val="20"/>
                <w:color w:val="auto"/>
              </w:rPr>
            </w:pPr>
            <w:r>
              <w:rPr>
                <w:rFonts w:ascii="Arial" w:cs="Arial" w:eastAsia="Arial" w:hAnsi="Arial"/>
                <w:sz w:val="22"/>
                <w:szCs w:val="22"/>
                <w:color w:val="auto"/>
              </w:rPr>
              <w:t>Matt Maddox</w:t>
            </w:r>
          </w:p>
        </w:tc>
        <w:tc>
          <w:tcPr>
            <w:tcW w:w="780" w:type="dxa"/>
            <w:vAlign w:val="bottom"/>
          </w:tcPr>
          <w:p>
            <w:pPr>
              <w:spacing w:after="0"/>
              <w:rPr>
                <w:sz w:val="18"/>
                <w:szCs w:val="18"/>
                <w:color w:val="auto"/>
              </w:rPr>
            </w:pPr>
          </w:p>
        </w:tc>
      </w:tr>
      <w:tr>
        <w:trPr>
          <w:trHeight w:val="275"/>
        </w:trPr>
        <w:tc>
          <w:tcPr>
            <w:tcW w:w="6240" w:type="dxa"/>
            <w:vAlign w:val="bottom"/>
          </w:tcPr>
          <w:p>
            <w:pPr>
              <w:spacing w:after="0"/>
              <w:rPr>
                <w:sz w:val="23"/>
                <w:szCs w:val="23"/>
                <w:color w:val="auto"/>
              </w:rPr>
            </w:pPr>
          </w:p>
        </w:tc>
        <w:tc>
          <w:tcPr>
            <w:tcW w:w="4400" w:type="dxa"/>
            <w:vAlign w:val="bottom"/>
          </w:tcPr>
          <w:p>
            <w:pPr>
              <w:spacing w:after="0"/>
              <w:rPr>
                <w:sz w:val="20"/>
                <w:szCs w:val="20"/>
                <w:color w:val="auto"/>
              </w:rPr>
            </w:pPr>
            <w:r>
              <w:rPr>
                <w:rFonts w:ascii="Arial" w:cs="Arial" w:eastAsia="Arial" w:hAnsi="Arial"/>
                <w:sz w:val="22"/>
                <w:szCs w:val="22"/>
                <w:color w:val="auto"/>
              </w:rPr>
              <w:t>Chief Financial Officer and Treasurer</w:t>
            </w:r>
          </w:p>
        </w:tc>
        <w:tc>
          <w:tcPr>
            <w:tcW w:w="780" w:type="dxa"/>
            <w:vAlign w:val="bottom"/>
          </w:tcPr>
          <w:p>
            <w:pPr>
              <w:spacing w:after="0"/>
              <w:rPr>
                <w:sz w:val="23"/>
                <w:szCs w:val="23"/>
                <w:color w:val="auto"/>
              </w:rPr>
            </w:pPr>
          </w:p>
        </w:tc>
      </w:tr>
      <w:tr>
        <w:trPr>
          <w:trHeight w:val="892"/>
        </w:trPr>
        <w:tc>
          <w:tcPr>
            <w:tcW w:w="624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July 18, 2011</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WYNN LAS VEGAS, LLC</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240" w:type="dxa"/>
            <w:vAlign w:val="bottom"/>
          </w:tcPr>
          <w:p>
            <w:pPr>
              <w:ind w:left="5320"/>
              <w:spacing w:after="0"/>
              <w:rPr>
                <w:sz w:val="20"/>
                <w:szCs w:val="20"/>
                <w:color w:val="auto"/>
              </w:rPr>
            </w:pPr>
            <w:r>
              <w:rPr>
                <w:rFonts w:ascii="Arial" w:cs="Arial" w:eastAsia="Arial" w:hAnsi="Arial"/>
                <w:sz w:val="22"/>
                <w:szCs w:val="22"/>
                <w:color w:val="auto"/>
              </w:rPr>
              <w:t>By:</w:t>
            </w:r>
          </w:p>
        </w:tc>
        <w:tc>
          <w:tcPr>
            <w:tcW w:w="4400" w:type="dxa"/>
            <w:vAlign w:val="bottom"/>
          </w:tcPr>
          <w:p>
            <w:pPr>
              <w:spacing w:after="0"/>
              <w:rPr>
                <w:sz w:val="20"/>
                <w:szCs w:val="20"/>
                <w:color w:val="auto"/>
              </w:rPr>
            </w:pPr>
            <w:r>
              <w:rPr>
                <w:rFonts w:ascii="Arial" w:cs="Arial" w:eastAsia="Arial" w:hAnsi="Arial"/>
                <w:sz w:val="22"/>
                <w:szCs w:val="22"/>
                <w:color w:val="auto"/>
                <w:w w:val="97"/>
              </w:rPr>
              <w:t>Wynn Resorts Holdings, LLC, its sole member</w:t>
            </w:r>
          </w:p>
        </w:tc>
        <w:tc>
          <w:tcPr>
            <w:tcW w:w="800" w:type="dxa"/>
            <w:vAlign w:val="bottom"/>
          </w:tcPr>
          <w:p>
            <w:pPr>
              <w:spacing w:after="0"/>
              <w:rPr>
                <w:sz w:val="23"/>
                <w:szCs w:val="23"/>
                <w:color w:val="auto"/>
              </w:rPr>
            </w:pPr>
          </w:p>
        </w:tc>
      </w:tr>
      <w:tr>
        <w:trPr>
          <w:trHeight w:val="459"/>
        </w:trPr>
        <w:tc>
          <w:tcPr>
            <w:tcW w:w="6240" w:type="dxa"/>
            <w:vAlign w:val="bottom"/>
          </w:tcPr>
          <w:p>
            <w:pPr>
              <w:ind w:left="5320"/>
              <w:spacing w:after="0"/>
              <w:rPr>
                <w:sz w:val="20"/>
                <w:szCs w:val="20"/>
                <w:color w:val="auto"/>
              </w:rPr>
            </w:pPr>
            <w:r>
              <w:rPr>
                <w:rFonts w:ascii="Arial" w:cs="Arial" w:eastAsia="Arial" w:hAnsi="Arial"/>
                <w:sz w:val="22"/>
                <w:szCs w:val="22"/>
                <w:color w:val="auto"/>
              </w:rPr>
              <w:t>By:</w:t>
            </w:r>
          </w:p>
        </w:tc>
        <w:tc>
          <w:tcPr>
            <w:tcW w:w="4400" w:type="dxa"/>
            <w:vAlign w:val="bottom"/>
          </w:tcPr>
          <w:p>
            <w:pPr>
              <w:spacing w:after="0"/>
              <w:rPr>
                <w:sz w:val="20"/>
                <w:szCs w:val="20"/>
                <w:color w:val="auto"/>
              </w:rPr>
            </w:pPr>
            <w:r>
              <w:rPr>
                <w:rFonts w:ascii="Arial" w:cs="Arial" w:eastAsia="Arial" w:hAnsi="Arial"/>
                <w:sz w:val="22"/>
                <w:szCs w:val="22"/>
                <w:color w:val="auto"/>
              </w:rPr>
              <w:t>Wynn Resorts, Limited, its sole member</w:t>
            </w:r>
          </w:p>
        </w:tc>
        <w:tc>
          <w:tcPr>
            <w:tcW w:w="800" w:type="dxa"/>
            <w:vAlign w:val="bottom"/>
          </w:tcPr>
          <w:p>
            <w:pPr>
              <w:spacing w:after="0"/>
              <w:rPr>
                <w:sz w:val="24"/>
                <w:szCs w:val="24"/>
                <w:color w:val="auto"/>
              </w:rPr>
            </w:pPr>
          </w:p>
        </w:tc>
      </w:tr>
      <w:tr>
        <w:trPr>
          <w:trHeight w:val="449"/>
        </w:trPr>
        <w:tc>
          <w:tcPr>
            <w:tcW w:w="6240" w:type="dxa"/>
            <w:vAlign w:val="bottom"/>
          </w:tcPr>
          <w:p>
            <w:pPr>
              <w:ind w:left="5320"/>
              <w:spacing w:after="0"/>
              <w:rPr>
                <w:sz w:val="20"/>
                <w:szCs w:val="20"/>
                <w:color w:val="auto"/>
              </w:rPr>
            </w:pPr>
            <w:r>
              <w:rPr>
                <w:rFonts w:ascii="Arial" w:cs="Arial" w:eastAsia="Arial" w:hAnsi="Arial"/>
                <w:sz w:val="22"/>
                <w:szCs w:val="22"/>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 Maddox</w:t>
            </w:r>
          </w:p>
        </w:tc>
        <w:tc>
          <w:tcPr>
            <w:tcW w:w="800" w:type="dxa"/>
            <w:vAlign w:val="bottom"/>
          </w:tcPr>
          <w:p>
            <w:pPr>
              <w:spacing w:after="0"/>
              <w:rPr>
                <w:sz w:val="24"/>
                <w:szCs w:val="24"/>
                <w:color w:val="auto"/>
              </w:rPr>
            </w:pPr>
          </w:p>
        </w:tc>
      </w:tr>
      <w:tr>
        <w:trPr>
          <w:trHeight w:val="215"/>
        </w:trPr>
        <w:tc>
          <w:tcPr>
            <w:tcW w:w="6240" w:type="dxa"/>
            <w:vAlign w:val="bottom"/>
          </w:tcPr>
          <w:p>
            <w:pPr>
              <w:spacing w:after="0"/>
              <w:rPr>
                <w:sz w:val="18"/>
                <w:szCs w:val="18"/>
                <w:color w:val="auto"/>
              </w:rPr>
            </w:pPr>
          </w:p>
        </w:tc>
        <w:tc>
          <w:tcPr>
            <w:tcW w:w="4400" w:type="dxa"/>
            <w:vAlign w:val="bottom"/>
          </w:tcPr>
          <w:p>
            <w:pPr>
              <w:spacing w:after="0" w:line="216" w:lineRule="exact"/>
              <w:rPr>
                <w:sz w:val="20"/>
                <w:szCs w:val="20"/>
                <w:color w:val="auto"/>
              </w:rPr>
            </w:pPr>
            <w:r>
              <w:rPr>
                <w:rFonts w:ascii="Arial" w:cs="Arial" w:eastAsia="Arial" w:hAnsi="Arial"/>
                <w:sz w:val="22"/>
                <w:szCs w:val="22"/>
                <w:color w:val="auto"/>
              </w:rPr>
              <w:t>Matt Maddox</w:t>
            </w:r>
          </w:p>
        </w:tc>
        <w:tc>
          <w:tcPr>
            <w:tcW w:w="800" w:type="dxa"/>
            <w:vAlign w:val="bottom"/>
          </w:tcPr>
          <w:p>
            <w:pPr>
              <w:spacing w:after="0"/>
              <w:rPr>
                <w:sz w:val="18"/>
                <w:szCs w:val="18"/>
                <w:color w:val="auto"/>
              </w:rPr>
            </w:pPr>
          </w:p>
        </w:tc>
      </w:tr>
      <w:tr>
        <w:trPr>
          <w:trHeight w:val="275"/>
        </w:trPr>
        <w:tc>
          <w:tcPr>
            <w:tcW w:w="6240" w:type="dxa"/>
            <w:vAlign w:val="bottom"/>
          </w:tcPr>
          <w:p>
            <w:pPr>
              <w:spacing w:after="0"/>
              <w:rPr>
                <w:sz w:val="23"/>
                <w:szCs w:val="23"/>
                <w:color w:val="auto"/>
              </w:rPr>
            </w:pPr>
          </w:p>
        </w:tc>
        <w:tc>
          <w:tcPr>
            <w:tcW w:w="4400" w:type="dxa"/>
            <w:vAlign w:val="bottom"/>
          </w:tcPr>
          <w:p>
            <w:pPr>
              <w:spacing w:after="0"/>
              <w:rPr>
                <w:sz w:val="20"/>
                <w:szCs w:val="20"/>
                <w:color w:val="auto"/>
              </w:rPr>
            </w:pPr>
            <w:r>
              <w:rPr>
                <w:rFonts w:ascii="Arial" w:cs="Arial" w:eastAsia="Arial" w:hAnsi="Arial"/>
                <w:sz w:val="22"/>
                <w:szCs w:val="22"/>
                <w:color w:val="auto"/>
              </w:rPr>
              <w:t>Chief Financial Officer and Treasurer</w:t>
            </w:r>
          </w:p>
        </w:tc>
        <w:tc>
          <w:tcPr>
            <w:tcW w:w="800" w:type="dxa"/>
            <w:vAlign w:val="bottom"/>
          </w:tcPr>
          <w:p>
            <w:pPr>
              <w:spacing w:after="0"/>
              <w:rPr>
                <w:sz w:val="23"/>
                <w:szCs w:val="23"/>
                <w:color w:val="auto"/>
              </w:rPr>
            </w:pPr>
          </w:p>
        </w:tc>
      </w:tr>
      <w:tr>
        <w:trPr>
          <w:trHeight w:val="540"/>
        </w:trPr>
        <w:tc>
          <w:tcPr>
            <w:tcW w:w="624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747"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Wynn Resorts, Limited Reports Second Quarter Results</w:t>
      </w:r>
    </w:p>
    <w:p>
      <w:pPr>
        <w:spacing w:after="0" w:line="26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LAS VEGAS, July 18, 2011 (BUSINESS WIRE) -- Wynn Resorts, Limited (Nasdaq: WYNN) today reported financial results for the second quarter ended June 30, 2011.</w:t>
      </w:r>
    </w:p>
    <w:p>
      <w:pPr>
        <w:spacing w:after="0" w:line="22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Net revenues for the second quarter of 2011 were $1,367.4 million, compared to $1,032.6 million in the second quarter of 2010. The revenue increase was driven by a 36.7% increase in revenues at Wynn Macau and a 22.8% revenue increase from our Las Vegas operations. Adjusted property EBITDA (1) was $447.0 million for the second quarter of 2011, 58.9% above the $281.4 million reported in the second quarter of 2010.</w:t>
      </w:r>
    </w:p>
    <w:p>
      <w:pPr>
        <w:spacing w:after="0" w:line="23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On a US GAAP (Generally Accepted Accounting Principles) basis, net income attributable to Wynn Resorts for the second quarter of 2011 was $122.0 million, or $ 0.97 per diluted share, compared to a net income attributable to Wynn Resorts of $52.4 million, or $0.42 per diluted share in the second quarter of 2010. Net income for the second quarter of 2011 included a $107.5 million charge representing the present value of a charitable contribution made by Wynn Macau to the University of Macau Development Foundation. This contribution consists of a $25 million contribution made in May 2011, and a commitment for additional donations of $10 million each year for the calendar years 2012 through 2022 inclusive, for a total of $135 million.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Adjusted net income attributable to Wynn Resorts in the second quarter of 2011 was $200.8 million, or $1.60 per diluted share (adjusted EPS)</w:t>
      </w:r>
    </w:p>
    <w:p>
      <w:pPr>
        <w:spacing w:after="0"/>
        <w:rPr>
          <w:sz w:val="20"/>
          <w:szCs w:val="20"/>
          <w:color w:val="auto"/>
        </w:rPr>
      </w:pPr>
      <w:r>
        <w:rPr>
          <w:rFonts w:ascii="Arial" w:cs="Arial" w:eastAsia="Arial" w:hAnsi="Arial"/>
          <w:sz w:val="18"/>
          <w:szCs w:val="18"/>
          <w:color w:val="auto"/>
        </w:rPr>
        <w:t>(2) compared to an adjusted net income attributable to Wynn Resorts of $64.9 million, or $0.52 per diluted share in the second quarter of 2010.</w:t>
      </w:r>
    </w:p>
    <w:p>
      <w:pPr>
        <w:spacing w:after="0" w:line="23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Wynn Resorts also announced today that its Board of Directors has approved a cash dividend for the quarter of $0.50 per common share. This dividend will be payable on August 11, 2011, to stockholders of record on July 28, 2011.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Second Quarter Results</w:t>
      </w:r>
    </w:p>
    <w:p>
      <w:pPr>
        <w:spacing w:after="0" w:line="26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the second quarter of 2011, net revenues were $976.5 million, a 36.7% increase from the $ 714.4 million generated in the second quarter of 2010. Adjusted property EBITDA in the second quarter of 2011 was $314.3 million, up 45.4% from $216.2 million in the second quarter of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Table games results in Macau are segregated into two distinct reporting categories, the VIP segment and the mass market segment.</w:t>
      </w:r>
    </w:p>
    <w:p>
      <w:pPr>
        <w:spacing w:after="0" w:line="239"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Table games turnover in the VIP segment was $32.7 billion for the second quarter of 2011, a 50.6% increase from $21.7 billion in the second quarter of 2010. VIP table games win as a percentage of turnover (calculated before discounts and commissions) for the quarter was 2.89%, in-line with the expected range of 2.7% to 3.0% and lower than the 3.22% experienced in the second quarter of 2010.</w:t>
      </w:r>
    </w:p>
    <w:p>
      <w:pPr>
        <w:spacing w:after="0" w:line="23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Table games drop in the mass market category was $690.3 million during the period, a 25.9% increase from $ 548.1 million in the second quarter of 2010. Mass market table games win percentage (calculated before discounts) of 27.8% was in-line with our revised range and higher than the 22.9% generated in the 2010 quarter. We have increased our expected mass market range from 21%-23% to 26%-28% based on our experience since the opening of Encore.</w:t>
      </w:r>
    </w:p>
    <w:p>
      <w:pPr>
        <w:spacing w:after="0" w:line="229"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Slot machine handle increased 40.7% to $1.5 billion as compared to the prior year quarter. Win per unit per day was 73.2% higher at $791, compared to $457 in the second quarter of 2010.</w:t>
      </w:r>
    </w:p>
    <w:p>
      <w:pPr>
        <w:spacing w:after="0" w:line="22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Wynn Macau achieved an Average Daily Rate (ADR) of $314 for the second quarter of 2011, 9.4% above the $ 287 reported in the 2010 quarter. The June 30, 2011 results include the full contribution from Encore, which added 414 rooms and villas and opened on April 21, 2010. The property’s occupancy was 90.5%, compared to 81.3% during the prior year period and revenue per available room (REVPAR) was $284 in the 2011 quarter, 21.8% above the $234 reported in the prior year quarter.</w:t>
      </w:r>
    </w:p>
    <w:p>
      <w:pPr>
        <w:spacing w:after="0" w:line="22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Gross non-casino revenues at Wynn Macau increased 33.6% during the quarter to $94.6 million, driven by strong performance from all non-casino segments.</w:t>
      </w:r>
    </w:p>
    <w:p>
      <w:pPr>
        <w:spacing w:after="0" w:line="22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Including Encore, we currently have 493 tables (265 VIP tables, 217 mass market tables and 11 poker tables) and 1,053 slot machines at Wynn Macau.</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Wynn Las Vegas Second Quarter Results</w:t>
      </w:r>
    </w:p>
    <w:p>
      <w:pPr>
        <w:spacing w:after="0" w:line="261"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For the second quarter ended June 30, 2011, net revenues for our Las Vegas operations were $390.8 million, 22.8% higher than in the second quarter of 2010. Adjusted property EBITDA of $132.7 million (with a 34.0% EBITDA margin on net revenues) was up 103.7% versus the $65.1 million generated in the comparable period in 2010.</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Net casino revenues in the second quarter of 2011 were $158.3 million, up 35.1% from the second quarter of 2010. Table games drop was $534.7 million, compared to drop of $485.9 million in the 2010 quarter and table games win percentage of 27.6% was above the property’s expected range of 21% to 24% and the 20.0% reported in the 2010 quarter. Slot machine handle of $685.6 million was 2.1% above the comparable period of 2010, and net slot win was down 0.7%.</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Gross non-casino revenues for the quarter were $275.6 million, a 12.9% increase from the second quarter of 2010, driven by higher revenues across all non-gaming segments.</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Room revenues were up 15.5% to $91.1 million during the quarter, versus $78.8 million in the second quarter of 2010. Average Daily Rate (ADR) was up 22.1% to $240 and occupancy of 89.2% was slightly below the 92.6% for the second quarter of 2010. Revenue per available room (REVPAR) was $214 in the 2011 quarter, 17.5% above the $182 reported in the prior year quarter. During the quarter, we had 1.7% of our total rooms unavailable due to the remodel, which was completed in May 2011.</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Food and beverage revenues increased 13.0% to $126.0 million primarily driven by higher nightclub revenues as well as strong catering and restaurant revenues. Retail revenues were $22.8 million in the quarter, 6.5% above last year’s levels. Entertainment revenues increased 22.0% to $19.0 million from the second quarter of 2010, primarily due to increased revenues from Garth Brooks.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61"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Our total cash balances at June 30, 2011 were $1.7 billion. Total debt outstanding at the end of the quarter was $3.1 billion, including $2.6 billion of Wynn Las Vegas debt and $551 million of Wynn Macau debt.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will hold a conference call to discuss its results on Monday, July 18, 2011 at 1:30 p.m. PT (4:30 p.m. ET). Interested parties are invited to join the call by accessing a live audio webcast at http://www.wynnresorts.com (Investor Relations).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dependence on existing management, levels of travel, leisure and casino spending, general economic conditions, and changes in gaming laws or regulations. Additional information concerning potential factors that could affect the Company's financial results is included in the Company's Annual Report on Form 10-K for the year ended December 31, 2010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Non-GAAP financial measures</w:t>
      </w:r>
    </w:p>
    <w:p>
      <w:pPr>
        <w:spacing w:after="0" w:line="261" w:lineRule="exact"/>
        <w:rPr>
          <w:sz w:val="20"/>
          <w:szCs w:val="20"/>
          <w:color w:val="auto"/>
        </w:rPr>
      </w:pPr>
    </w:p>
    <w:p>
      <w:pPr>
        <w:jc w:val="both"/>
        <w:ind w:firstLine="8"/>
        <w:spacing w:after="0" w:line="235" w:lineRule="auto"/>
        <w:tabs>
          <w:tab w:leader="none" w:pos="286"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property EBITDA” is earnings before interest, taxes, depreciation, amortization, pre-opening costs, property charges and other, corporate expenses,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41" w:lineRule="exact"/>
        <w:rPr>
          <w:rFonts w:ascii="Arial" w:cs="Arial" w:eastAsia="Arial" w:hAnsi="Arial"/>
          <w:sz w:val="18"/>
          <w:szCs w:val="18"/>
          <w:color w:val="auto"/>
        </w:rPr>
      </w:pPr>
    </w:p>
    <w:p>
      <w:pPr>
        <w:jc w:val="both"/>
        <w:ind w:firstLine="58"/>
        <w:spacing w:after="0" w:line="237" w:lineRule="auto"/>
        <w:tabs>
          <w:tab w:leader="none" w:pos="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Adjusted net income attributable to Wynn Resorts is net income before pre-opening costs, property charges and other, and other non-cash non-operating income and expenses. Adjusted net income attributable to Wynn Resorts and adjusted net income per share attributable to Wynn Resorts (“EPS”) are presented as supplemental disclosures because management believes that these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attributable to Wynn Resorts and adjusted net income attributable to Wynn Resorts per share may be different from the calculation methods used by other companies and, therefore, comparability may be limited.</w:t>
      </w:r>
    </w:p>
    <w:p>
      <w:pPr>
        <w:spacing w:after="0" w:line="23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Company has included schedules in the tables that accompany this release that reconcile (i) net income attributable to Wynn Resorts to adjusted net income attributable to Wynn Resorts, and (ii) operating income (loss) to adjusted property EBITDA and adjusted property EBITDA to net income attributable to Wynn Resorts.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w:t>
      </w:r>
    </w:p>
    <w:p>
      <w:pPr>
        <w:jc w:val="center"/>
        <w:spacing w:after="0" w:line="234" w:lineRule="auto"/>
        <w:rPr>
          <w:sz w:val="20"/>
          <w:szCs w:val="20"/>
          <w:color w:val="auto"/>
        </w:rPr>
      </w:pPr>
      <w:r>
        <w:rPr>
          <w:rFonts w:ascii="Arial" w:cs="Arial" w:eastAsia="Arial" w:hAnsi="Arial"/>
          <w:sz w:val="18"/>
          <w:szCs w:val="18"/>
          <w:color w:val="auto"/>
        </w:rPr>
        <w:t>(amounts 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6"/>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238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5"/>
        </w:trPr>
        <w:tc>
          <w:tcPr>
            <w:tcW w:w="5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5140" w:type="dxa"/>
            <w:vAlign w:val="bottom"/>
          </w:tcPr>
          <w:p>
            <w:pPr>
              <w:spacing w:after="0"/>
              <w:rPr>
                <w:sz w:val="20"/>
                <w:szCs w:val="20"/>
                <w:color w:val="auto"/>
              </w:rPr>
            </w:pPr>
            <w:r>
              <w:rPr>
                <w:rFonts w:ascii="Arial" w:cs="Arial" w:eastAsia="Arial" w:hAnsi="Arial"/>
                <w:sz w:val="18"/>
                <w:szCs w:val="18"/>
                <w:color w:val="auto"/>
              </w:rPr>
              <w:t>Operating revenues:</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Casino</w:t>
            </w: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1,082,043</w:t>
            </w:r>
          </w:p>
        </w:tc>
        <w:tc>
          <w:tcPr>
            <w:tcW w:w="140" w:type="dxa"/>
            <w:vAlign w:val="bottom"/>
          </w:tcPr>
          <w:p>
            <w:pPr>
              <w:spacing w:after="0"/>
              <w:rPr>
                <w:sz w:val="17"/>
                <w:szCs w:val="17"/>
                <w:color w:val="auto"/>
              </w:rPr>
            </w:pPr>
          </w:p>
        </w:tc>
        <w:tc>
          <w:tcPr>
            <w:tcW w:w="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789,205</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2,088,348</w:t>
            </w:r>
          </w:p>
        </w:tc>
        <w:tc>
          <w:tcPr>
            <w:tcW w:w="3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1,480,793</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Rooms</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119,998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100,528</w:t>
            </w: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235,379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193,435</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Food and beverage</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147,787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127,390</w:t>
            </w: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276,651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239,164</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3" w:lineRule="exact"/>
              <w:rPr>
                <w:sz w:val="20"/>
                <w:szCs w:val="20"/>
                <w:color w:val="auto"/>
              </w:rPr>
            </w:pPr>
            <w:r>
              <w:rPr>
                <w:rFonts w:ascii="Arial" w:cs="Arial" w:eastAsia="Arial" w:hAnsi="Arial"/>
                <w:sz w:val="18"/>
                <w:szCs w:val="18"/>
                <w:color w:val="auto"/>
              </w:rPr>
              <w:t>Entertainment, retail and other</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102,416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87,016</w:t>
            </w: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201,370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169,863</w:t>
            </w:r>
          </w:p>
        </w:tc>
        <w:tc>
          <w:tcPr>
            <w:tcW w:w="0" w:type="dxa"/>
            <w:vAlign w:val="bottom"/>
          </w:tcPr>
          <w:p>
            <w:pPr>
              <w:spacing w:after="0"/>
              <w:rPr>
                <w:sz w:val="1"/>
                <w:szCs w:val="1"/>
                <w:color w:val="auto"/>
              </w:rPr>
            </w:pPr>
          </w:p>
        </w:tc>
      </w:tr>
      <w:tr>
        <w:trPr>
          <w:trHeight w:val="195"/>
        </w:trPr>
        <w:tc>
          <w:tcPr>
            <w:tcW w:w="5140" w:type="dxa"/>
            <w:vAlign w:val="bottom"/>
          </w:tcPr>
          <w:p>
            <w:pPr>
              <w:ind w:left="340"/>
              <w:spacing w:after="0" w:line="195" w:lineRule="exact"/>
              <w:rPr>
                <w:sz w:val="20"/>
                <w:szCs w:val="20"/>
                <w:color w:val="auto"/>
              </w:rPr>
            </w:pPr>
            <w:r>
              <w:rPr>
                <w:rFonts w:ascii="Arial" w:cs="Arial" w:eastAsia="Arial" w:hAnsi="Arial"/>
                <w:sz w:val="18"/>
                <w:szCs w:val="18"/>
                <w:color w:val="auto"/>
              </w:rPr>
              <w:t>Gross revenues</w:t>
            </w:r>
          </w:p>
        </w:tc>
        <w:tc>
          <w:tcPr>
            <w:tcW w:w="9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1,452,244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1,104,139</w:t>
            </w: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2,801,748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2,083,255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3" w:lineRule="exact"/>
              <w:rPr>
                <w:sz w:val="20"/>
                <w:szCs w:val="20"/>
                <w:color w:val="auto"/>
              </w:rPr>
            </w:pPr>
            <w:r>
              <w:rPr>
                <w:rFonts w:ascii="Arial" w:cs="Arial" w:eastAsia="Arial" w:hAnsi="Arial"/>
                <w:sz w:val="18"/>
                <w:szCs w:val="18"/>
                <w:color w:val="auto"/>
              </w:rPr>
              <w:t>Less: promotional allowances</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(84,891)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(71,496)</w:t>
            </w:r>
          </w:p>
        </w:tc>
        <w:tc>
          <w:tcPr>
            <w:tcW w:w="220" w:type="dxa"/>
            <w:vAlign w:val="bottom"/>
          </w:tcPr>
          <w:p>
            <w:pPr>
              <w:spacing w:after="0"/>
              <w:rPr>
                <w:sz w:val="17"/>
                <w:szCs w:val="17"/>
                <w:color w:val="auto"/>
              </w:rPr>
            </w:pPr>
          </w:p>
        </w:tc>
        <w:tc>
          <w:tcPr>
            <w:tcW w:w="10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(174,123)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(141,694)</w:t>
            </w:r>
          </w:p>
        </w:tc>
        <w:tc>
          <w:tcPr>
            <w:tcW w:w="0" w:type="dxa"/>
            <w:vAlign w:val="bottom"/>
          </w:tcPr>
          <w:p>
            <w:pPr>
              <w:spacing w:after="0"/>
              <w:rPr>
                <w:sz w:val="1"/>
                <w:szCs w:val="1"/>
                <w:color w:val="auto"/>
              </w:rPr>
            </w:pPr>
          </w:p>
        </w:tc>
      </w:tr>
      <w:tr>
        <w:trPr>
          <w:trHeight w:val="196"/>
        </w:trPr>
        <w:tc>
          <w:tcPr>
            <w:tcW w:w="5140" w:type="dxa"/>
            <w:vAlign w:val="bottom"/>
          </w:tcPr>
          <w:p>
            <w:pPr>
              <w:ind w:left="340"/>
              <w:spacing w:after="0" w:line="196" w:lineRule="exact"/>
              <w:rPr>
                <w:sz w:val="20"/>
                <w:szCs w:val="20"/>
                <w:color w:val="auto"/>
              </w:rPr>
            </w:pPr>
            <w:r>
              <w:rPr>
                <w:rFonts w:ascii="Arial" w:cs="Arial" w:eastAsia="Arial" w:hAnsi="Arial"/>
                <w:sz w:val="18"/>
                <w:szCs w:val="18"/>
                <w:color w:val="auto"/>
              </w:rPr>
              <w:t>Net revenues</w:t>
            </w:r>
          </w:p>
        </w:tc>
        <w:tc>
          <w:tcPr>
            <w:tcW w:w="9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1,367,353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1,032,643</w:t>
            </w: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2,627,625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1,941,561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51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Casino</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684,505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519,005</w:t>
            </w: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1,308,860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967,196</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Rooms</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31,887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31,648</w:t>
            </w: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62,459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62,791</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Food and beverage</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74,956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72,697</w:t>
            </w: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140,953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134,533</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Entertainment, retail and other</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54,164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47,633</w:t>
            </w: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110,439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97,757</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91,912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95,668</w:t>
            </w: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179,573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182,669</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Provision for doubtful accounts</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3,784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6,852</w:t>
            </w: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13,945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13,870</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Pre-opening costs</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6,675</w:t>
            </w: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8,986</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102,052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101,353</w:t>
            </w: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203,399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205,918</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3" w:lineRule="exact"/>
              <w:rPr>
                <w:sz w:val="20"/>
                <w:szCs w:val="20"/>
                <w:color w:val="auto"/>
              </w:rPr>
            </w:pPr>
            <w:r>
              <w:rPr>
                <w:rFonts w:ascii="Arial" w:cs="Arial" w:eastAsia="Arial" w:hAnsi="Arial"/>
                <w:sz w:val="18"/>
                <w:szCs w:val="18"/>
                <w:color w:val="auto"/>
              </w:rPr>
              <w:t>Property charges and other</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111,060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2,966</w:t>
            </w: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114,408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4,847</w:t>
            </w:r>
          </w:p>
        </w:tc>
        <w:tc>
          <w:tcPr>
            <w:tcW w:w="0" w:type="dxa"/>
            <w:vAlign w:val="bottom"/>
          </w:tcPr>
          <w:p>
            <w:pPr>
              <w:spacing w:after="0"/>
              <w:rPr>
                <w:sz w:val="1"/>
                <w:szCs w:val="1"/>
                <w:color w:val="auto"/>
              </w:rPr>
            </w:pPr>
          </w:p>
        </w:tc>
      </w:tr>
      <w:tr>
        <w:trPr>
          <w:trHeight w:val="210"/>
        </w:trPr>
        <w:tc>
          <w:tcPr>
            <w:tcW w:w="5140" w:type="dxa"/>
            <w:vAlign w:val="bottom"/>
          </w:tcPr>
          <w:p>
            <w:pPr>
              <w:ind w:left="340"/>
              <w:spacing w:after="0"/>
              <w:rPr>
                <w:sz w:val="20"/>
                <w:szCs w:val="20"/>
                <w:color w:val="auto"/>
              </w:rPr>
            </w:pPr>
            <w:r>
              <w:rPr>
                <w:rFonts w:ascii="Arial" w:cs="Arial" w:eastAsia="Arial" w:hAnsi="Arial"/>
                <w:sz w:val="18"/>
                <w:szCs w:val="18"/>
                <w:color w:val="auto"/>
              </w:rPr>
              <w:t>Total operating costs and expenses</w:t>
            </w:r>
          </w:p>
        </w:tc>
        <w:tc>
          <w:tcPr>
            <w:tcW w:w="9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1,154,320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884,497</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2,134,036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1,678,567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5140" w:type="dxa"/>
            <w:vAlign w:val="bottom"/>
          </w:tcPr>
          <w:p>
            <w:pPr>
              <w:spacing w:after="0"/>
              <w:rPr>
                <w:sz w:val="20"/>
                <w:szCs w:val="20"/>
                <w:color w:val="auto"/>
              </w:rPr>
            </w:pPr>
            <w:r>
              <w:rPr>
                <w:rFonts w:ascii="Arial" w:cs="Arial" w:eastAsia="Arial" w:hAnsi="Arial"/>
                <w:sz w:val="18"/>
                <w:szCs w:val="18"/>
                <w:color w:val="auto"/>
              </w:rPr>
              <w:t>Operating income</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213,033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148,146</w:t>
            </w:r>
          </w:p>
        </w:tc>
        <w:tc>
          <w:tcPr>
            <w:tcW w:w="2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493,589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262,994</w:t>
            </w:r>
          </w:p>
        </w:tc>
        <w:tc>
          <w:tcPr>
            <w:tcW w:w="0" w:type="dxa"/>
            <w:vAlign w:val="bottom"/>
          </w:tcPr>
          <w:p>
            <w:pPr>
              <w:spacing w:after="0"/>
              <w:rPr>
                <w:sz w:val="1"/>
                <w:szCs w:val="1"/>
                <w:color w:val="auto"/>
              </w:rPr>
            </w:pPr>
          </w:p>
        </w:tc>
      </w:tr>
      <w:tr>
        <w:trPr>
          <w:trHeight w:val="425"/>
        </w:trPr>
        <w:tc>
          <w:tcPr>
            <w:tcW w:w="5140" w:type="dxa"/>
            <w:vAlign w:val="bottom"/>
          </w:tcPr>
          <w:p>
            <w:pPr>
              <w:spacing w:after="0"/>
              <w:rPr>
                <w:sz w:val="20"/>
                <w:szCs w:val="20"/>
                <w:color w:val="auto"/>
              </w:rPr>
            </w:pPr>
            <w:r>
              <w:rPr>
                <w:rFonts w:ascii="Arial" w:cs="Arial" w:eastAsia="Arial" w:hAnsi="Arial"/>
                <w:sz w:val="18"/>
                <w:szCs w:val="18"/>
                <w:color w:val="auto"/>
              </w:rPr>
              <w:t>Other income (expense):</w:t>
            </w:r>
          </w:p>
        </w:tc>
        <w:tc>
          <w:tcPr>
            <w:tcW w:w="9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1,577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571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1,976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 net of capitalized interest</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(58,231)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(53,598)</w:t>
            </w:r>
          </w:p>
        </w:tc>
        <w:tc>
          <w:tcPr>
            <w:tcW w:w="2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(116,494)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(102,859)</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Increase (decrease) in swap fair value</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3,135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(1,675)</w:t>
            </w: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7,365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(5,277)</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Loss on extinguishment of debt/exchange offer</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(3,152)</w:t>
            </w: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Equity in income from unconsolidated affiliates</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264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866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3" w:lineRule="exact"/>
              <w:rPr>
                <w:sz w:val="20"/>
                <w:szCs w:val="20"/>
                <w:color w:val="auto"/>
              </w:rPr>
            </w:pPr>
            <w:r>
              <w:rPr>
                <w:rFonts w:ascii="Arial" w:cs="Arial" w:eastAsia="Arial" w:hAnsi="Arial"/>
                <w:sz w:val="18"/>
                <w:szCs w:val="18"/>
                <w:color w:val="auto"/>
              </w:rPr>
              <w:t>Other</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784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431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1,701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196"/>
        </w:trPr>
        <w:tc>
          <w:tcPr>
            <w:tcW w:w="5140" w:type="dxa"/>
            <w:vAlign w:val="bottom"/>
          </w:tcPr>
          <w:p>
            <w:pPr>
              <w:ind w:left="340"/>
              <w:spacing w:after="0" w:line="196" w:lineRule="exact"/>
              <w:rPr>
                <w:sz w:val="20"/>
                <w:szCs w:val="20"/>
                <w:color w:val="auto"/>
              </w:rPr>
            </w:pPr>
            <w:r>
              <w:rPr>
                <w:rFonts w:ascii="Arial" w:cs="Arial" w:eastAsia="Arial" w:hAnsi="Arial"/>
                <w:sz w:val="18"/>
                <w:szCs w:val="18"/>
                <w:color w:val="auto"/>
              </w:rPr>
              <w:t>Other income (expense), net</w:t>
            </w:r>
          </w:p>
        </w:tc>
        <w:tc>
          <w:tcPr>
            <w:tcW w:w="9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(52,471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(57,308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(104,586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(109,228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26"/>
        </w:trPr>
        <w:tc>
          <w:tcPr>
            <w:tcW w:w="51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160,562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90,838</w:t>
            </w:r>
          </w:p>
        </w:tc>
        <w:tc>
          <w:tcPr>
            <w:tcW w:w="2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389,003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153,766</w:t>
            </w:r>
          </w:p>
        </w:tc>
        <w:tc>
          <w:tcPr>
            <w:tcW w:w="0" w:type="dxa"/>
            <w:vAlign w:val="bottom"/>
          </w:tcPr>
          <w:p>
            <w:pPr>
              <w:spacing w:after="0"/>
              <w:rPr>
                <w:sz w:val="1"/>
                <w:szCs w:val="1"/>
                <w:color w:val="auto"/>
              </w:rPr>
            </w:pPr>
          </w:p>
        </w:tc>
      </w:tr>
      <w:tr>
        <w:trPr>
          <w:trHeight w:val="405"/>
        </w:trPr>
        <w:tc>
          <w:tcPr>
            <w:tcW w:w="514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(5,231)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(1,921)</w:t>
            </w:r>
          </w:p>
        </w:tc>
        <w:tc>
          <w:tcPr>
            <w:tcW w:w="22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(7,337)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(6,990)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4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155,331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88,917</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381,666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146,776</w:t>
            </w:r>
          </w:p>
        </w:tc>
        <w:tc>
          <w:tcPr>
            <w:tcW w:w="0" w:type="dxa"/>
            <w:vAlign w:val="bottom"/>
          </w:tcPr>
          <w:p>
            <w:pPr>
              <w:spacing w:after="0"/>
              <w:rPr>
                <w:sz w:val="1"/>
                <w:szCs w:val="1"/>
                <w:color w:val="auto"/>
              </w:rPr>
            </w:pPr>
          </w:p>
        </w:tc>
      </w:tr>
      <w:tr>
        <w:trPr>
          <w:trHeight w:val="405"/>
        </w:trPr>
        <w:tc>
          <w:tcPr>
            <w:tcW w:w="5140" w:type="dxa"/>
            <w:vAlign w:val="bottom"/>
          </w:tcPr>
          <w:p>
            <w:pPr>
              <w:ind w:left="180"/>
              <w:spacing w:after="0"/>
              <w:rPr>
                <w:sz w:val="20"/>
                <w:szCs w:val="20"/>
                <w:color w:val="auto"/>
              </w:rPr>
            </w:pPr>
            <w:r>
              <w:rPr>
                <w:rFonts w:ascii="Arial" w:cs="Arial" w:eastAsia="Arial" w:hAnsi="Arial"/>
                <w:sz w:val="18"/>
                <w:szCs w:val="18"/>
                <w:color w:val="auto"/>
              </w:rPr>
              <w:t>Less: Net income attributable to noncontrolling interests</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(33,300)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(36,512)</w:t>
            </w:r>
          </w:p>
        </w:tc>
        <w:tc>
          <w:tcPr>
            <w:tcW w:w="22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(85,831)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(67,383)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40" w:type="dxa"/>
            <w:vAlign w:val="bottom"/>
          </w:tcPr>
          <w:p>
            <w:pPr>
              <w:spacing w:after="0"/>
              <w:rPr>
                <w:sz w:val="20"/>
                <w:szCs w:val="20"/>
                <w:color w:val="auto"/>
              </w:rPr>
            </w:pPr>
            <w:r>
              <w:rPr>
                <w:rFonts w:ascii="Arial" w:cs="Arial" w:eastAsia="Arial" w:hAnsi="Arial"/>
                <w:sz w:val="18"/>
                <w:szCs w:val="18"/>
                <w:color w:val="auto"/>
              </w:rPr>
              <w:t>Net income attributable to Wynn Resorts, Limited</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122,031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52,405</w:t>
            </w:r>
          </w:p>
        </w:tc>
        <w:tc>
          <w:tcPr>
            <w:tcW w:w="2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295,835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79,393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140" w:type="dxa"/>
            <w:vAlign w:val="bottom"/>
            <w:vMerge w:val="restart"/>
          </w:tcPr>
          <w:p>
            <w:pPr>
              <w:spacing w:after="0"/>
              <w:rPr>
                <w:sz w:val="20"/>
                <w:szCs w:val="20"/>
                <w:color w:val="auto"/>
              </w:rPr>
            </w:pPr>
            <w:r>
              <w:rPr>
                <w:rFonts w:ascii="Arial" w:cs="Arial" w:eastAsia="Arial" w:hAnsi="Arial"/>
                <w:sz w:val="18"/>
                <w:szCs w:val="18"/>
                <w:color w:val="auto"/>
              </w:rPr>
              <w:t>Basic and diluted income per common share:</w:t>
            </w:r>
          </w:p>
        </w:tc>
        <w:tc>
          <w:tcPr>
            <w:tcW w:w="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51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Net income attributable to Wynn Resorts, Limited:</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ind w:left="340"/>
              <w:spacing w:after="0" w:line="202" w:lineRule="exact"/>
              <w:rPr>
                <w:sz w:val="20"/>
                <w:szCs w:val="20"/>
                <w:color w:val="auto"/>
              </w:rPr>
            </w:pPr>
            <w:r>
              <w:rPr>
                <w:rFonts w:ascii="Arial" w:cs="Arial" w:eastAsia="Arial" w:hAnsi="Arial"/>
                <w:sz w:val="18"/>
                <w:szCs w:val="18"/>
                <w:color w:val="auto"/>
              </w:rPr>
              <w:t>Basic</w:t>
            </w: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0.98</w:t>
            </w:r>
          </w:p>
        </w:tc>
        <w:tc>
          <w:tcPr>
            <w:tcW w:w="140" w:type="dxa"/>
            <w:vAlign w:val="bottom"/>
          </w:tcPr>
          <w:p>
            <w:pPr>
              <w:spacing w:after="0"/>
              <w:rPr>
                <w:sz w:val="17"/>
                <w:szCs w:val="17"/>
                <w:color w:val="auto"/>
              </w:rPr>
            </w:pPr>
          </w:p>
        </w:tc>
        <w:tc>
          <w:tcPr>
            <w:tcW w:w="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0.43</w:t>
            </w:r>
          </w:p>
        </w:tc>
        <w:tc>
          <w:tcPr>
            <w:tcW w:w="20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2.39</w:t>
            </w:r>
          </w:p>
        </w:tc>
        <w:tc>
          <w:tcPr>
            <w:tcW w:w="3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5140" w:type="dxa"/>
            <w:vAlign w:val="bottom"/>
          </w:tcPr>
          <w:p>
            <w:pPr>
              <w:ind w:left="340"/>
              <w:spacing w:after="0"/>
              <w:rPr>
                <w:sz w:val="20"/>
                <w:szCs w:val="20"/>
                <w:color w:val="auto"/>
              </w:rPr>
            </w:pPr>
            <w:r>
              <w:rPr>
                <w:rFonts w:ascii="Arial" w:cs="Arial" w:eastAsia="Arial" w:hAnsi="Arial"/>
                <w:sz w:val="18"/>
                <w:szCs w:val="18"/>
                <w:color w:val="auto"/>
              </w:rPr>
              <w:t>Diluted</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0.97</w:t>
            </w:r>
          </w:p>
        </w:tc>
        <w:tc>
          <w:tcPr>
            <w:tcW w:w="140" w:type="dxa"/>
            <w:vAlign w:val="bottom"/>
          </w:tcPr>
          <w:p>
            <w:pPr>
              <w:spacing w:after="0"/>
              <w:rPr>
                <w:sz w:val="18"/>
                <w:szCs w:val="18"/>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0.42</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2.36</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ind w:left="340"/>
              <w:spacing w:after="0" w:line="202" w:lineRule="exact"/>
              <w:rPr>
                <w:sz w:val="20"/>
                <w:szCs w:val="20"/>
                <w:color w:val="auto"/>
              </w:rPr>
            </w:pPr>
            <w:r>
              <w:rPr>
                <w:rFonts w:ascii="Arial" w:cs="Arial" w:eastAsia="Arial" w:hAnsi="Arial"/>
                <w:sz w:val="18"/>
                <w:szCs w:val="18"/>
                <w:color w:val="auto"/>
              </w:rPr>
              <w:t>Basic</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123,970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122,521</w:t>
            </w: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123,864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122,467</w:t>
            </w:r>
          </w:p>
        </w:tc>
        <w:tc>
          <w:tcPr>
            <w:tcW w:w="0" w:type="dxa"/>
            <w:vAlign w:val="bottom"/>
          </w:tcPr>
          <w:p>
            <w:pPr>
              <w:spacing w:after="0"/>
              <w:rPr>
                <w:sz w:val="1"/>
                <w:szCs w:val="1"/>
                <w:color w:val="auto"/>
              </w:rPr>
            </w:pPr>
          </w:p>
        </w:tc>
      </w:tr>
      <w:tr>
        <w:trPr>
          <w:trHeight w:val="217"/>
        </w:trPr>
        <w:tc>
          <w:tcPr>
            <w:tcW w:w="5140" w:type="dxa"/>
            <w:vAlign w:val="bottom"/>
          </w:tcPr>
          <w:p>
            <w:pPr>
              <w:ind w:left="340"/>
              <w:spacing w:after="0"/>
              <w:rPr>
                <w:sz w:val="20"/>
                <w:szCs w:val="20"/>
                <w:color w:val="auto"/>
              </w:rPr>
            </w:pPr>
            <w:r>
              <w:rPr>
                <w:rFonts w:ascii="Arial" w:cs="Arial" w:eastAsia="Arial" w:hAnsi="Arial"/>
                <w:sz w:val="18"/>
                <w:szCs w:val="18"/>
                <w:color w:val="auto"/>
              </w:rPr>
              <w:t>Diluted</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125,729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123,816</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125,567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123,387</w:t>
            </w:r>
          </w:p>
        </w:tc>
        <w:tc>
          <w:tcPr>
            <w:tcW w:w="0" w:type="dxa"/>
            <w:vAlign w:val="bottom"/>
          </w:tcPr>
          <w:p>
            <w:pPr>
              <w:spacing w:after="0"/>
              <w:rPr>
                <w:sz w:val="1"/>
                <w:szCs w:val="1"/>
                <w:color w:val="auto"/>
              </w:rPr>
            </w:pPr>
          </w:p>
        </w:tc>
      </w:tr>
      <w:tr>
        <w:trPr>
          <w:trHeight w:val="419"/>
        </w:trPr>
        <w:tc>
          <w:tcPr>
            <w:tcW w:w="5140" w:type="dxa"/>
            <w:vAlign w:val="bottom"/>
          </w:tcPr>
          <w:p>
            <w:pPr>
              <w:spacing w:after="0"/>
              <w:rPr>
                <w:sz w:val="20"/>
                <w:szCs w:val="20"/>
                <w:color w:val="auto"/>
              </w:rPr>
            </w:pPr>
            <w:r>
              <w:rPr>
                <w:rFonts w:ascii="Arial" w:cs="Arial" w:eastAsia="Arial" w:hAnsi="Arial"/>
                <w:sz w:val="18"/>
                <w:szCs w:val="18"/>
                <w:color w:val="auto"/>
              </w:rPr>
              <w:t>Dividends declared per common share:</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24"/>
                <w:szCs w:val="24"/>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0.25</w:t>
            </w:r>
          </w:p>
        </w:tc>
        <w:tc>
          <w:tcPr>
            <w:tcW w:w="2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594"/>
        </w:trPr>
        <w:tc>
          <w:tcPr>
            <w:tcW w:w="5140" w:type="dxa"/>
            <w:vAlign w:val="bottom"/>
          </w:tcPr>
          <w:p>
            <w:pPr>
              <w:spacing w:after="0"/>
              <w:rPr>
                <w:sz w:val="24"/>
                <w:szCs w:val="24"/>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1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NET INCOME ATTRIBUTABLE TO WYNN RESORTS, LIMITED TO ADJUSTED NET INCOME ATTRIBUTABLE TO WYNN RESORTS, LIMITED (amounts in thousands, except per share data) (unaudited)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5"/>
        </w:trPr>
        <w:tc>
          <w:tcPr>
            <w:tcW w:w="5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5600" w:type="dxa"/>
            <w:vAlign w:val="bottom"/>
          </w:tcPr>
          <w:p>
            <w:pPr>
              <w:spacing w:after="0"/>
              <w:rPr>
                <w:sz w:val="20"/>
                <w:szCs w:val="20"/>
                <w:color w:val="auto"/>
              </w:rPr>
            </w:pPr>
            <w:r>
              <w:rPr>
                <w:rFonts w:ascii="Arial" w:cs="Arial" w:eastAsia="Arial" w:hAnsi="Arial"/>
                <w:sz w:val="18"/>
                <w:szCs w:val="18"/>
                <w:color w:val="auto"/>
              </w:rPr>
              <w:t>Net income attributable to Wynn Resorts, Limited</w:t>
            </w: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122,031</w:t>
            </w:r>
          </w:p>
        </w:tc>
        <w:tc>
          <w:tcPr>
            <w:tcW w:w="140" w:type="dxa"/>
            <w:vAlign w:val="bottom"/>
          </w:tcPr>
          <w:p>
            <w:pPr>
              <w:spacing w:after="0"/>
              <w:rPr>
                <w:sz w:val="24"/>
                <w:szCs w:val="24"/>
                <w:color w:val="auto"/>
              </w:rPr>
            </w:pP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52,405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295,835</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79,393</w:t>
            </w:r>
          </w:p>
        </w:tc>
        <w:tc>
          <w:tcPr>
            <w:tcW w:w="0" w:type="dxa"/>
            <w:vAlign w:val="bottom"/>
          </w:tcPr>
          <w:p>
            <w:pPr>
              <w:spacing w:after="0"/>
              <w:rPr>
                <w:sz w:val="1"/>
                <w:szCs w:val="1"/>
                <w:color w:val="auto"/>
              </w:rPr>
            </w:pPr>
          </w:p>
        </w:tc>
      </w:tr>
      <w:tr>
        <w:trPr>
          <w:trHeight w:val="203"/>
        </w:trPr>
        <w:tc>
          <w:tcPr>
            <w:tcW w:w="5600" w:type="dxa"/>
            <w:vAlign w:val="bottom"/>
          </w:tcPr>
          <w:p>
            <w:pPr>
              <w:ind w:left="180"/>
              <w:spacing w:after="0" w:line="202" w:lineRule="exact"/>
              <w:rPr>
                <w:sz w:val="20"/>
                <w:szCs w:val="20"/>
                <w:color w:val="auto"/>
              </w:rPr>
            </w:pPr>
            <w:r>
              <w:rPr>
                <w:rFonts w:ascii="Arial" w:cs="Arial" w:eastAsia="Arial" w:hAnsi="Arial"/>
                <w:sz w:val="18"/>
                <w:szCs w:val="18"/>
                <w:color w:val="auto"/>
              </w:rPr>
              <w:t>Pre-opening costs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6,675</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8,986</w:t>
            </w:r>
          </w:p>
        </w:tc>
        <w:tc>
          <w:tcPr>
            <w:tcW w:w="0" w:type="dxa"/>
            <w:vAlign w:val="bottom"/>
          </w:tcPr>
          <w:p>
            <w:pPr>
              <w:spacing w:after="0"/>
              <w:rPr>
                <w:sz w:val="1"/>
                <w:szCs w:val="1"/>
                <w:color w:val="auto"/>
              </w:rPr>
            </w:pPr>
          </w:p>
        </w:tc>
      </w:tr>
      <w:tr>
        <w:trPr>
          <w:trHeight w:val="203"/>
        </w:trPr>
        <w:tc>
          <w:tcPr>
            <w:tcW w:w="5600" w:type="dxa"/>
            <w:vAlign w:val="bottom"/>
          </w:tcPr>
          <w:p>
            <w:pPr>
              <w:ind w:left="180"/>
              <w:spacing w:after="0" w:line="202" w:lineRule="exact"/>
              <w:rPr>
                <w:sz w:val="20"/>
                <w:szCs w:val="20"/>
                <w:color w:val="auto"/>
              </w:rPr>
            </w:pPr>
            <w:r>
              <w:rPr>
                <w:rFonts w:ascii="Arial" w:cs="Arial" w:eastAsia="Arial" w:hAnsi="Arial"/>
                <w:sz w:val="18"/>
                <w:szCs w:val="18"/>
                <w:color w:val="auto"/>
              </w:rPr>
              <w:t>Loss on extinguishment of debt/exchange offer</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3,152</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03"/>
        </w:trPr>
        <w:tc>
          <w:tcPr>
            <w:tcW w:w="5600" w:type="dxa"/>
            <w:vAlign w:val="bottom"/>
          </w:tcPr>
          <w:p>
            <w:pPr>
              <w:ind w:left="180"/>
              <w:spacing w:after="0" w:line="202" w:lineRule="exact"/>
              <w:rPr>
                <w:sz w:val="20"/>
                <w:szCs w:val="20"/>
                <w:color w:val="auto"/>
              </w:rPr>
            </w:pPr>
            <w:r>
              <w:rPr>
                <w:rFonts w:ascii="Arial" w:cs="Arial" w:eastAsia="Arial" w:hAnsi="Arial"/>
                <w:sz w:val="18"/>
                <w:szCs w:val="18"/>
                <w:color w:val="auto"/>
              </w:rPr>
              <w:t>(Increase) decrease in swap fair value</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(3,135)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1,675</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(7,365)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5,277</w:t>
            </w:r>
          </w:p>
        </w:tc>
        <w:tc>
          <w:tcPr>
            <w:tcW w:w="0" w:type="dxa"/>
            <w:vAlign w:val="bottom"/>
          </w:tcPr>
          <w:p>
            <w:pPr>
              <w:spacing w:after="0"/>
              <w:rPr>
                <w:sz w:val="1"/>
                <w:szCs w:val="1"/>
                <w:color w:val="auto"/>
              </w:rPr>
            </w:pPr>
          </w:p>
        </w:tc>
      </w:tr>
      <w:tr>
        <w:trPr>
          <w:trHeight w:val="203"/>
        </w:trPr>
        <w:tc>
          <w:tcPr>
            <w:tcW w:w="5600" w:type="dxa"/>
            <w:vAlign w:val="bottom"/>
          </w:tcPr>
          <w:p>
            <w:pPr>
              <w:ind w:left="180"/>
              <w:spacing w:after="0" w:line="202" w:lineRule="exact"/>
              <w:rPr>
                <w:sz w:val="20"/>
                <w:szCs w:val="20"/>
                <w:color w:val="auto"/>
              </w:rPr>
            </w:pPr>
            <w:r>
              <w:rPr>
                <w:rFonts w:ascii="Arial" w:cs="Arial" w:eastAsia="Arial" w:hAnsi="Arial"/>
                <w:sz w:val="18"/>
                <w:szCs w:val="18"/>
                <w:color w:val="auto"/>
              </w:rPr>
              <w:t>Property charges and other</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111,060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2,966</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114,408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4,847</w:t>
            </w:r>
          </w:p>
        </w:tc>
        <w:tc>
          <w:tcPr>
            <w:tcW w:w="0" w:type="dxa"/>
            <w:vAlign w:val="bottom"/>
          </w:tcPr>
          <w:p>
            <w:pPr>
              <w:spacing w:after="0"/>
              <w:rPr>
                <w:sz w:val="1"/>
                <w:szCs w:val="1"/>
                <w:color w:val="auto"/>
              </w:rPr>
            </w:pPr>
          </w:p>
        </w:tc>
      </w:tr>
      <w:tr>
        <w:trPr>
          <w:trHeight w:val="203"/>
        </w:trPr>
        <w:tc>
          <w:tcPr>
            <w:tcW w:w="5600" w:type="dxa"/>
            <w:vAlign w:val="bottom"/>
          </w:tcPr>
          <w:p>
            <w:pPr>
              <w:ind w:left="180"/>
              <w:spacing w:after="0" w:line="203" w:lineRule="exact"/>
              <w:rPr>
                <w:sz w:val="20"/>
                <w:szCs w:val="20"/>
                <w:color w:val="auto"/>
              </w:rPr>
            </w:pPr>
            <w:r>
              <w:rPr>
                <w:rFonts w:ascii="Arial" w:cs="Arial" w:eastAsia="Arial" w:hAnsi="Arial"/>
                <w:sz w:val="18"/>
                <w:szCs w:val="18"/>
                <w:color w:val="auto"/>
              </w:rPr>
              <w:t>Adjustment for noncontrolling interest</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(29,204)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(1,931)</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(28,769)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Adjusted net income attributable to Wynn Resorts, Limited (2)</w:t>
            </w:r>
          </w:p>
        </w:tc>
        <w:tc>
          <w:tcPr>
            <w:tcW w:w="4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200,752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64,942</w:t>
            </w: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374,109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98,694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600" w:type="dxa"/>
            <w:vAlign w:val="bottom"/>
            <w:vMerge w:val="restart"/>
          </w:tcPr>
          <w:p>
            <w:pPr>
              <w:spacing w:after="0"/>
              <w:rPr>
                <w:sz w:val="20"/>
                <w:szCs w:val="20"/>
                <w:color w:val="auto"/>
              </w:rPr>
            </w:pPr>
            <w:r>
              <w:rPr>
                <w:rFonts w:ascii="Arial" w:cs="Arial" w:eastAsia="Arial" w:hAnsi="Arial"/>
                <w:sz w:val="18"/>
                <w:szCs w:val="18"/>
                <w:color w:val="auto"/>
              </w:rPr>
              <w:t>Adjusted net income attributable to Wynn Resorts, Limited per diluted</w:t>
            </w: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7"/>
        </w:trPr>
        <w:tc>
          <w:tcPr>
            <w:tcW w:w="5600" w:type="dxa"/>
            <w:vAlign w:val="bottom"/>
            <w:vMerge w:val="continue"/>
          </w:tcPr>
          <w:p>
            <w:pPr>
              <w:spacing w:after="0"/>
              <w:rPr>
                <w:sz w:val="24"/>
                <w:szCs w:val="24"/>
                <w:color w:val="auto"/>
              </w:rPr>
            </w:pPr>
          </w:p>
        </w:tc>
        <w:tc>
          <w:tcPr>
            <w:tcW w:w="7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24"/>
                <w:szCs w:val="24"/>
                <w:color w:val="auto"/>
              </w:rPr>
            </w:pPr>
          </w:p>
        </w:tc>
        <w:tc>
          <w:tcPr>
            <w:tcW w:w="40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0.52</w:t>
            </w:r>
          </w:p>
        </w:tc>
        <w:tc>
          <w:tcPr>
            <w:tcW w:w="200" w:type="dxa"/>
            <w:vAlign w:val="bottom"/>
          </w:tcPr>
          <w:p>
            <w:pPr>
              <w:spacing w:after="0"/>
              <w:rPr>
                <w:sz w:val="24"/>
                <w:szCs w:val="24"/>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2.98</w:t>
            </w:r>
          </w:p>
        </w:tc>
        <w:tc>
          <w:tcPr>
            <w:tcW w:w="38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190"/>
        </w:trPr>
        <w:tc>
          <w:tcPr>
            <w:tcW w:w="5600" w:type="dxa"/>
            <w:vAlign w:val="bottom"/>
          </w:tcPr>
          <w:p>
            <w:pPr>
              <w:ind w:left="180"/>
              <w:spacing w:after="0" w:line="190" w:lineRule="exact"/>
              <w:rPr>
                <w:sz w:val="20"/>
                <w:szCs w:val="20"/>
                <w:color w:val="auto"/>
              </w:rPr>
            </w:pPr>
            <w:r>
              <w:rPr>
                <w:rFonts w:ascii="Arial" w:cs="Arial" w:eastAsia="Arial" w:hAnsi="Arial"/>
                <w:sz w:val="18"/>
                <w:szCs w:val="18"/>
                <w:color w:val="auto"/>
              </w:rPr>
              <w:t>share</w:t>
            </w:r>
          </w:p>
        </w:tc>
        <w:tc>
          <w:tcPr>
            <w:tcW w:w="72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01"/>
        </w:trPr>
        <w:tc>
          <w:tcPr>
            <w:tcW w:w="5600" w:type="dxa"/>
            <w:vAlign w:val="bottom"/>
          </w:tcPr>
          <w:p>
            <w:pPr>
              <w:spacing w:after="0"/>
              <w:rPr>
                <w:sz w:val="24"/>
                <w:szCs w:val="24"/>
                <w:color w:val="auto"/>
              </w:rPr>
            </w:pP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6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(LOSS) TO ADJUSTED PROPERTY EBITDA</w:t>
      </w:r>
    </w:p>
    <w:p>
      <w:pPr>
        <w:jc w:val="center"/>
        <w:spacing w:after="0" w:line="234" w:lineRule="auto"/>
        <w:rPr>
          <w:sz w:val="20"/>
          <w:szCs w:val="20"/>
          <w:color w:val="auto"/>
        </w:rPr>
      </w:pPr>
      <w:r>
        <w:rPr>
          <w:rFonts w:ascii="Arial" w:cs="Arial" w:eastAsia="Arial" w:hAnsi="Arial"/>
          <w:sz w:val="18"/>
          <w:szCs w:val="18"/>
          <w:color w:val="auto"/>
        </w:rPr>
        <w:t>AND ADJUSTED PROPERTY EBITDA TO NET INCOME</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gridSpan w:val="13"/>
          </w:tcPr>
          <w:p>
            <w:pPr>
              <w:jc w:val="right"/>
              <w:ind w:right="280"/>
              <w:spacing w:after="0"/>
              <w:rPr>
                <w:sz w:val="20"/>
                <w:szCs w:val="20"/>
                <w:color w:val="auto"/>
              </w:rPr>
            </w:pPr>
            <w:r>
              <w:rPr>
                <w:rFonts w:ascii="Arial" w:cs="Arial" w:eastAsia="Arial" w:hAnsi="Arial"/>
                <w:sz w:val="18"/>
                <w:szCs w:val="18"/>
                <w:b w:val="1"/>
                <w:bCs w:val="1"/>
                <w:color w:val="auto"/>
              </w:rPr>
              <w:t>Three Months Ended June 30, 2011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line="173" w:lineRule="exact"/>
              <w:rPr>
                <w:sz w:val="20"/>
                <w:szCs w:val="20"/>
                <w:color w:val="auto"/>
              </w:rPr>
            </w:pPr>
            <w:r>
              <w:rPr>
                <w:rFonts w:ascii="Arial" w:cs="Arial" w:eastAsia="Arial" w:hAnsi="Arial"/>
                <w:sz w:val="18"/>
                <w:szCs w:val="18"/>
                <w:b w:val="1"/>
                <w:bCs w:val="1"/>
                <w:color w:val="auto"/>
                <w:w w:val="97"/>
              </w:rPr>
              <w:t>Wynn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280"/>
              <w:spacing w:after="0" w:line="202" w:lineRule="exact"/>
              <w:rPr>
                <w:sz w:val="20"/>
                <w:szCs w:val="20"/>
                <w:color w:val="auto"/>
              </w:rPr>
            </w:pPr>
            <w:r>
              <w:rPr>
                <w:rFonts w:ascii="Arial" w:cs="Arial" w:eastAsia="Arial" w:hAnsi="Arial"/>
                <w:sz w:val="18"/>
                <w:szCs w:val="18"/>
                <w:b w:val="1"/>
                <w:bCs w:val="1"/>
                <w:color w:val="auto"/>
              </w:rPr>
              <w:t>Wynn Las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Macau,</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Corporate</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7"/>
              </w:rPr>
              <w:t>Vegas</w:t>
            </w:r>
          </w:p>
        </w:tc>
        <w:tc>
          <w:tcPr>
            <w:tcW w:w="1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Limited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and Other</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51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48,609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123,737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40,687</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213,033</w:t>
            </w:r>
          </w:p>
        </w:tc>
        <w:tc>
          <w:tcPr>
            <w:tcW w:w="0" w:type="dxa"/>
            <w:vAlign w:val="bottom"/>
          </w:tcPr>
          <w:p>
            <w:pPr>
              <w:spacing w:after="0"/>
              <w:rPr>
                <w:sz w:val="1"/>
                <w:szCs w:val="1"/>
                <w:color w:val="auto"/>
              </w:rPr>
            </w:pPr>
          </w:p>
        </w:tc>
      </w:tr>
      <w:tr>
        <w:trPr>
          <w:trHeight w:val="404"/>
        </w:trPr>
        <w:tc>
          <w:tcPr>
            <w:tcW w:w="5140" w:type="dxa"/>
            <w:vAlign w:val="bottom"/>
          </w:tcPr>
          <w:p>
            <w:pPr>
              <w:ind w:left="180"/>
              <w:spacing w:after="0"/>
              <w:rPr>
                <w:sz w:val="20"/>
                <w:szCs w:val="20"/>
                <w:color w:val="auto"/>
              </w:rPr>
            </w:pPr>
            <w:r>
              <w:rPr>
                <w:rFonts w:ascii="Arial" w:cs="Arial" w:eastAsia="Arial" w:hAnsi="Arial"/>
                <w:sz w:val="18"/>
                <w:szCs w:val="18"/>
                <w:color w:val="auto"/>
              </w:rPr>
              <w:t>Pre-opening costs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66,253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35,101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102,052</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Property charges and other</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2,560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108,500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111,060</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Management and royalty fees</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5,867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39,280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(45,147)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Corporate expense and other</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7,747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6,250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14,701</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2,892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5,931</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3" w:lineRule="exact"/>
              <w:rPr>
                <w:sz w:val="20"/>
                <w:szCs w:val="20"/>
                <w:color w:val="auto"/>
              </w:rPr>
            </w:pPr>
            <w:r>
              <w:rPr>
                <w:rFonts w:ascii="Arial" w:cs="Arial" w:eastAsia="Arial" w:hAnsi="Arial"/>
                <w:sz w:val="18"/>
                <w:szCs w:val="18"/>
                <w:color w:val="auto"/>
              </w:rPr>
              <w:t>Equity in income from unconsolidated affiliates</w:t>
            </w:r>
          </w:p>
        </w:tc>
        <w:tc>
          <w:tcPr>
            <w:tcW w:w="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140" w:type="dxa"/>
            <w:vAlign w:val="bottom"/>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132,693</w:t>
            </w:r>
          </w:p>
        </w:tc>
        <w:tc>
          <w:tcPr>
            <w:tcW w:w="12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314,348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447,041</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2"/>
        </w:trPr>
        <w:tc>
          <w:tcPr>
            <w:tcW w:w="5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13"/>
          </w:tcPr>
          <w:p>
            <w:pPr>
              <w:jc w:val="right"/>
              <w:ind w:right="280"/>
              <w:spacing w:after="0"/>
              <w:rPr>
                <w:sz w:val="20"/>
                <w:szCs w:val="20"/>
                <w:color w:val="auto"/>
              </w:rPr>
            </w:pPr>
            <w:r>
              <w:rPr>
                <w:rFonts w:ascii="Arial" w:cs="Arial" w:eastAsia="Arial" w:hAnsi="Arial"/>
                <w:sz w:val="18"/>
                <w:szCs w:val="18"/>
                <w:b w:val="1"/>
                <w:bCs w:val="1"/>
                <w:color w:val="auto"/>
              </w:rPr>
              <w:t>Three Months Ended June 30, 2010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line="173" w:lineRule="exact"/>
              <w:rPr>
                <w:sz w:val="20"/>
                <w:szCs w:val="20"/>
                <w:color w:val="auto"/>
              </w:rPr>
            </w:pPr>
            <w:r>
              <w:rPr>
                <w:rFonts w:ascii="Arial" w:cs="Arial" w:eastAsia="Arial" w:hAnsi="Arial"/>
                <w:sz w:val="18"/>
                <w:szCs w:val="18"/>
                <w:b w:val="1"/>
                <w:bCs w:val="1"/>
                <w:color w:val="auto"/>
                <w:w w:val="97"/>
              </w:rPr>
              <w:t>Wynn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280"/>
              <w:spacing w:after="0" w:line="202" w:lineRule="exact"/>
              <w:rPr>
                <w:sz w:val="20"/>
                <w:szCs w:val="20"/>
                <w:color w:val="auto"/>
              </w:rPr>
            </w:pPr>
            <w:r>
              <w:rPr>
                <w:rFonts w:ascii="Arial" w:cs="Arial" w:eastAsia="Arial" w:hAnsi="Arial"/>
                <w:sz w:val="18"/>
                <w:szCs w:val="18"/>
                <w:b w:val="1"/>
                <w:bCs w:val="1"/>
                <w:color w:val="auto"/>
              </w:rPr>
              <w:t>Wynn Las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Macau,</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Corporate</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7"/>
              </w:rPr>
              <w:t>Vegas</w:t>
            </w:r>
          </w:p>
        </w:tc>
        <w:tc>
          <w:tcPr>
            <w:tcW w:w="1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Limited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and Other</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514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(17,222)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140,164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25,204</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148,146</w:t>
            </w:r>
          </w:p>
        </w:tc>
        <w:tc>
          <w:tcPr>
            <w:tcW w:w="0" w:type="dxa"/>
            <w:vAlign w:val="bottom"/>
          </w:tcPr>
          <w:p>
            <w:pPr>
              <w:spacing w:after="0"/>
              <w:rPr>
                <w:sz w:val="1"/>
                <w:szCs w:val="1"/>
                <w:color w:val="auto"/>
              </w:rPr>
            </w:pPr>
          </w:p>
        </w:tc>
      </w:tr>
      <w:tr>
        <w:trPr>
          <w:trHeight w:val="404"/>
        </w:trPr>
        <w:tc>
          <w:tcPr>
            <w:tcW w:w="5140" w:type="dxa"/>
            <w:vAlign w:val="bottom"/>
          </w:tcPr>
          <w:p>
            <w:pPr>
              <w:ind w:left="180"/>
              <w:spacing w:after="0"/>
              <w:rPr>
                <w:sz w:val="20"/>
                <w:szCs w:val="20"/>
                <w:color w:val="auto"/>
              </w:rPr>
            </w:pPr>
            <w:r>
              <w:rPr>
                <w:rFonts w:ascii="Arial" w:cs="Arial" w:eastAsia="Arial" w:hAnsi="Arial"/>
                <w:sz w:val="18"/>
                <w:szCs w:val="18"/>
                <w:color w:val="auto"/>
              </w:rPr>
              <w:t>Pre-opening costs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5,085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6,675</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67,583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33,005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765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101,353</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Property charges and other</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Management and royalty fees</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4,787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28,445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(33,232)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Corporate expense and other</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4,852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4,385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15,080</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2,786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7,039</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3" w:lineRule="exact"/>
              <w:rPr>
                <w:sz w:val="20"/>
                <w:szCs w:val="20"/>
                <w:color w:val="auto"/>
              </w:rPr>
            </w:pPr>
            <w:r>
              <w:rPr>
                <w:rFonts w:ascii="Arial" w:cs="Arial" w:eastAsia="Arial" w:hAnsi="Arial"/>
                <w:sz w:val="18"/>
                <w:szCs w:val="18"/>
                <w:color w:val="auto"/>
              </w:rPr>
              <w:t>Equity in income from unconsolidated affiliates</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92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140" w:type="dxa"/>
            <w:vAlign w:val="bottom"/>
            <w:vMerge w:val="continue"/>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65,126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216,248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281,374</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9"/>
        </w:trPr>
        <w:tc>
          <w:tcPr>
            <w:tcW w:w="5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5"/>
        </w:trPr>
        <w:tc>
          <w:tcPr>
            <w:tcW w:w="5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0"/>
              <w:spacing w:after="0" w:line="196" w:lineRule="exact"/>
              <w:rPr>
                <w:sz w:val="20"/>
                <w:szCs w:val="20"/>
                <w:color w:val="auto"/>
              </w:rPr>
            </w:pPr>
            <w:r>
              <w:rPr>
                <w:rFonts w:ascii="Arial" w:cs="Arial" w:eastAsia="Arial" w:hAnsi="Arial"/>
                <w:sz w:val="18"/>
                <w:szCs w:val="18"/>
                <w:b w:val="1"/>
                <w:bCs w:val="1"/>
                <w:color w:val="auto"/>
                <w:w w:val="99"/>
              </w:rPr>
              <w:t>2011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7"/>
        </w:trPr>
        <w:tc>
          <w:tcPr>
            <w:tcW w:w="5140" w:type="dxa"/>
            <w:vAlign w:val="bottom"/>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447,041</w:t>
            </w:r>
          </w:p>
        </w:tc>
        <w:tc>
          <w:tcPr>
            <w:tcW w:w="140" w:type="dxa"/>
            <w:vAlign w:val="bottom"/>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281,374</w:t>
            </w:r>
          </w:p>
        </w:tc>
        <w:tc>
          <w:tcPr>
            <w:tcW w:w="0" w:type="dxa"/>
            <w:vAlign w:val="bottom"/>
          </w:tcPr>
          <w:p>
            <w:pPr>
              <w:spacing w:after="0"/>
              <w:rPr>
                <w:sz w:val="1"/>
                <w:szCs w:val="1"/>
                <w:color w:val="auto"/>
              </w:rPr>
            </w:pPr>
          </w:p>
        </w:tc>
      </w:tr>
      <w:tr>
        <w:trPr>
          <w:trHeight w:val="303"/>
        </w:trPr>
        <w:tc>
          <w:tcPr>
            <w:tcW w:w="5140" w:type="dxa"/>
            <w:vAlign w:val="bottom"/>
          </w:tcPr>
          <w:p>
            <w:pPr>
              <w:ind w:left="180"/>
              <w:spacing w:after="0"/>
              <w:rPr>
                <w:sz w:val="20"/>
                <w:szCs w:val="20"/>
                <w:color w:val="auto"/>
              </w:rPr>
            </w:pPr>
            <w:r>
              <w:rPr>
                <w:rFonts w:ascii="Arial" w:cs="Arial" w:eastAsia="Arial" w:hAnsi="Arial"/>
                <w:sz w:val="18"/>
                <w:szCs w:val="18"/>
                <w:color w:val="auto"/>
              </w:rPr>
              <w:t>Pre-opening costs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(6,675)</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(102,052)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(101,353)</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Property charges and other</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(111,060)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Corporate expenses and other</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(14,701)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(15,080)</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(5,931)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(7,039)</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1,577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 net of capitalized interest</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(58,231)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(53,598)</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Increase (decrease) in swap fair value</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3,135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Loss on extinguishment of debt/exchange offer</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Other</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784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3" w:lineRule="exact"/>
              <w:rPr>
                <w:sz w:val="20"/>
                <w:szCs w:val="20"/>
                <w:color w:val="auto"/>
              </w:rPr>
            </w:pPr>
            <w:r>
              <w:rPr>
                <w:rFonts w:ascii="Arial" w:cs="Arial" w:eastAsia="Arial" w:hAnsi="Arial"/>
                <w:sz w:val="18"/>
                <w:szCs w:val="18"/>
                <w:color w:val="auto"/>
              </w:rPr>
              <w:t>Provision for income taxes</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(5,231)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426"/>
        </w:trPr>
        <w:tc>
          <w:tcPr>
            <w:tcW w:w="51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155,331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140" w:type="dxa"/>
            <w:vAlign w:val="bottom"/>
          </w:tcPr>
          <w:p>
            <w:pPr>
              <w:ind w:left="180"/>
              <w:spacing w:after="0"/>
              <w:rPr>
                <w:sz w:val="20"/>
                <w:szCs w:val="20"/>
                <w:color w:val="auto"/>
              </w:rPr>
            </w:pPr>
            <w:r>
              <w:rPr>
                <w:rFonts w:ascii="Arial" w:cs="Arial" w:eastAsia="Arial" w:hAnsi="Arial"/>
                <w:sz w:val="18"/>
                <w:szCs w:val="18"/>
                <w:color w:val="auto"/>
              </w:rPr>
              <w:t>Less: Net income attributable to noncontrolling interests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(33,300)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(36,512)</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b w:val="1"/>
                <w:bCs w:val="1"/>
                <w:color w:val="auto"/>
              </w:rPr>
              <w:t>Net income attributable to Wynn Resorts, Limited</w:t>
            </w: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1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122,031</w:t>
            </w:r>
          </w:p>
        </w:tc>
        <w:tc>
          <w:tcPr>
            <w:tcW w:w="140" w:type="dxa"/>
            <w:vAlign w:val="bottom"/>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52,405</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940" w:type="dxa"/>
            <w:vAlign w:val="bottom"/>
            <w:vMerge w:val="restart"/>
          </w:tcPr>
          <w:p>
            <w:pPr>
              <w:jc w:val="right"/>
              <w:ind w:right="2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514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1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9" w:right="239" w:bottom="11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(LOSS) TO ADJUSTED PROPERTY EBITDA</w:t>
      </w:r>
    </w:p>
    <w:p>
      <w:pPr>
        <w:jc w:val="center"/>
        <w:spacing w:after="0" w:line="234" w:lineRule="auto"/>
        <w:rPr>
          <w:sz w:val="20"/>
          <w:szCs w:val="20"/>
          <w:color w:val="auto"/>
        </w:rPr>
      </w:pPr>
      <w:r>
        <w:rPr>
          <w:rFonts w:ascii="Arial" w:cs="Arial" w:eastAsia="Arial" w:hAnsi="Arial"/>
          <w:sz w:val="18"/>
          <w:szCs w:val="18"/>
          <w:color w:val="auto"/>
        </w:rPr>
        <w:t>AND ADJUSTED PROPERTY EBITDA TO NET INCOME</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8"/>
                <w:szCs w:val="18"/>
                <w:b w:val="1"/>
                <w:bCs w:val="1"/>
                <w:color w:val="auto"/>
                <w:w w:val="99"/>
              </w:rPr>
              <w:t>Six Months Ended June 30, 2011</w:t>
            </w: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line="173" w:lineRule="exact"/>
              <w:rPr>
                <w:sz w:val="20"/>
                <w:szCs w:val="20"/>
                <w:color w:val="auto"/>
              </w:rPr>
            </w:pPr>
            <w:r>
              <w:rPr>
                <w:rFonts w:ascii="Arial" w:cs="Arial" w:eastAsia="Arial" w:hAnsi="Arial"/>
                <w:sz w:val="18"/>
                <w:szCs w:val="18"/>
                <w:b w:val="1"/>
                <w:bCs w:val="1"/>
                <w:color w:val="auto"/>
                <w:w w:val="97"/>
              </w:rPr>
              <w:t>Wynn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200"/>
              <w:spacing w:after="0" w:line="202" w:lineRule="exact"/>
              <w:rPr>
                <w:sz w:val="20"/>
                <w:szCs w:val="20"/>
                <w:color w:val="auto"/>
              </w:rPr>
            </w:pPr>
            <w:r>
              <w:rPr>
                <w:rFonts w:ascii="Arial" w:cs="Arial" w:eastAsia="Arial" w:hAnsi="Arial"/>
                <w:sz w:val="18"/>
                <w:szCs w:val="18"/>
                <w:b w:val="1"/>
                <w:bCs w:val="1"/>
                <w:color w:val="auto"/>
              </w:rPr>
              <w:t>Wynn Las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Macau,</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Corporate</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7"/>
              </w:rPr>
              <w:t>Vegas</w:t>
            </w:r>
          </w:p>
        </w:tc>
        <w:tc>
          <w:tcPr>
            <w:tcW w:w="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Limited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and Other</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51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97,783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318,139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77,667</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493,589</w:t>
            </w:r>
          </w:p>
        </w:tc>
        <w:tc>
          <w:tcPr>
            <w:tcW w:w="0" w:type="dxa"/>
            <w:vAlign w:val="bottom"/>
          </w:tcPr>
          <w:p>
            <w:pPr>
              <w:spacing w:after="0"/>
              <w:rPr>
                <w:sz w:val="1"/>
                <w:szCs w:val="1"/>
                <w:color w:val="auto"/>
              </w:rPr>
            </w:pPr>
          </w:p>
        </w:tc>
      </w:tr>
      <w:tr>
        <w:trPr>
          <w:trHeight w:val="404"/>
        </w:trPr>
        <w:tc>
          <w:tcPr>
            <w:tcW w:w="5140" w:type="dxa"/>
            <w:vAlign w:val="bottom"/>
          </w:tcPr>
          <w:p>
            <w:pPr>
              <w:ind w:left="180"/>
              <w:spacing w:after="0"/>
              <w:rPr>
                <w:sz w:val="20"/>
                <w:szCs w:val="20"/>
                <w:color w:val="auto"/>
              </w:rPr>
            </w:pPr>
            <w:r>
              <w:rPr>
                <w:rFonts w:ascii="Arial" w:cs="Arial" w:eastAsia="Arial" w:hAnsi="Arial"/>
                <w:sz w:val="18"/>
                <w:szCs w:val="18"/>
                <w:color w:val="auto"/>
              </w:rPr>
              <w:t>Pre-opening costs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132,049</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70,034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1,316</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203,399</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Property charges and other</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4,590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109,818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114,408</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Management and royalty fees</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11,795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73,774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(85,569)</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Corporate expense and other</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13,925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12,541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595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27,061</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4,424</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5,379</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12,676</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3" w:lineRule="exact"/>
              <w:rPr>
                <w:sz w:val="20"/>
                <w:szCs w:val="20"/>
                <w:color w:val="auto"/>
              </w:rPr>
            </w:pPr>
            <w:r>
              <w:rPr>
                <w:rFonts w:ascii="Arial" w:cs="Arial" w:eastAsia="Arial" w:hAnsi="Arial"/>
                <w:sz w:val="18"/>
                <w:szCs w:val="18"/>
                <w:color w:val="auto"/>
              </w:rPr>
              <w:t>Equity in income from unconsolidated affiliates</w:t>
            </w:r>
          </w:p>
        </w:tc>
        <w:tc>
          <w:tcPr>
            <w:tcW w:w="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254</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140" w:type="dxa"/>
            <w:vAlign w:val="bottom"/>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264,820</w:t>
            </w:r>
          </w:p>
        </w:tc>
        <w:tc>
          <w:tcPr>
            <w:tcW w:w="40" w:type="dxa"/>
            <w:vAlign w:val="bottom"/>
          </w:tcPr>
          <w:p>
            <w:pPr>
              <w:spacing w:after="0"/>
              <w:rPr>
                <w:sz w:val="24"/>
                <w:szCs w:val="24"/>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587,179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851,999</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2"/>
        </w:trPr>
        <w:tc>
          <w:tcPr>
            <w:tcW w:w="5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8"/>
                <w:szCs w:val="18"/>
                <w:b w:val="1"/>
                <w:bCs w:val="1"/>
                <w:color w:val="auto"/>
                <w:w w:val="99"/>
              </w:rPr>
              <w:t>Six Months Ended June 30, 2010</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line="173" w:lineRule="exact"/>
              <w:rPr>
                <w:sz w:val="20"/>
                <w:szCs w:val="20"/>
                <w:color w:val="auto"/>
              </w:rPr>
            </w:pPr>
            <w:r>
              <w:rPr>
                <w:rFonts w:ascii="Arial" w:cs="Arial" w:eastAsia="Arial" w:hAnsi="Arial"/>
                <w:sz w:val="18"/>
                <w:szCs w:val="18"/>
                <w:b w:val="1"/>
                <w:bCs w:val="1"/>
                <w:color w:val="auto"/>
                <w:w w:val="97"/>
              </w:rPr>
              <w:t>Wynn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200"/>
              <w:spacing w:after="0" w:line="202" w:lineRule="exact"/>
              <w:rPr>
                <w:sz w:val="20"/>
                <w:szCs w:val="20"/>
                <w:color w:val="auto"/>
              </w:rPr>
            </w:pPr>
            <w:r>
              <w:rPr>
                <w:rFonts w:ascii="Arial" w:cs="Arial" w:eastAsia="Arial" w:hAnsi="Arial"/>
                <w:sz w:val="18"/>
                <w:szCs w:val="18"/>
                <w:b w:val="1"/>
                <w:bCs w:val="1"/>
                <w:color w:val="auto"/>
              </w:rPr>
              <w:t>Wynn Las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Macau,</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Corporate</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7"/>
              </w:rPr>
              <w:t>Vegas</w:t>
            </w:r>
          </w:p>
        </w:tc>
        <w:tc>
          <w:tcPr>
            <w:tcW w:w="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Limited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and Other</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514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(51,707)</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265,182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49,519</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262,994</w:t>
            </w:r>
          </w:p>
        </w:tc>
        <w:tc>
          <w:tcPr>
            <w:tcW w:w="0" w:type="dxa"/>
            <w:vAlign w:val="bottom"/>
          </w:tcPr>
          <w:p>
            <w:pPr>
              <w:spacing w:after="0"/>
              <w:rPr>
                <w:sz w:val="1"/>
                <w:szCs w:val="1"/>
                <w:color w:val="auto"/>
              </w:rPr>
            </w:pPr>
          </w:p>
        </w:tc>
      </w:tr>
      <w:tr>
        <w:trPr>
          <w:trHeight w:val="404"/>
        </w:trPr>
        <w:tc>
          <w:tcPr>
            <w:tcW w:w="5140" w:type="dxa"/>
            <w:vAlign w:val="bottom"/>
          </w:tcPr>
          <w:p>
            <w:pPr>
              <w:ind w:left="180"/>
              <w:spacing w:after="0"/>
              <w:rPr>
                <w:sz w:val="20"/>
                <w:szCs w:val="20"/>
                <w:color w:val="auto"/>
              </w:rPr>
            </w:pPr>
            <w:r>
              <w:rPr>
                <w:rFonts w:ascii="Arial" w:cs="Arial" w:eastAsia="Arial" w:hAnsi="Arial"/>
                <w:sz w:val="18"/>
                <w:szCs w:val="18"/>
                <w:color w:val="auto"/>
              </w:rPr>
              <w:t>Pre-opening costs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1,969</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8,986</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146,509</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57,876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1,533</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205,918</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Property charges and other</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1,736</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4,847</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Management and royalty fees</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9,561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51,714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(61,275)</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Corporate expense and other</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11,306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10,638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4,108</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26,052</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5,978</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5,524</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13,966</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3" w:lineRule="exact"/>
              <w:rPr>
                <w:sz w:val="20"/>
                <w:szCs w:val="20"/>
                <w:color w:val="auto"/>
              </w:rPr>
            </w:pPr>
            <w:r>
              <w:rPr>
                <w:rFonts w:ascii="Arial" w:cs="Arial" w:eastAsia="Arial" w:hAnsi="Arial"/>
                <w:sz w:val="18"/>
                <w:szCs w:val="18"/>
                <w:color w:val="auto"/>
              </w:rPr>
              <w:t>Equity in income from unconsolidated affiliates</w:t>
            </w:r>
          </w:p>
        </w:tc>
        <w:tc>
          <w:tcPr>
            <w:tcW w:w="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79</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427</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140" w:type="dxa"/>
            <w:vAlign w:val="bottom"/>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125,431</w:t>
            </w:r>
          </w:p>
        </w:tc>
        <w:tc>
          <w:tcPr>
            <w:tcW w:w="40" w:type="dxa"/>
            <w:vAlign w:val="bottom"/>
          </w:tcPr>
          <w:p>
            <w:pPr>
              <w:spacing w:after="0"/>
              <w:rPr>
                <w:sz w:val="24"/>
                <w:szCs w:val="24"/>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397,838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523,269</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9"/>
        </w:trPr>
        <w:tc>
          <w:tcPr>
            <w:tcW w:w="5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5"/>
        </w:trPr>
        <w:tc>
          <w:tcPr>
            <w:tcW w:w="5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0"/>
              <w:spacing w:after="0" w:line="196" w:lineRule="exact"/>
              <w:rPr>
                <w:sz w:val="20"/>
                <w:szCs w:val="20"/>
                <w:color w:val="auto"/>
              </w:rPr>
            </w:pPr>
            <w:r>
              <w:rPr>
                <w:rFonts w:ascii="Arial" w:cs="Arial" w:eastAsia="Arial" w:hAnsi="Arial"/>
                <w:sz w:val="18"/>
                <w:szCs w:val="18"/>
                <w:b w:val="1"/>
                <w:bCs w:val="1"/>
                <w:color w:val="auto"/>
                <w:w w:val="99"/>
              </w:rPr>
              <w:t>2011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7"/>
        </w:trPr>
        <w:tc>
          <w:tcPr>
            <w:tcW w:w="5140" w:type="dxa"/>
            <w:vAlign w:val="bottom"/>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851,999</w:t>
            </w:r>
          </w:p>
        </w:tc>
        <w:tc>
          <w:tcPr>
            <w:tcW w:w="160" w:type="dxa"/>
            <w:vAlign w:val="bottom"/>
          </w:tcPr>
          <w:p>
            <w:pPr>
              <w:spacing w:after="0"/>
              <w:rPr>
                <w:sz w:val="24"/>
                <w:szCs w:val="2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523,269</w:t>
            </w:r>
          </w:p>
        </w:tc>
        <w:tc>
          <w:tcPr>
            <w:tcW w:w="0" w:type="dxa"/>
            <w:vAlign w:val="bottom"/>
          </w:tcPr>
          <w:p>
            <w:pPr>
              <w:spacing w:after="0"/>
              <w:rPr>
                <w:sz w:val="1"/>
                <w:szCs w:val="1"/>
                <w:color w:val="auto"/>
              </w:rPr>
            </w:pPr>
          </w:p>
        </w:tc>
      </w:tr>
      <w:tr>
        <w:trPr>
          <w:trHeight w:val="303"/>
        </w:trPr>
        <w:tc>
          <w:tcPr>
            <w:tcW w:w="5140" w:type="dxa"/>
            <w:vAlign w:val="bottom"/>
          </w:tcPr>
          <w:p>
            <w:pPr>
              <w:ind w:left="180"/>
              <w:spacing w:after="0"/>
              <w:rPr>
                <w:sz w:val="20"/>
                <w:szCs w:val="20"/>
                <w:color w:val="auto"/>
              </w:rPr>
            </w:pPr>
            <w:r>
              <w:rPr>
                <w:rFonts w:ascii="Arial" w:cs="Arial" w:eastAsia="Arial" w:hAnsi="Arial"/>
                <w:sz w:val="18"/>
                <w:szCs w:val="18"/>
                <w:color w:val="auto"/>
              </w:rPr>
              <w:t>Pre-opening costs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(8,986)</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(203,399)</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(205,918)</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Property charges and other</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(114,408)</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(4,847)</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Corporate expenses and other</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(27,061)</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(26,052)</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(12,676)</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(13,966)</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1,976</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 net of capitalized interest</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(116,494)</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(102,859)</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Increase (decrease) in swap fair value</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7,365</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(5,277)</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Loss on extinguishment of debt/exchange offer</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2" w:lineRule="exact"/>
              <w:rPr>
                <w:sz w:val="20"/>
                <w:szCs w:val="20"/>
                <w:color w:val="auto"/>
              </w:rPr>
            </w:pPr>
            <w:r>
              <w:rPr>
                <w:rFonts w:ascii="Arial" w:cs="Arial" w:eastAsia="Arial" w:hAnsi="Arial"/>
                <w:sz w:val="18"/>
                <w:szCs w:val="18"/>
                <w:color w:val="auto"/>
              </w:rPr>
              <w:t>Other</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1,701</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03"/>
        </w:trPr>
        <w:tc>
          <w:tcPr>
            <w:tcW w:w="5140" w:type="dxa"/>
            <w:vAlign w:val="bottom"/>
          </w:tcPr>
          <w:p>
            <w:pPr>
              <w:ind w:left="180"/>
              <w:spacing w:after="0" w:line="203" w:lineRule="exact"/>
              <w:rPr>
                <w:sz w:val="20"/>
                <w:szCs w:val="20"/>
                <w:color w:val="auto"/>
              </w:rPr>
            </w:pPr>
            <w:r>
              <w:rPr>
                <w:rFonts w:ascii="Arial" w:cs="Arial" w:eastAsia="Arial" w:hAnsi="Arial"/>
                <w:sz w:val="18"/>
                <w:szCs w:val="18"/>
                <w:color w:val="auto"/>
              </w:rPr>
              <w:t>Provision for income taxes</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(7,337)</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(6,990)</w:t>
            </w:r>
          </w:p>
        </w:tc>
        <w:tc>
          <w:tcPr>
            <w:tcW w:w="0" w:type="dxa"/>
            <w:vAlign w:val="bottom"/>
          </w:tcPr>
          <w:p>
            <w:pPr>
              <w:spacing w:after="0"/>
              <w:rPr>
                <w:sz w:val="1"/>
                <w:szCs w:val="1"/>
                <w:color w:val="auto"/>
              </w:rPr>
            </w:pPr>
          </w:p>
        </w:tc>
      </w:tr>
      <w:tr>
        <w:trPr>
          <w:trHeight w:val="426"/>
        </w:trPr>
        <w:tc>
          <w:tcPr>
            <w:tcW w:w="51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381,666</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146,776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140" w:type="dxa"/>
            <w:vAlign w:val="bottom"/>
          </w:tcPr>
          <w:p>
            <w:pPr>
              <w:ind w:left="180"/>
              <w:spacing w:after="0"/>
              <w:rPr>
                <w:sz w:val="20"/>
                <w:szCs w:val="20"/>
                <w:color w:val="auto"/>
              </w:rPr>
            </w:pPr>
            <w:r>
              <w:rPr>
                <w:rFonts w:ascii="Arial" w:cs="Arial" w:eastAsia="Arial" w:hAnsi="Arial"/>
                <w:sz w:val="18"/>
                <w:szCs w:val="18"/>
                <w:color w:val="auto"/>
              </w:rPr>
              <w:t>Less: Net income attributable to noncontrolling interests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(85,831)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(67,383)</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b w:val="1"/>
                <w:bCs w:val="1"/>
                <w:color w:val="auto"/>
              </w:rPr>
              <w:t>Net income attributable to Wynn Resorts, Limited</w:t>
            </w: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1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295,835</w:t>
            </w:r>
          </w:p>
        </w:tc>
        <w:tc>
          <w:tcPr>
            <w:tcW w:w="160" w:type="dxa"/>
            <w:vAlign w:val="bottom"/>
          </w:tcPr>
          <w:p>
            <w:pPr>
              <w:spacing w:after="0"/>
              <w:rPr>
                <w:sz w:val="24"/>
                <w:szCs w:val="2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79,393</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940" w:type="dxa"/>
            <w:vAlign w:val="bottom"/>
            <w:vMerge w:val="restart"/>
          </w:tcPr>
          <w:p>
            <w:pPr>
              <w:jc w:val="right"/>
              <w:ind w:right="2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514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1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9" w:right="239" w:bottom="11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DATA SCHEDULE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25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203"/>
        </w:trPr>
        <w:tc>
          <w:tcPr>
            <w:tcW w:w="4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7"/>
                <w:szCs w:val="17"/>
                <w:color w:val="auto"/>
              </w:rPr>
            </w:pPr>
          </w:p>
        </w:tc>
        <w:tc>
          <w:tcPr>
            <w:tcW w:w="120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7"/>
                <w:szCs w:val="17"/>
                <w:color w:val="auto"/>
              </w:rPr>
            </w:pPr>
          </w:p>
        </w:tc>
        <w:tc>
          <w:tcPr>
            <w:tcW w:w="11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7"/>
                <w:szCs w:val="17"/>
                <w:color w:val="auto"/>
              </w:rPr>
            </w:pPr>
          </w:p>
        </w:tc>
        <w:tc>
          <w:tcPr>
            <w:tcW w:w="114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June 30,</w:t>
            </w:r>
          </w:p>
        </w:tc>
      </w:tr>
      <w:tr>
        <w:trPr>
          <w:trHeight w:val="239"/>
        </w:trPr>
        <w:tc>
          <w:tcPr>
            <w:tcW w:w="4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2010</w:t>
            </w:r>
          </w:p>
        </w:tc>
      </w:tr>
      <w:tr>
        <w:trPr>
          <w:trHeight w:val="418"/>
        </w:trPr>
        <w:tc>
          <w:tcPr>
            <w:tcW w:w="4700" w:type="dxa"/>
            <w:vAlign w:val="bottom"/>
          </w:tcPr>
          <w:p>
            <w:pPr>
              <w:spacing w:after="0"/>
              <w:rPr>
                <w:sz w:val="20"/>
                <w:szCs w:val="20"/>
                <w:color w:val="auto"/>
              </w:rPr>
            </w:pPr>
            <w:r>
              <w:rPr>
                <w:rFonts w:ascii="Arial" w:cs="Arial" w:eastAsia="Arial" w:hAnsi="Arial"/>
                <w:sz w:val="18"/>
                <w:szCs w:val="18"/>
                <w:color w:val="auto"/>
              </w:rPr>
              <w:t>Room Statistics for Las Vegas operations:</w:t>
            </w: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7"/>
        </w:trPr>
        <w:tc>
          <w:tcPr>
            <w:tcW w:w="4700" w:type="dxa"/>
            <w:vAlign w:val="bottom"/>
          </w:tcPr>
          <w:p>
            <w:pPr>
              <w:ind w:left="180"/>
              <w:spacing w:after="0" w:line="197" w:lineRule="exact"/>
              <w:rPr>
                <w:sz w:val="20"/>
                <w:szCs w:val="20"/>
                <w:color w:val="auto"/>
              </w:rPr>
            </w:pPr>
            <w:r>
              <w:rPr>
                <w:rFonts w:ascii="Arial" w:cs="Arial" w:eastAsia="Arial" w:hAnsi="Arial"/>
                <w:sz w:val="18"/>
                <w:szCs w:val="18"/>
                <w:color w:val="auto"/>
              </w:rPr>
              <w:t>Occupancy %</w:t>
            </w:r>
          </w:p>
        </w:tc>
        <w:tc>
          <w:tcPr>
            <w:tcW w:w="1360" w:type="dxa"/>
            <w:vAlign w:val="bottom"/>
          </w:tcPr>
          <w:p>
            <w:pPr>
              <w:spacing w:after="0"/>
              <w:rPr>
                <w:sz w:val="17"/>
                <w:szCs w:val="17"/>
                <w:color w:val="auto"/>
              </w:rPr>
            </w:pPr>
          </w:p>
        </w:tc>
        <w:tc>
          <w:tcPr>
            <w:tcW w:w="1200" w:type="dxa"/>
            <w:vAlign w:val="bottom"/>
          </w:tcPr>
          <w:p>
            <w:pPr>
              <w:jc w:val="right"/>
              <w:spacing w:after="0" w:line="197" w:lineRule="exact"/>
              <w:rPr>
                <w:sz w:val="20"/>
                <w:szCs w:val="20"/>
                <w:color w:val="auto"/>
              </w:rPr>
            </w:pPr>
            <w:r>
              <w:rPr>
                <w:rFonts w:ascii="Arial" w:cs="Arial" w:eastAsia="Arial" w:hAnsi="Arial"/>
                <w:sz w:val="18"/>
                <w:szCs w:val="18"/>
                <w:color w:val="auto"/>
              </w:rPr>
              <w:t>89.2%</w:t>
            </w:r>
          </w:p>
        </w:tc>
        <w:tc>
          <w:tcPr>
            <w:tcW w:w="200" w:type="dxa"/>
            <w:vAlign w:val="bottom"/>
          </w:tcPr>
          <w:p>
            <w:pPr>
              <w:spacing w:after="0"/>
              <w:rPr>
                <w:sz w:val="17"/>
                <w:szCs w:val="17"/>
                <w:color w:val="auto"/>
              </w:rPr>
            </w:pPr>
          </w:p>
        </w:tc>
        <w:tc>
          <w:tcPr>
            <w:tcW w:w="1200" w:type="dxa"/>
            <w:vAlign w:val="bottom"/>
          </w:tcPr>
          <w:p>
            <w:pPr>
              <w:jc w:val="right"/>
              <w:spacing w:after="0" w:line="197" w:lineRule="exact"/>
              <w:rPr>
                <w:sz w:val="20"/>
                <w:szCs w:val="20"/>
                <w:color w:val="auto"/>
              </w:rPr>
            </w:pPr>
            <w:r>
              <w:rPr>
                <w:rFonts w:ascii="Arial" w:cs="Arial" w:eastAsia="Arial" w:hAnsi="Arial"/>
                <w:sz w:val="18"/>
                <w:szCs w:val="18"/>
                <w:color w:val="auto"/>
              </w:rPr>
              <w:t>92.6%</w:t>
            </w:r>
          </w:p>
        </w:tc>
        <w:tc>
          <w:tcPr>
            <w:tcW w:w="220" w:type="dxa"/>
            <w:vAlign w:val="bottom"/>
          </w:tcPr>
          <w:p>
            <w:pPr>
              <w:spacing w:after="0"/>
              <w:rPr>
                <w:sz w:val="17"/>
                <w:szCs w:val="17"/>
                <w:color w:val="auto"/>
              </w:rPr>
            </w:pPr>
          </w:p>
        </w:tc>
        <w:tc>
          <w:tcPr>
            <w:tcW w:w="1180" w:type="dxa"/>
            <w:vAlign w:val="bottom"/>
          </w:tcPr>
          <w:p>
            <w:pPr>
              <w:jc w:val="right"/>
              <w:spacing w:after="0" w:line="197" w:lineRule="exact"/>
              <w:rPr>
                <w:sz w:val="20"/>
                <w:szCs w:val="20"/>
                <w:color w:val="auto"/>
              </w:rPr>
            </w:pPr>
            <w:r>
              <w:rPr>
                <w:rFonts w:ascii="Arial" w:cs="Arial" w:eastAsia="Arial" w:hAnsi="Arial"/>
                <w:sz w:val="18"/>
                <w:szCs w:val="18"/>
                <w:color w:val="auto"/>
              </w:rPr>
              <w:t>88.5%</w:t>
            </w:r>
          </w:p>
        </w:tc>
        <w:tc>
          <w:tcPr>
            <w:tcW w:w="220" w:type="dxa"/>
            <w:vAlign w:val="bottom"/>
          </w:tcPr>
          <w:p>
            <w:pPr>
              <w:spacing w:after="0"/>
              <w:rPr>
                <w:sz w:val="17"/>
                <w:szCs w:val="17"/>
                <w:color w:val="auto"/>
              </w:rPr>
            </w:pPr>
          </w:p>
        </w:tc>
        <w:tc>
          <w:tcPr>
            <w:tcW w:w="1140" w:type="dxa"/>
            <w:vAlign w:val="bottom"/>
          </w:tcPr>
          <w:p>
            <w:pPr>
              <w:jc w:val="right"/>
              <w:spacing w:after="0" w:line="197" w:lineRule="exact"/>
              <w:rPr>
                <w:sz w:val="20"/>
                <w:szCs w:val="20"/>
                <w:color w:val="auto"/>
              </w:rPr>
            </w:pPr>
            <w:r>
              <w:rPr>
                <w:rFonts w:ascii="Arial" w:cs="Arial" w:eastAsia="Arial" w:hAnsi="Arial"/>
                <w:sz w:val="18"/>
                <w:szCs w:val="18"/>
                <w:color w:val="auto"/>
              </w:rPr>
              <w:t>91.0%</w:t>
            </w:r>
          </w:p>
        </w:tc>
      </w:tr>
      <w:tr>
        <w:trPr>
          <w:trHeight w:val="203"/>
        </w:trPr>
        <w:tc>
          <w:tcPr>
            <w:tcW w:w="4700" w:type="dxa"/>
            <w:vAlign w:val="bottom"/>
          </w:tcPr>
          <w:p>
            <w:pPr>
              <w:ind w:left="180"/>
              <w:spacing w:after="0" w:line="202" w:lineRule="exact"/>
              <w:rPr>
                <w:sz w:val="20"/>
                <w:szCs w:val="20"/>
                <w:color w:val="auto"/>
              </w:rPr>
            </w:pPr>
            <w:r>
              <w:rPr>
                <w:rFonts w:ascii="Arial" w:cs="Arial" w:eastAsia="Arial" w:hAnsi="Arial"/>
                <w:sz w:val="17"/>
                <w:szCs w:val="17"/>
                <w:color w:val="auto"/>
              </w:rPr>
              <w:t>Average Daily Rate (ADR)</w:t>
            </w:r>
            <w:r>
              <w:rPr>
                <w:rFonts w:ascii="Arial" w:cs="Arial" w:eastAsia="Arial" w:hAnsi="Arial"/>
                <w:sz w:val="23"/>
                <w:szCs w:val="23"/>
                <w:color w:val="auto"/>
                <w:vertAlign w:val="superscript"/>
              </w:rPr>
              <w:t>1</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240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197</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240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200</w:t>
            </w:r>
          </w:p>
        </w:tc>
      </w:tr>
      <w:tr>
        <w:trPr>
          <w:trHeight w:val="323"/>
        </w:trPr>
        <w:tc>
          <w:tcPr>
            <w:tcW w:w="4700" w:type="dxa"/>
            <w:vAlign w:val="bottom"/>
          </w:tcPr>
          <w:p>
            <w:pPr>
              <w:ind w:left="18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25"/>
                <w:szCs w:val="25"/>
                <w:color w:val="auto"/>
                <w:vertAlign w:val="superscript"/>
              </w:rPr>
              <w:t>2</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182</w:t>
            </w:r>
          </w:p>
        </w:tc>
      </w:tr>
      <w:tr>
        <w:trPr>
          <w:trHeight w:val="312"/>
        </w:trPr>
        <w:tc>
          <w:tcPr>
            <w:tcW w:w="4700" w:type="dxa"/>
            <w:vAlign w:val="bottom"/>
          </w:tcPr>
          <w:p>
            <w:pPr>
              <w:spacing w:after="0"/>
              <w:rPr>
                <w:sz w:val="20"/>
                <w:szCs w:val="20"/>
                <w:color w:val="auto"/>
              </w:rPr>
            </w:pPr>
            <w:r>
              <w:rPr>
                <w:rFonts w:ascii="Arial" w:cs="Arial" w:eastAsia="Arial" w:hAnsi="Arial"/>
                <w:sz w:val="18"/>
                <w:szCs w:val="18"/>
                <w:color w:val="auto"/>
              </w:rPr>
              <w:t>Other information for Las Vegas operations:</w:t>
            </w: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8"/>
        </w:trPr>
        <w:tc>
          <w:tcPr>
            <w:tcW w:w="4700" w:type="dxa"/>
            <w:vAlign w:val="bottom"/>
          </w:tcPr>
          <w:p>
            <w:pPr>
              <w:ind w:left="180"/>
              <w:spacing w:after="0" w:line="207" w:lineRule="exact"/>
              <w:rPr>
                <w:sz w:val="20"/>
                <w:szCs w:val="20"/>
                <w:color w:val="auto"/>
              </w:rPr>
            </w:pPr>
            <w:r>
              <w:rPr>
                <w:rFonts w:ascii="Arial" w:cs="Arial" w:eastAsia="Arial" w:hAnsi="Arial"/>
                <w:sz w:val="17"/>
                <w:szCs w:val="17"/>
                <w:color w:val="auto"/>
              </w:rPr>
              <w:t>Table games win per unit per day</w:t>
            </w:r>
            <w:r>
              <w:rPr>
                <w:rFonts w:ascii="Arial" w:cs="Arial" w:eastAsia="Arial" w:hAnsi="Arial"/>
                <w:sz w:val="24"/>
                <w:szCs w:val="24"/>
                <w:color w:val="auto"/>
                <w:vertAlign w:val="superscript"/>
              </w:rPr>
              <w:t>3</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7,062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4,721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8,283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5,576</w:t>
            </w:r>
          </w:p>
        </w:tc>
      </w:tr>
      <w:tr>
        <w:trPr>
          <w:trHeight w:val="197"/>
        </w:trPr>
        <w:tc>
          <w:tcPr>
            <w:tcW w:w="4700" w:type="dxa"/>
            <w:vAlign w:val="bottom"/>
          </w:tcPr>
          <w:p>
            <w:pPr>
              <w:ind w:left="180"/>
              <w:spacing w:after="0" w:line="197" w:lineRule="exact"/>
              <w:rPr>
                <w:sz w:val="20"/>
                <w:szCs w:val="20"/>
                <w:color w:val="auto"/>
              </w:rPr>
            </w:pPr>
            <w:r>
              <w:rPr>
                <w:rFonts w:ascii="Arial" w:cs="Arial" w:eastAsia="Arial" w:hAnsi="Arial"/>
                <w:sz w:val="18"/>
                <w:szCs w:val="18"/>
                <w:color w:val="auto"/>
              </w:rPr>
              <w:t>Table Win %</w:t>
            </w:r>
          </w:p>
        </w:tc>
        <w:tc>
          <w:tcPr>
            <w:tcW w:w="1360" w:type="dxa"/>
            <w:vAlign w:val="bottom"/>
          </w:tcPr>
          <w:p>
            <w:pPr>
              <w:spacing w:after="0"/>
              <w:rPr>
                <w:sz w:val="17"/>
                <w:szCs w:val="17"/>
                <w:color w:val="auto"/>
              </w:rPr>
            </w:pPr>
          </w:p>
        </w:tc>
        <w:tc>
          <w:tcPr>
            <w:tcW w:w="1200" w:type="dxa"/>
            <w:vAlign w:val="bottom"/>
          </w:tcPr>
          <w:p>
            <w:pPr>
              <w:jc w:val="right"/>
              <w:spacing w:after="0" w:line="197" w:lineRule="exact"/>
              <w:rPr>
                <w:sz w:val="20"/>
                <w:szCs w:val="20"/>
                <w:color w:val="auto"/>
              </w:rPr>
            </w:pPr>
            <w:r>
              <w:rPr>
                <w:rFonts w:ascii="Arial" w:cs="Arial" w:eastAsia="Arial" w:hAnsi="Arial"/>
                <w:sz w:val="18"/>
                <w:szCs w:val="18"/>
                <w:color w:val="auto"/>
              </w:rPr>
              <w:t>27.6%</w:t>
            </w:r>
          </w:p>
        </w:tc>
        <w:tc>
          <w:tcPr>
            <w:tcW w:w="200" w:type="dxa"/>
            <w:vAlign w:val="bottom"/>
          </w:tcPr>
          <w:p>
            <w:pPr>
              <w:spacing w:after="0"/>
              <w:rPr>
                <w:sz w:val="17"/>
                <w:szCs w:val="17"/>
                <w:color w:val="auto"/>
              </w:rPr>
            </w:pPr>
          </w:p>
        </w:tc>
        <w:tc>
          <w:tcPr>
            <w:tcW w:w="1200" w:type="dxa"/>
            <w:vAlign w:val="bottom"/>
          </w:tcPr>
          <w:p>
            <w:pPr>
              <w:jc w:val="right"/>
              <w:spacing w:after="0" w:line="197" w:lineRule="exact"/>
              <w:rPr>
                <w:sz w:val="20"/>
                <w:szCs w:val="20"/>
                <w:color w:val="auto"/>
              </w:rPr>
            </w:pPr>
            <w:r>
              <w:rPr>
                <w:rFonts w:ascii="Arial" w:cs="Arial" w:eastAsia="Arial" w:hAnsi="Arial"/>
                <w:sz w:val="18"/>
                <w:szCs w:val="18"/>
                <w:color w:val="auto"/>
              </w:rPr>
              <w:t>20.0%</w:t>
            </w:r>
          </w:p>
        </w:tc>
        <w:tc>
          <w:tcPr>
            <w:tcW w:w="220" w:type="dxa"/>
            <w:vAlign w:val="bottom"/>
          </w:tcPr>
          <w:p>
            <w:pPr>
              <w:spacing w:after="0"/>
              <w:rPr>
                <w:sz w:val="17"/>
                <w:szCs w:val="17"/>
                <w:color w:val="auto"/>
              </w:rPr>
            </w:pPr>
          </w:p>
        </w:tc>
        <w:tc>
          <w:tcPr>
            <w:tcW w:w="1180" w:type="dxa"/>
            <w:vAlign w:val="bottom"/>
          </w:tcPr>
          <w:p>
            <w:pPr>
              <w:jc w:val="right"/>
              <w:spacing w:after="0" w:line="197" w:lineRule="exact"/>
              <w:rPr>
                <w:sz w:val="20"/>
                <w:szCs w:val="20"/>
                <w:color w:val="auto"/>
              </w:rPr>
            </w:pPr>
            <w:r>
              <w:rPr>
                <w:rFonts w:ascii="Arial" w:cs="Arial" w:eastAsia="Arial" w:hAnsi="Arial"/>
                <w:sz w:val="18"/>
                <w:szCs w:val="18"/>
                <w:color w:val="auto"/>
              </w:rPr>
              <w:t>29.1%</w:t>
            </w:r>
          </w:p>
        </w:tc>
        <w:tc>
          <w:tcPr>
            <w:tcW w:w="220" w:type="dxa"/>
            <w:vAlign w:val="bottom"/>
          </w:tcPr>
          <w:p>
            <w:pPr>
              <w:spacing w:after="0"/>
              <w:rPr>
                <w:sz w:val="17"/>
                <w:szCs w:val="17"/>
                <w:color w:val="auto"/>
              </w:rPr>
            </w:pPr>
          </w:p>
        </w:tc>
        <w:tc>
          <w:tcPr>
            <w:tcW w:w="1140" w:type="dxa"/>
            <w:vAlign w:val="bottom"/>
          </w:tcPr>
          <w:p>
            <w:pPr>
              <w:jc w:val="right"/>
              <w:spacing w:after="0" w:line="197" w:lineRule="exact"/>
              <w:rPr>
                <w:sz w:val="20"/>
                <w:szCs w:val="20"/>
                <w:color w:val="auto"/>
              </w:rPr>
            </w:pPr>
            <w:r>
              <w:rPr>
                <w:rFonts w:ascii="Arial" w:cs="Arial" w:eastAsia="Arial" w:hAnsi="Arial"/>
                <w:sz w:val="18"/>
                <w:szCs w:val="18"/>
                <w:color w:val="auto"/>
              </w:rPr>
              <w:t>21.7%</w:t>
            </w:r>
          </w:p>
        </w:tc>
      </w:tr>
      <w:tr>
        <w:trPr>
          <w:trHeight w:val="208"/>
        </w:trPr>
        <w:tc>
          <w:tcPr>
            <w:tcW w:w="4700" w:type="dxa"/>
            <w:vAlign w:val="bottom"/>
          </w:tcPr>
          <w:p>
            <w:pPr>
              <w:ind w:left="180"/>
              <w:spacing w:after="0" w:line="207" w:lineRule="exact"/>
              <w:rPr>
                <w:sz w:val="20"/>
                <w:szCs w:val="20"/>
                <w:color w:val="auto"/>
              </w:rPr>
            </w:pPr>
            <w:r>
              <w:rPr>
                <w:rFonts w:ascii="Arial" w:cs="Arial" w:eastAsia="Arial" w:hAnsi="Arial"/>
                <w:sz w:val="17"/>
                <w:szCs w:val="17"/>
                <w:color w:val="auto"/>
              </w:rPr>
              <w:t>Slot machine win per unit per day</w:t>
            </w:r>
            <w:r>
              <w:rPr>
                <w:rFonts w:ascii="Arial" w:cs="Arial" w:eastAsia="Arial" w:hAnsi="Arial"/>
                <w:sz w:val="24"/>
                <w:szCs w:val="24"/>
                <w:color w:val="auto"/>
                <w:vertAlign w:val="superscript"/>
              </w:rPr>
              <w:t>4</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172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179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160</w:t>
            </w:r>
          </w:p>
        </w:tc>
      </w:tr>
      <w:tr>
        <w:trPr>
          <w:trHeight w:val="203"/>
        </w:trPr>
        <w:tc>
          <w:tcPr>
            <w:tcW w:w="4700" w:type="dxa"/>
            <w:vAlign w:val="bottom"/>
          </w:tcPr>
          <w:p>
            <w:pPr>
              <w:ind w:left="180"/>
              <w:spacing w:after="0" w:line="202" w:lineRule="exact"/>
              <w:rPr>
                <w:sz w:val="20"/>
                <w:szCs w:val="20"/>
                <w:color w:val="auto"/>
              </w:rPr>
            </w:pPr>
            <w:r>
              <w:rPr>
                <w:rFonts w:ascii="Arial" w:cs="Arial" w:eastAsia="Arial" w:hAnsi="Arial"/>
                <w:sz w:val="18"/>
                <w:szCs w:val="18"/>
                <w:color w:val="auto"/>
              </w:rPr>
              <w:t>Average number of table games</w:t>
            </w:r>
          </w:p>
        </w:tc>
        <w:tc>
          <w:tcPr>
            <w:tcW w:w="1360" w:type="dxa"/>
            <w:vAlign w:val="bottom"/>
          </w:tcPr>
          <w:p>
            <w:pPr>
              <w:spacing w:after="0"/>
              <w:rPr>
                <w:sz w:val="17"/>
                <w:szCs w:val="17"/>
                <w:color w:val="auto"/>
              </w:rPr>
            </w:pPr>
          </w:p>
        </w:tc>
        <w:tc>
          <w:tcPr>
            <w:tcW w:w="12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229</w:t>
            </w:r>
          </w:p>
        </w:tc>
        <w:tc>
          <w:tcPr>
            <w:tcW w:w="200" w:type="dxa"/>
            <w:vAlign w:val="bottom"/>
          </w:tcPr>
          <w:p>
            <w:pPr>
              <w:spacing w:after="0"/>
              <w:rPr>
                <w:sz w:val="17"/>
                <w:szCs w:val="17"/>
                <w:color w:val="auto"/>
              </w:rPr>
            </w:pPr>
          </w:p>
        </w:tc>
        <w:tc>
          <w:tcPr>
            <w:tcW w:w="12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227</w:t>
            </w:r>
          </w:p>
        </w:tc>
        <w:tc>
          <w:tcPr>
            <w:tcW w:w="220" w:type="dxa"/>
            <w:vAlign w:val="bottom"/>
          </w:tcPr>
          <w:p>
            <w:pPr>
              <w:spacing w:after="0"/>
              <w:rPr>
                <w:sz w:val="17"/>
                <w:szCs w:val="17"/>
                <w:color w:val="auto"/>
              </w:rPr>
            </w:pPr>
          </w:p>
        </w:tc>
        <w:tc>
          <w:tcPr>
            <w:tcW w:w="11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227</w:t>
            </w:r>
          </w:p>
        </w:tc>
        <w:tc>
          <w:tcPr>
            <w:tcW w:w="220" w:type="dxa"/>
            <w:vAlign w:val="bottom"/>
          </w:tcPr>
          <w:p>
            <w:pPr>
              <w:spacing w:after="0"/>
              <w:rPr>
                <w:sz w:val="17"/>
                <w:szCs w:val="17"/>
                <w:color w:val="auto"/>
              </w:rPr>
            </w:pPr>
          </w:p>
        </w:tc>
        <w:tc>
          <w:tcPr>
            <w:tcW w:w="11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224</w:t>
            </w:r>
          </w:p>
        </w:tc>
      </w:tr>
      <w:tr>
        <w:trPr>
          <w:trHeight w:val="217"/>
        </w:trPr>
        <w:tc>
          <w:tcPr>
            <w:tcW w:w="4700" w:type="dxa"/>
            <w:vAlign w:val="bottom"/>
          </w:tcPr>
          <w:p>
            <w:pPr>
              <w:ind w:left="180"/>
              <w:spacing w:after="0"/>
              <w:rPr>
                <w:sz w:val="20"/>
                <w:szCs w:val="20"/>
                <w:color w:val="auto"/>
              </w:rPr>
            </w:pPr>
            <w:r>
              <w:rPr>
                <w:rFonts w:ascii="Arial" w:cs="Arial" w:eastAsia="Arial" w:hAnsi="Arial"/>
                <w:sz w:val="18"/>
                <w:szCs w:val="18"/>
                <w:color w:val="auto"/>
              </w:rPr>
              <w:t>Average number of slot machines</w:t>
            </w:r>
          </w:p>
        </w:tc>
        <w:tc>
          <w:tcPr>
            <w:tcW w:w="13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2,593</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2,688</w:t>
            </w:r>
          </w:p>
        </w:tc>
        <w:tc>
          <w:tcPr>
            <w:tcW w:w="22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2,595</w:t>
            </w:r>
          </w:p>
        </w:tc>
        <w:tc>
          <w:tcPr>
            <w:tcW w:w="2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2,673</w:t>
            </w:r>
          </w:p>
        </w:tc>
      </w:tr>
      <w:tr>
        <w:trPr>
          <w:trHeight w:val="418"/>
        </w:trPr>
        <w:tc>
          <w:tcPr>
            <w:tcW w:w="4700" w:type="dxa"/>
            <w:vAlign w:val="bottom"/>
          </w:tcPr>
          <w:p>
            <w:pPr>
              <w:spacing w:after="0"/>
              <w:rPr>
                <w:sz w:val="20"/>
                <w:szCs w:val="20"/>
                <w:color w:val="auto"/>
              </w:rPr>
            </w:pPr>
            <w:r>
              <w:rPr>
                <w:rFonts w:ascii="Arial" w:cs="Arial" w:eastAsia="Arial" w:hAnsi="Arial"/>
                <w:sz w:val="18"/>
                <w:szCs w:val="18"/>
                <w:color w:val="auto"/>
              </w:rPr>
              <w:t>Room Statistics for Macau:</w:t>
            </w: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7"/>
        </w:trPr>
        <w:tc>
          <w:tcPr>
            <w:tcW w:w="4700" w:type="dxa"/>
            <w:vAlign w:val="bottom"/>
          </w:tcPr>
          <w:p>
            <w:pPr>
              <w:ind w:left="180"/>
              <w:spacing w:after="0" w:line="197" w:lineRule="exact"/>
              <w:rPr>
                <w:sz w:val="20"/>
                <w:szCs w:val="20"/>
                <w:color w:val="auto"/>
              </w:rPr>
            </w:pPr>
            <w:r>
              <w:rPr>
                <w:rFonts w:ascii="Arial" w:cs="Arial" w:eastAsia="Arial" w:hAnsi="Arial"/>
                <w:sz w:val="18"/>
                <w:szCs w:val="18"/>
                <w:color w:val="auto"/>
              </w:rPr>
              <w:t>Occupancy %</w:t>
            </w:r>
          </w:p>
        </w:tc>
        <w:tc>
          <w:tcPr>
            <w:tcW w:w="1360" w:type="dxa"/>
            <w:vAlign w:val="bottom"/>
          </w:tcPr>
          <w:p>
            <w:pPr>
              <w:spacing w:after="0"/>
              <w:rPr>
                <w:sz w:val="17"/>
                <w:szCs w:val="17"/>
                <w:color w:val="auto"/>
              </w:rPr>
            </w:pPr>
          </w:p>
        </w:tc>
        <w:tc>
          <w:tcPr>
            <w:tcW w:w="1200" w:type="dxa"/>
            <w:vAlign w:val="bottom"/>
          </w:tcPr>
          <w:p>
            <w:pPr>
              <w:jc w:val="right"/>
              <w:spacing w:after="0" w:line="197" w:lineRule="exact"/>
              <w:rPr>
                <w:sz w:val="20"/>
                <w:szCs w:val="20"/>
                <w:color w:val="auto"/>
              </w:rPr>
            </w:pPr>
            <w:r>
              <w:rPr>
                <w:rFonts w:ascii="Arial" w:cs="Arial" w:eastAsia="Arial" w:hAnsi="Arial"/>
                <w:sz w:val="18"/>
                <w:szCs w:val="18"/>
                <w:color w:val="auto"/>
              </w:rPr>
              <w:t>90.5%</w:t>
            </w:r>
          </w:p>
        </w:tc>
        <w:tc>
          <w:tcPr>
            <w:tcW w:w="200" w:type="dxa"/>
            <w:vAlign w:val="bottom"/>
          </w:tcPr>
          <w:p>
            <w:pPr>
              <w:spacing w:after="0"/>
              <w:rPr>
                <w:sz w:val="17"/>
                <w:szCs w:val="17"/>
                <w:color w:val="auto"/>
              </w:rPr>
            </w:pPr>
          </w:p>
        </w:tc>
        <w:tc>
          <w:tcPr>
            <w:tcW w:w="1200" w:type="dxa"/>
            <w:vAlign w:val="bottom"/>
          </w:tcPr>
          <w:p>
            <w:pPr>
              <w:jc w:val="right"/>
              <w:spacing w:after="0" w:line="197" w:lineRule="exact"/>
              <w:rPr>
                <w:sz w:val="20"/>
                <w:szCs w:val="20"/>
                <w:color w:val="auto"/>
              </w:rPr>
            </w:pPr>
            <w:r>
              <w:rPr>
                <w:rFonts w:ascii="Arial" w:cs="Arial" w:eastAsia="Arial" w:hAnsi="Arial"/>
                <w:sz w:val="18"/>
                <w:szCs w:val="18"/>
                <w:color w:val="auto"/>
              </w:rPr>
              <w:t>81.3%</w:t>
            </w:r>
          </w:p>
        </w:tc>
        <w:tc>
          <w:tcPr>
            <w:tcW w:w="220" w:type="dxa"/>
            <w:vAlign w:val="bottom"/>
          </w:tcPr>
          <w:p>
            <w:pPr>
              <w:spacing w:after="0"/>
              <w:rPr>
                <w:sz w:val="17"/>
                <w:szCs w:val="17"/>
                <w:color w:val="auto"/>
              </w:rPr>
            </w:pPr>
          </w:p>
        </w:tc>
        <w:tc>
          <w:tcPr>
            <w:tcW w:w="1180" w:type="dxa"/>
            <w:vAlign w:val="bottom"/>
          </w:tcPr>
          <w:p>
            <w:pPr>
              <w:jc w:val="right"/>
              <w:spacing w:after="0" w:line="197" w:lineRule="exact"/>
              <w:rPr>
                <w:sz w:val="20"/>
                <w:szCs w:val="20"/>
                <w:color w:val="auto"/>
              </w:rPr>
            </w:pPr>
            <w:r>
              <w:rPr>
                <w:rFonts w:ascii="Arial" w:cs="Arial" w:eastAsia="Arial" w:hAnsi="Arial"/>
                <w:sz w:val="18"/>
                <w:szCs w:val="18"/>
                <w:color w:val="auto"/>
              </w:rPr>
              <w:t>89.6%</w:t>
            </w:r>
          </w:p>
        </w:tc>
        <w:tc>
          <w:tcPr>
            <w:tcW w:w="220" w:type="dxa"/>
            <w:vAlign w:val="bottom"/>
          </w:tcPr>
          <w:p>
            <w:pPr>
              <w:spacing w:after="0"/>
              <w:rPr>
                <w:sz w:val="17"/>
                <w:szCs w:val="17"/>
                <w:color w:val="auto"/>
              </w:rPr>
            </w:pPr>
          </w:p>
        </w:tc>
        <w:tc>
          <w:tcPr>
            <w:tcW w:w="1140" w:type="dxa"/>
            <w:vAlign w:val="bottom"/>
          </w:tcPr>
          <w:p>
            <w:pPr>
              <w:jc w:val="right"/>
              <w:spacing w:after="0" w:line="197" w:lineRule="exact"/>
              <w:rPr>
                <w:sz w:val="20"/>
                <w:szCs w:val="20"/>
                <w:color w:val="auto"/>
              </w:rPr>
            </w:pPr>
            <w:r>
              <w:rPr>
                <w:rFonts w:ascii="Arial" w:cs="Arial" w:eastAsia="Arial" w:hAnsi="Arial"/>
                <w:sz w:val="18"/>
                <w:szCs w:val="18"/>
                <w:color w:val="auto"/>
              </w:rPr>
              <w:t>85.0%</w:t>
            </w:r>
          </w:p>
        </w:tc>
      </w:tr>
      <w:tr>
        <w:trPr>
          <w:trHeight w:val="203"/>
        </w:trPr>
        <w:tc>
          <w:tcPr>
            <w:tcW w:w="4700" w:type="dxa"/>
            <w:vAlign w:val="bottom"/>
          </w:tcPr>
          <w:p>
            <w:pPr>
              <w:ind w:left="180"/>
              <w:spacing w:after="0" w:line="202" w:lineRule="exact"/>
              <w:rPr>
                <w:sz w:val="20"/>
                <w:szCs w:val="20"/>
                <w:color w:val="auto"/>
              </w:rPr>
            </w:pPr>
            <w:r>
              <w:rPr>
                <w:rFonts w:ascii="Arial" w:cs="Arial" w:eastAsia="Arial" w:hAnsi="Arial"/>
                <w:sz w:val="17"/>
                <w:szCs w:val="17"/>
                <w:color w:val="auto"/>
              </w:rPr>
              <w:t>Average Daily Rate (ADR)</w:t>
            </w:r>
            <w:r>
              <w:rPr>
                <w:rFonts w:ascii="Arial" w:cs="Arial" w:eastAsia="Arial" w:hAnsi="Arial"/>
                <w:sz w:val="23"/>
                <w:szCs w:val="23"/>
                <w:color w:val="auto"/>
                <w:vertAlign w:val="superscript"/>
              </w:rPr>
              <w:t>1</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314</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287</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311</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285</w:t>
            </w:r>
          </w:p>
        </w:tc>
      </w:tr>
      <w:tr>
        <w:trPr>
          <w:trHeight w:val="323"/>
        </w:trPr>
        <w:tc>
          <w:tcPr>
            <w:tcW w:w="4700" w:type="dxa"/>
            <w:vAlign w:val="bottom"/>
          </w:tcPr>
          <w:p>
            <w:pPr>
              <w:ind w:left="18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25"/>
                <w:szCs w:val="25"/>
                <w:color w:val="auto"/>
                <w:vertAlign w:val="superscript"/>
              </w:rPr>
              <w:t>2</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284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234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278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242</w:t>
            </w:r>
          </w:p>
        </w:tc>
      </w:tr>
      <w:tr>
        <w:trPr>
          <w:trHeight w:val="312"/>
        </w:trPr>
        <w:tc>
          <w:tcPr>
            <w:tcW w:w="4700" w:type="dxa"/>
            <w:vAlign w:val="bottom"/>
          </w:tcPr>
          <w:p>
            <w:pPr>
              <w:spacing w:after="0"/>
              <w:rPr>
                <w:sz w:val="20"/>
                <w:szCs w:val="20"/>
                <w:color w:val="auto"/>
              </w:rPr>
            </w:pPr>
            <w:r>
              <w:rPr>
                <w:rFonts w:ascii="Arial" w:cs="Arial" w:eastAsia="Arial" w:hAnsi="Arial"/>
                <w:sz w:val="18"/>
                <w:szCs w:val="18"/>
                <w:color w:val="auto"/>
              </w:rPr>
              <w:t>Other information for Macau:</w:t>
            </w: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4700" w:type="dxa"/>
            <w:vAlign w:val="bottom"/>
          </w:tcPr>
          <w:p>
            <w:pPr>
              <w:ind w:left="180"/>
              <w:spacing w:after="0" w:line="202" w:lineRule="exact"/>
              <w:rPr>
                <w:sz w:val="20"/>
                <w:szCs w:val="20"/>
                <w:color w:val="auto"/>
              </w:rPr>
            </w:pPr>
            <w:r>
              <w:rPr>
                <w:rFonts w:ascii="Arial" w:cs="Arial" w:eastAsia="Arial" w:hAnsi="Arial"/>
                <w:sz w:val="17"/>
                <w:szCs w:val="17"/>
                <w:color w:val="auto"/>
              </w:rPr>
              <w:t>Table games win per unit per day</w:t>
            </w:r>
            <w:r>
              <w:rPr>
                <w:rFonts w:ascii="Arial" w:cs="Arial" w:eastAsia="Arial" w:hAnsi="Arial"/>
                <w:sz w:val="23"/>
                <w:szCs w:val="23"/>
                <w:color w:val="auto"/>
                <w:vertAlign w:val="superscript"/>
              </w:rPr>
              <w:t>3</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25,872</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20,497</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24,591</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19,688</w:t>
            </w:r>
          </w:p>
        </w:tc>
      </w:tr>
      <w:tr>
        <w:trPr>
          <w:trHeight w:val="208"/>
        </w:trPr>
        <w:tc>
          <w:tcPr>
            <w:tcW w:w="4700" w:type="dxa"/>
            <w:vAlign w:val="bottom"/>
          </w:tcPr>
          <w:p>
            <w:pPr>
              <w:ind w:left="180"/>
              <w:spacing w:after="0" w:line="207" w:lineRule="exact"/>
              <w:rPr>
                <w:sz w:val="20"/>
                <w:szCs w:val="20"/>
                <w:color w:val="auto"/>
              </w:rPr>
            </w:pPr>
            <w:r>
              <w:rPr>
                <w:rFonts w:ascii="Arial" w:cs="Arial" w:eastAsia="Arial" w:hAnsi="Arial"/>
                <w:sz w:val="17"/>
                <w:szCs w:val="17"/>
                <w:color w:val="auto"/>
              </w:rPr>
              <w:t>Slot machine win per unit per day</w:t>
            </w:r>
            <w:r>
              <w:rPr>
                <w:rFonts w:ascii="Arial" w:cs="Arial" w:eastAsia="Arial" w:hAnsi="Arial"/>
                <w:sz w:val="24"/>
                <w:szCs w:val="24"/>
                <w:color w:val="auto"/>
                <w:vertAlign w:val="superscript"/>
              </w:rPr>
              <w:t>4</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791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797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454</w:t>
            </w:r>
          </w:p>
        </w:tc>
      </w:tr>
      <w:tr>
        <w:trPr>
          <w:trHeight w:val="203"/>
        </w:trPr>
        <w:tc>
          <w:tcPr>
            <w:tcW w:w="4700" w:type="dxa"/>
            <w:vAlign w:val="bottom"/>
          </w:tcPr>
          <w:p>
            <w:pPr>
              <w:ind w:left="180"/>
              <w:spacing w:after="0" w:line="202" w:lineRule="exact"/>
              <w:rPr>
                <w:sz w:val="20"/>
                <w:szCs w:val="20"/>
                <w:color w:val="auto"/>
              </w:rPr>
            </w:pPr>
            <w:r>
              <w:rPr>
                <w:rFonts w:ascii="Arial" w:cs="Arial" w:eastAsia="Arial" w:hAnsi="Arial"/>
                <w:sz w:val="18"/>
                <w:szCs w:val="18"/>
                <w:color w:val="auto"/>
              </w:rPr>
              <w:t>Average number of table games</w:t>
            </w:r>
          </w:p>
        </w:tc>
        <w:tc>
          <w:tcPr>
            <w:tcW w:w="1360" w:type="dxa"/>
            <w:vAlign w:val="bottom"/>
          </w:tcPr>
          <w:p>
            <w:pPr>
              <w:spacing w:after="0"/>
              <w:rPr>
                <w:sz w:val="17"/>
                <w:szCs w:val="17"/>
                <w:color w:val="auto"/>
              </w:rPr>
            </w:pPr>
          </w:p>
        </w:tc>
        <w:tc>
          <w:tcPr>
            <w:tcW w:w="12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482</w:t>
            </w:r>
          </w:p>
        </w:tc>
        <w:tc>
          <w:tcPr>
            <w:tcW w:w="200" w:type="dxa"/>
            <w:vAlign w:val="bottom"/>
          </w:tcPr>
          <w:p>
            <w:pPr>
              <w:spacing w:after="0"/>
              <w:rPr>
                <w:sz w:val="17"/>
                <w:szCs w:val="17"/>
                <w:color w:val="auto"/>
              </w:rPr>
            </w:pPr>
          </w:p>
        </w:tc>
        <w:tc>
          <w:tcPr>
            <w:tcW w:w="12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442</w:t>
            </w:r>
          </w:p>
        </w:tc>
        <w:tc>
          <w:tcPr>
            <w:tcW w:w="220" w:type="dxa"/>
            <w:vAlign w:val="bottom"/>
          </w:tcPr>
          <w:p>
            <w:pPr>
              <w:spacing w:after="0"/>
              <w:rPr>
                <w:sz w:val="17"/>
                <w:szCs w:val="17"/>
                <w:color w:val="auto"/>
              </w:rPr>
            </w:pPr>
          </w:p>
        </w:tc>
        <w:tc>
          <w:tcPr>
            <w:tcW w:w="11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475</w:t>
            </w:r>
          </w:p>
        </w:tc>
        <w:tc>
          <w:tcPr>
            <w:tcW w:w="220" w:type="dxa"/>
            <w:vAlign w:val="bottom"/>
          </w:tcPr>
          <w:p>
            <w:pPr>
              <w:spacing w:after="0"/>
              <w:rPr>
                <w:sz w:val="17"/>
                <w:szCs w:val="17"/>
                <w:color w:val="auto"/>
              </w:rPr>
            </w:pPr>
          </w:p>
        </w:tc>
        <w:tc>
          <w:tcPr>
            <w:tcW w:w="11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417</w:t>
            </w:r>
          </w:p>
        </w:tc>
      </w:tr>
      <w:tr>
        <w:trPr>
          <w:trHeight w:val="217"/>
        </w:trPr>
        <w:tc>
          <w:tcPr>
            <w:tcW w:w="4700" w:type="dxa"/>
            <w:vAlign w:val="bottom"/>
          </w:tcPr>
          <w:p>
            <w:pPr>
              <w:ind w:left="180"/>
              <w:spacing w:after="0"/>
              <w:rPr>
                <w:sz w:val="20"/>
                <w:szCs w:val="20"/>
                <w:color w:val="auto"/>
              </w:rPr>
            </w:pPr>
            <w:r>
              <w:rPr>
                <w:rFonts w:ascii="Arial" w:cs="Arial" w:eastAsia="Arial" w:hAnsi="Arial"/>
                <w:sz w:val="18"/>
                <w:szCs w:val="18"/>
                <w:color w:val="auto"/>
              </w:rPr>
              <w:t>Average number of slot machines</w:t>
            </w:r>
          </w:p>
        </w:tc>
        <w:tc>
          <w:tcPr>
            <w:tcW w:w="13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1,040</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1,185</w:t>
            </w:r>
          </w:p>
        </w:tc>
        <w:tc>
          <w:tcPr>
            <w:tcW w:w="22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1,026</w:t>
            </w:r>
          </w:p>
        </w:tc>
        <w:tc>
          <w:tcPr>
            <w:tcW w:w="2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1,180</w:t>
            </w:r>
          </w:p>
        </w:tc>
      </w:tr>
    </w:tbl>
    <w:p>
      <w:pPr>
        <w:spacing w:after="0" w:line="229"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(less service charges, if any) by total rooms occupied.</w:t>
      </w:r>
    </w:p>
    <w:p>
      <w:pPr>
        <w:spacing w:after="0" w:line="238" w:lineRule="exact"/>
        <w:rPr>
          <w:rFonts w:ascii="Arial" w:cs="Arial" w:eastAsia="Arial" w:hAnsi="Arial"/>
          <w:sz w:val="18"/>
          <w:szCs w:val="18"/>
          <w:color w:val="auto"/>
        </w:rPr>
      </w:pPr>
    </w:p>
    <w:p>
      <w:pPr>
        <w:ind w:right="500" w:firstLine="8"/>
        <w:spacing w:after="0" w:line="246"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(less service charges, if any) by total rooms available.</w:t>
      </w:r>
    </w:p>
    <w:p>
      <w:pPr>
        <w:spacing w:after="0" w:line="223"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w:t>
      </w:r>
    </w:p>
    <w:p>
      <w:pPr>
        <w:spacing w:after="0" w:line="238"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Slot machine win per unit per day calculated as gross slot win minus progressive accruals and free play.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4" w:lineRule="auto"/>
        <w:rPr>
          <w:sz w:val="20"/>
          <w:szCs w:val="20"/>
          <w:color w:val="auto"/>
        </w:rPr>
      </w:pPr>
      <w:r>
        <w:rPr>
          <w:rFonts w:ascii="Arial" w:cs="Arial" w:eastAsia="Arial" w:hAnsi="Arial"/>
          <w:sz w:val="18"/>
          <w:szCs w:val="18"/>
          <w:color w:val="auto"/>
        </w:rPr>
        <w:t>Wynn Resorts, Limited</w:t>
      </w:r>
    </w:p>
    <w:p>
      <w:pPr>
        <w:spacing w:after="0" w:line="235" w:lineRule="auto"/>
        <w:rPr>
          <w:sz w:val="20"/>
          <w:szCs w:val="20"/>
          <w:color w:val="auto"/>
        </w:rPr>
      </w:pPr>
      <w:r>
        <w:rPr>
          <w:rFonts w:ascii="Arial" w:cs="Arial" w:eastAsia="Arial" w:hAnsi="Arial"/>
          <w:sz w:val="18"/>
          <w:szCs w:val="18"/>
          <w:color w:val="auto"/>
        </w:rPr>
        <w:t>CONTACT:</w:t>
      </w:r>
    </w:p>
    <w:p>
      <w:pPr>
        <w:spacing w:after="0" w:line="235" w:lineRule="auto"/>
        <w:rPr>
          <w:sz w:val="20"/>
          <w:szCs w:val="20"/>
          <w:color w:val="auto"/>
        </w:rPr>
      </w:pPr>
      <w:r>
        <w:rPr>
          <w:rFonts w:ascii="Arial" w:cs="Arial" w:eastAsia="Arial" w:hAnsi="Arial"/>
          <w:sz w:val="18"/>
          <w:szCs w:val="18"/>
          <w:color w:val="auto"/>
        </w:rPr>
        <w:t>Samanta Stewart, 702-770-7555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lvl w:ilvl="1">
      <w:lvlJc w:val="left"/>
      <w:lvlText w:val="(%2)"/>
      <w:numFmt w:val="decimal"/>
      <w:start w:val="2"/>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2019-12-10T22:17:58Z</dcterms:created>
  <dcterms:modified xsi:type="dcterms:W3CDTF">2019-12-10T22:17:58Z</dcterms:modified>
</cp:coreProperties>
</file>