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7965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7965440"/>
                    </a:xfrm>
                    <a:prstGeom prst="rect">
                      <a:avLst/>
                    </a:prstGeom>
                    <a:noFill/>
                  </pic:spPr>
                </pic:pic>
              </a:graphicData>
            </a:graphic>
          </wp:anchor>
        </w:drawing>
      </w:r>
    </w:p>
    <w:p>
      <w:pPr>
        <w:spacing w:after="0" w:line="1208" w:lineRule="exact"/>
        <w:rPr>
          <w:sz w:val="24"/>
          <w:szCs w:val="24"/>
          <w:color w:val="auto"/>
        </w:rPr>
      </w:pPr>
    </w:p>
    <w:p>
      <w:pPr>
        <w:sectPr>
          <w:pgSz w:w="11900" w:h="16918" w:orient="portrait"/>
          <w:cols w:equalWidth="0" w:num="2">
            <w:col w:w="2300" w:space="320"/>
            <w:col w:w="8460"/>
          </w:cols>
          <w:pgMar w:left="460" w:top="216" w:right="359" w:bottom="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CAMERON-DOE JULIE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WYNN RESORTS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01/07/2026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416"/>
        <w:spacing w:after="0"/>
        <w:rPr>
          <w:sz w:val="20"/>
          <w:szCs w:val="20"/>
          <w:color w:val="auto"/>
        </w:rPr>
      </w:pPr>
      <w:r>
        <w:rPr>
          <w:rFonts w:ascii="Times New Roman" w:cs="Times New Roman" w:eastAsia="Times New Roman" w:hAnsi="Times New Roman"/>
          <w:sz w:val="17"/>
          <w:szCs w:val="17"/>
          <w:color w:val="0000FF"/>
        </w:rPr>
        <w:t>CFO</w:t>
      </w:r>
    </w:p>
    <w:p>
      <w:pPr>
        <w:spacing w:after="0" w:line="386" w:lineRule="exact"/>
        <w:rPr>
          <w:sz w:val="24"/>
          <w:szCs w:val="24"/>
          <w:color w:val="auto"/>
        </w:rPr>
      </w:pPr>
    </w:p>
    <w:p>
      <w:pPr>
        <w:sectPr>
          <w:pgSz w:w="11900" w:h="16918" w:orient="portrait"/>
          <w:cols w:equalWidth="0" w:num="3">
            <w:col w:w="3200" w:space="720"/>
            <w:col w:w="3104" w:space="720"/>
            <w:col w:w="3336"/>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74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1"/>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NV</w:t>
            </w:r>
          </w:p>
        </w:tc>
        <w:tc>
          <w:tcPr>
            <w:tcW w:w="880" w:type="dxa"/>
            <w:vAlign w:val="bottom"/>
          </w:tcPr>
          <w:p>
            <w:pPr>
              <w:spacing w:after="0"/>
              <w:rPr>
                <w:sz w:val="9"/>
                <w:szCs w:val="9"/>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89109</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3"/>
          </w:tcPr>
          <w:p>
            <w:pPr>
              <w:spacing w:after="0"/>
              <w:rPr>
                <w:sz w:val="10"/>
                <w:szCs w:val="10"/>
                <w:color w:val="auto"/>
              </w:rPr>
            </w:pPr>
          </w:p>
        </w:tc>
        <w:tc>
          <w:tcPr>
            <w:tcW w:w="4320" w:type="dxa"/>
            <w:vAlign w:val="bottom"/>
            <w:tcBorders>
              <w:bottom w:val="single" w:sz="8" w:color="2C2C2C"/>
            </w:tcBorders>
            <w:gridSpan w:val="9"/>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4"/>
                <w:szCs w:val="14"/>
                <w:color w:val="auto"/>
              </w:rPr>
            </w:pPr>
          </w:p>
        </w:tc>
        <w:tc>
          <w:tcPr>
            <w:tcW w:w="1180" w:type="dxa"/>
            <w:vAlign w:val="bottom"/>
            <w:gridSpan w:val="3"/>
          </w:tcPr>
          <w:p>
            <w:pPr>
              <w:ind w:left="1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gridSpan w:val="2"/>
          </w:tcPr>
          <w:p>
            <w:pPr>
              <w:ind w:left="16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10"/>
                <w:szCs w:val="10"/>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3"/>
          </w:tcPr>
          <w:p>
            <w:pPr>
              <w:jc w:val="center"/>
              <w:ind w:left="4"/>
              <w:spacing w:after="0"/>
              <w:rPr>
                <w:sz w:val="20"/>
                <w:szCs w:val="20"/>
                <w:color w:val="auto"/>
              </w:rPr>
            </w:pPr>
            <w:r>
              <w:rPr>
                <w:rFonts w:ascii="Arial" w:cs="Arial" w:eastAsia="Arial" w:hAnsi="Arial"/>
                <w:sz w:val="11"/>
                <w:szCs w:val="11"/>
                <w:b w:val="1"/>
                <w:bCs w:val="1"/>
                <w:color w:val="auto"/>
              </w:rPr>
              <w:t>(Month/Day/Year)</w:t>
            </w:r>
          </w:p>
        </w:tc>
        <w:tc>
          <w:tcPr>
            <w:tcW w:w="5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20" w:type="dxa"/>
            <w:vAlign w:val="bottom"/>
            <w:tcBorders>
              <w:bottom w:val="single" w:sz="8" w:color="2C2C2C"/>
            </w:tcBorders>
            <w:gridSpan w:val="6"/>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3"/>
          </w:tcPr>
          <w:p>
            <w:pPr>
              <w:jc w:val="center"/>
              <w:ind w:left="4"/>
              <w:spacing w:after="0"/>
              <w:rPr>
                <w:sz w:val="20"/>
                <w:szCs w:val="20"/>
                <w:color w:val="auto"/>
              </w:rPr>
            </w:pPr>
            <w:r>
              <w:rPr>
                <w:rFonts w:ascii="Times New Roman" w:cs="Times New Roman" w:eastAsia="Times New Roman" w:hAnsi="Times New Roman"/>
                <w:sz w:val="17"/>
                <w:szCs w:val="17"/>
                <w:color w:val="0000FF"/>
                <w:w w:val="95"/>
              </w:rPr>
              <w:t>01/07/2026</w:t>
            </w: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5,522</w:t>
            </w:r>
            <w:r>
              <w:rPr>
                <w:rFonts w:ascii="Times New Roman" w:cs="Times New Roman" w:eastAsia="Times New Roman" w:hAnsi="Times New Roman"/>
                <w:sz w:val="21"/>
                <w:szCs w:val="21"/>
                <w:color w:val="008000"/>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3"/>
              <w:spacing w:after="0"/>
              <w:rPr>
                <w:sz w:val="20"/>
                <w:szCs w:val="20"/>
                <w:color w:val="auto"/>
              </w:rPr>
            </w:pPr>
            <w:r>
              <w:rPr>
                <w:rFonts w:ascii="Times New Roman" w:cs="Times New Roman" w:eastAsia="Times New Roman" w:hAnsi="Times New Roman"/>
                <w:sz w:val="17"/>
                <w:szCs w:val="17"/>
                <w:color w:val="0000FF"/>
              </w:rPr>
              <w:t>33,540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3"/>
          </w:tcPr>
          <w:p>
            <w:pPr>
              <w:jc w:val="center"/>
              <w:ind w:left="4"/>
              <w:spacing w:after="0"/>
              <w:rPr>
                <w:sz w:val="20"/>
                <w:szCs w:val="20"/>
                <w:color w:val="auto"/>
              </w:rPr>
            </w:pPr>
            <w:r>
              <w:rPr>
                <w:rFonts w:ascii="Times New Roman" w:cs="Times New Roman" w:eastAsia="Times New Roman" w:hAnsi="Times New Roman"/>
                <w:sz w:val="17"/>
                <w:szCs w:val="17"/>
                <w:color w:val="0000FF"/>
                <w:w w:val="95"/>
              </w:rPr>
              <w:t>01/07/2026</w:t>
            </w: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1,411</w:t>
            </w:r>
            <w:r>
              <w:rPr>
                <w:rFonts w:ascii="Times New Roman" w:cs="Times New Roman" w:eastAsia="Times New Roman" w:hAnsi="Times New Roman"/>
                <w:sz w:val="21"/>
                <w:szCs w:val="21"/>
                <w:color w:val="008000"/>
                <w:vertAlign w:val="superscript"/>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116.37</w:t>
            </w:r>
          </w:p>
        </w:tc>
        <w:tc>
          <w:tcPr>
            <w:tcW w:w="1260" w:type="dxa"/>
            <w:vAlign w:val="bottom"/>
            <w:tcBorders>
              <w:bottom w:val="single" w:sz="8" w:color="2C2C2C"/>
            </w:tcBorders>
            <w:gridSpan w:val="3"/>
          </w:tcPr>
          <w:p>
            <w:pPr>
              <w:jc w:val="right"/>
              <w:ind w:right="343"/>
              <w:spacing w:after="0"/>
              <w:rPr>
                <w:sz w:val="20"/>
                <w:szCs w:val="20"/>
                <w:color w:val="auto"/>
              </w:rPr>
            </w:pPr>
            <w:r>
              <w:rPr>
                <w:rFonts w:ascii="Times New Roman" w:cs="Times New Roman" w:eastAsia="Times New Roman" w:hAnsi="Times New Roman"/>
                <w:sz w:val="17"/>
                <w:szCs w:val="17"/>
                <w:color w:val="0000FF"/>
              </w:rPr>
              <w:t>32,129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3"/>
          </w:tcPr>
          <w:p>
            <w:pPr>
              <w:jc w:val="center"/>
              <w:ind w:left="4"/>
              <w:spacing w:after="0"/>
              <w:rPr>
                <w:sz w:val="20"/>
                <w:szCs w:val="20"/>
                <w:color w:val="auto"/>
              </w:rPr>
            </w:pPr>
            <w:r>
              <w:rPr>
                <w:rFonts w:ascii="Times New Roman" w:cs="Times New Roman" w:eastAsia="Times New Roman" w:hAnsi="Times New Roman"/>
                <w:sz w:val="17"/>
                <w:szCs w:val="17"/>
                <w:color w:val="0000FF"/>
                <w:w w:val="95"/>
              </w:rPr>
              <w:t>01/07/2026</w:t>
            </w: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6,429</w:t>
            </w:r>
            <w:r>
              <w:rPr>
                <w:rFonts w:ascii="Times New Roman" w:cs="Times New Roman" w:eastAsia="Times New Roman" w:hAnsi="Times New Roman"/>
                <w:sz w:val="21"/>
                <w:szCs w:val="21"/>
                <w:color w:val="008000"/>
                <w:vertAlign w:val="superscript"/>
              </w:rPr>
              <w:t>(3)</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3"/>
              <w:spacing w:after="0"/>
              <w:rPr>
                <w:sz w:val="20"/>
                <w:szCs w:val="20"/>
                <w:color w:val="auto"/>
              </w:rPr>
            </w:pPr>
            <w:r>
              <w:rPr>
                <w:rFonts w:ascii="Times New Roman" w:cs="Times New Roman" w:eastAsia="Times New Roman" w:hAnsi="Times New Roman"/>
                <w:sz w:val="17"/>
                <w:szCs w:val="17"/>
                <w:color w:val="0000FF"/>
              </w:rPr>
              <w:t>38,558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3"/>
          </w:tcPr>
          <w:p>
            <w:pPr>
              <w:jc w:val="center"/>
              <w:ind w:left="4"/>
              <w:spacing w:after="0"/>
              <w:rPr>
                <w:sz w:val="20"/>
                <w:szCs w:val="20"/>
                <w:color w:val="auto"/>
              </w:rPr>
            </w:pPr>
            <w:r>
              <w:rPr>
                <w:rFonts w:ascii="Times New Roman" w:cs="Times New Roman" w:eastAsia="Times New Roman" w:hAnsi="Times New Roman"/>
                <w:sz w:val="17"/>
                <w:szCs w:val="17"/>
                <w:color w:val="0000FF"/>
                <w:w w:val="95"/>
              </w:rPr>
              <w:t>01/07/2026</w:t>
            </w: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5,001</w:t>
            </w:r>
            <w:r>
              <w:rPr>
                <w:rFonts w:ascii="Times New Roman" w:cs="Times New Roman" w:eastAsia="Times New Roman" w:hAnsi="Times New Roman"/>
                <w:sz w:val="21"/>
                <w:szCs w:val="21"/>
                <w:color w:val="008000"/>
                <w:vertAlign w:val="superscript"/>
              </w:rPr>
              <w:t>(4)</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3"/>
              <w:spacing w:after="0"/>
              <w:rPr>
                <w:sz w:val="20"/>
                <w:szCs w:val="20"/>
                <w:color w:val="auto"/>
              </w:rPr>
            </w:pPr>
            <w:r>
              <w:rPr>
                <w:rFonts w:ascii="Times New Roman" w:cs="Times New Roman" w:eastAsia="Times New Roman" w:hAnsi="Times New Roman"/>
                <w:sz w:val="17"/>
                <w:szCs w:val="17"/>
                <w:color w:val="0000FF"/>
              </w:rPr>
              <w:t>43,559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3"/>
          </w:tcPr>
          <w:p>
            <w:pPr>
              <w:jc w:val="center"/>
              <w:ind w:left="4"/>
              <w:spacing w:after="0"/>
              <w:rPr>
                <w:sz w:val="20"/>
                <w:szCs w:val="20"/>
                <w:color w:val="auto"/>
              </w:rPr>
            </w:pPr>
            <w:r>
              <w:rPr>
                <w:rFonts w:ascii="Times New Roman" w:cs="Times New Roman" w:eastAsia="Times New Roman" w:hAnsi="Times New Roman"/>
                <w:sz w:val="17"/>
                <w:szCs w:val="17"/>
                <w:color w:val="0000FF"/>
                <w:w w:val="95"/>
              </w:rPr>
              <w:t>01/07/2026</w:t>
            </w: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5,789</w:t>
            </w:r>
            <w:r>
              <w:rPr>
                <w:rFonts w:ascii="Times New Roman" w:cs="Times New Roman" w:eastAsia="Times New Roman" w:hAnsi="Times New Roman"/>
                <w:sz w:val="21"/>
                <w:szCs w:val="21"/>
                <w:color w:val="008000"/>
                <w:vertAlign w:val="superscript"/>
              </w:rPr>
              <w:t>(5)</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43"/>
              <w:spacing w:after="0"/>
              <w:rPr>
                <w:sz w:val="20"/>
                <w:szCs w:val="20"/>
                <w:color w:val="auto"/>
              </w:rPr>
            </w:pPr>
            <w:r>
              <w:rPr>
                <w:rFonts w:ascii="Times New Roman" w:cs="Times New Roman" w:eastAsia="Times New Roman" w:hAnsi="Times New Roman"/>
                <w:sz w:val="17"/>
                <w:szCs w:val="17"/>
                <w:color w:val="0000FF"/>
              </w:rPr>
              <w:t>49,348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3"/>
          </w:tcPr>
          <w:p>
            <w:pPr>
              <w:jc w:val="center"/>
              <w:ind w:left="4"/>
              <w:spacing w:after="0"/>
              <w:rPr>
                <w:sz w:val="20"/>
                <w:szCs w:val="20"/>
                <w:color w:val="auto"/>
              </w:rPr>
            </w:pPr>
            <w:r>
              <w:rPr>
                <w:rFonts w:ascii="Times New Roman" w:cs="Times New Roman" w:eastAsia="Times New Roman" w:hAnsi="Times New Roman"/>
                <w:sz w:val="17"/>
                <w:szCs w:val="17"/>
                <w:color w:val="0000FF"/>
                <w:w w:val="95"/>
              </w:rPr>
              <w:t>01/07/2026</w:t>
            </w: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1,191</w:t>
            </w:r>
            <w:r>
              <w:rPr>
                <w:rFonts w:ascii="Times New Roman" w:cs="Times New Roman" w:eastAsia="Times New Roman" w:hAnsi="Times New Roman"/>
                <w:sz w:val="21"/>
                <w:szCs w:val="21"/>
                <w:color w:val="008000"/>
                <w:vertAlign w:val="superscript"/>
              </w:rPr>
              <w:t>(6)</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116.37</w:t>
            </w:r>
          </w:p>
        </w:tc>
        <w:tc>
          <w:tcPr>
            <w:tcW w:w="1260" w:type="dxa"/>
            <w:vAlign w:val="bottom"/>
            <w:tcBorders>
              <w:bottom w:val="single" w:sz="8" w:color="2C2C2C"/>
            </w:tcBorders>
            <w:gridSpan w:val="3"/>
          </w:tcPr>
          <w:p>
            <w:pPr>
              <w:jc w:val="right"/>
              <w:ind w:right="343"/>
              <w:spacing w:after="0"/>
              <w:rPr>
                <w:sz w:val="20"/>
                <w:szCs w:val="20"/>
                <w:color w:val="auto"/>
              </w:rPr>
            </w:pPr>
            <w:r>
              <w:rPr>
                <w:rFonts w:ascii="Times New Roman" w:cs="Times New Roman" w:eastAsia="Times New Roman" w:hAnsi="Times New Roman"/>
                <w:sz w:val="17"/>
                <w:szCs w:val="17"/>
                <w:color w:val="0000FF"/>
              </w:rPr>
              <w:t>48,157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3"/>
          </w:tcPr>
          <w:p>
            <w:pPr>
              <w:jc w:val="center"/>
              <w:ind w:left="4"/>
              <w:spacing w:after="0"/>
              <w:rPr>
                <w:sz w:val="20"/>
                <w:szCs w:val="20"/>
                <w:color w:val="auto"/>
              </w:rPr>
            </w:pPr>
            <w:r>
              <w:rPr>
                <w:rFonts w:ascii="Times New Roman" w:cs="Times New Roman" w:eastAsia="Times New Roman" w:hAnsi="Times New Roman"/>
                <w:sz w:val="17"/>
                <w:szCs w:val="17"/>
                <w:color w:val="0000FF"/>
                <w:w w:val="95"/>
              </w:rPr>
              <w:t>01/07/2026</w:t>
            </w: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2,278</w:t>
            </w:r>
            <w:r>
              <w:rPr>
                <w:rFonts w:ascii="Times New Roman" w:cs="Times New Roman" w:eastAsia="Times New Roman" w:hAnsi="Times New Roman"/>
                <w:sz w:val="21"/>
                <w:szCs w:val="21"/>
                <w:color w:val="008000"/>
                <w:vertAlign w:val="superscript"/>
              </w:rPr>
              <w:t>(7)</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116.37</w:t>
            </w:r>
          </w:p>
        </w:tc>
        <w:tc>
          <w:tcPr>
            <w:tcW w:w="1260" w:type="dxa"/>
            <w:vAlign w:val="bottom"/>
            <w:tcBorders>
              <w:bottom w:val="single" w:sz="8" w:color="2C2C2C"/>
            </w:tcBorders>
            <w:gridSpan w:val="3"/>
          </w:tcPr>
          <w:p>
            <w:pPr>
              <w:jc w:val="right"/>
              <w:ind w:right="343"/>
              <w:spacing w:after="0"/>
              <w:rPr>
                <w:sz w:val="20"/>
                <w:szCs w:val="20"/>
                <w:color w:val="auto"/>
              </w:rPr>
            </w:pPr>
            <w:r>
              <w:rPr>
                <w:rFonts w:ascii="Times New Roman" w:cs="Times New Roman" w:eastAsia="Times New Roman" w:hAnsi="Times New Roman"/>
                <w:sz w:val="17"/>
                <w:szCs w:val="17"/>
                <w:color w:val="0000FF"/>
              </w:rPr>
              <w:t>45,879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312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80" w:type="dxa"/>
            <w:vAlign w:val="bottom"/>
            <w:tcBorders>
              <w:bottom w:val="single" w:sz="8" w:color="2C2C2C"/>
            </w:tcBorders>
            <w:gridSpan w:val="3"/>
          </w:tcPr>
          <w:p>
            <w:pPr>
              <w:jc w:val="center"/>
              <w:ind w:left="4"/>
              <w:spacing w:after="0"/>
              <w:rPr>
                <w:sz w:val="20"/>
                <w:szCs w:val="20"/>
                <w:color w:val="auto"/>
              </w:rPr>
            </w:pPr>
            <w:r>
              <w:rPr>
                <w:rFonts w:ascii="Times New Roman" w:cs="Times New Roman" w:eastAsia="Times New Roman" w:hAnsi="Times New Roman"/>
                <w:sz w:val="17"/>
                <w:szCs w:val="17"/>
                <w:color w:val="0000FF"/>
                <w:w w:val="95"/>
              </w:rPr>
              <w:t>01/09/2026</w:t>
            </w:r>
          </w:p>
        </w:tc>
        <w:tc>
          <w:tcPr>
            <w:tcW w:w="1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1,031</w:t>
            </w:r>
            <w:r>
              <w:rPr>
                <w:rFonts w:ascii="Times New Roman" w:cs="Times New Roman" w:eastAsia="Times New Roman" w:hAnsi="Times New Roman"/>
                <w:sz w:val="21"/>
                <w:szCs w:val="21"/>
                <w:color w:val="008000"/>
                <w:vertAlign w:val="superscript"/>
              </w:rPr>
              <w:t>(8)</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117.83</w:t>
            </w:r>
          </w:p>
        </w:tc>
        <w:tc>
          <w:tcPr>
            <w:tcW w:w="1260" w:type="dxa"/>
            <w:vAlign w:val="bottom"/>
            <w:tcBorders>
              <w:bottom w:val="single" w:sz="8" w:color="2C2C2C"/>
            </w:tcBorders>
            <w:gridSpan w:val="3"/>
          </w:tcPr>
          <w:p>
            <w:pPr>
              <w:jc w:val="right"/>
              <w:ind w:right="343"/>
              <w:spacing w:after="0"/>
              <w:rPr>
                <w:sz w:val="20"/>
                <w:szCs w:val="20"/>
                <w:color w:val="auto"/>
              </w:rPr>
            </w:pPr>
            <w:r>
              <w:rPr>
                <w:rFonts w:ascii="Times New Roman" w:cs="Times New Roman" w:eastAsia="Times New Roman" w:hAnsi="Times New Roman"/>
                <w:sz w:val="17"/>
                <w:szCs w:val="17"/>
                <w:color w:val="0000FF"/>
              </w:rPr>
              <w:t>44,848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3"/>
          </w:tcPr>
          <w:p>
            <w:pPr>
              <w:jc w:val="right"/>
              <w:ind w:right="343"/>
              <w:spacing w:after="0"/>
              <w:rPr>
                <w:sz w:val="20"/>
                <w:szCs w:val="20"/>
                <w:color w:val="auto"/>
              </w:rPr>
            </w:pPr>
            <w:r>
              <w:rPr>
                <w:rFonts w:ascii="Times New Roman" w:cs="Times New Roman" w:eastAsia="Times New Roman" w:hAnsi="Times New Roman"/>
                <w:sz w:val="17"/>
                <w:szCs w:val="17"/>
                <w:color w:val="0000FF"/>
              </w:rPr>
              <w:t>57,078</w:t>
            </w:r>
          </w:p>
        </w:tc>
        <w:tc>
          <w:tcPr>
            <w:tcW w:w="3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4320" w:type="dxa"/>
            <w:vAlign w:val="bottom"/>
            <w:tcBorders>
              <w:bottom w:val="single" w:sz="8" w:color="2C2C2C"/>
            </w:tcBorders>
            <w:gridSpan w:val="9"/>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20" w:type="dxa"/>
            <w:vAlign w:val="bottom"/>
            <w:gridSpan w:val="11"/>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80" w:type="dxa"/>
            <w:vAlign w:val="bottom"/>
            <w:gridSpan w:val="3"/>
          </w:tcPr>
          <w:p>
            <w:pPr>
              <w:ind w:left="220"/>
              <w:spacing w:after="0"/>
              <w:rPr>
                <w:sz w:val="20"/>
                <w:szCs w:val="20"/>
                <w:color w:val="auto"/>
              </w:rPr>
            </w:pPr>
            <w:r>
              <w:rPr>
                <w:rFonts w:ascii="Arial" w:cs="Arial" w:eastAsia="Arial" w:hAnsi="Arial"/>
                <w:sz w:val="11"/>
                <w:szCs w:val="11"/>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80" w:type="dxa"/>
            <w:vAlign w:val="bottom"/>
            <w:gridSpan w:val="3"/>
          </w:tcPr>
          <w:p>
            <w:pPr>
              <w:ind w:left="2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Exercise</w:t>
            </w:r>
          </w:p>
        </w:tc>
        <w:tc>
          <w:tcPr>
            <w:tcW w:w="15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3"/>
          </w:tcPr>
          <w:p>
            <w:pPr>
              <w:ind w:left="22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520" w:type="dxa"/>
            <w:vAlign w:val="bottom"/>
          </w:tcPr>
          <w:p>
            <w:pPr>
              <w:ind w:left="1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88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180" w:type="dxa"/>
            <w:vAlign w:val="bottom"/>
            <w:tcBorders>
              <w:bottom w:val="single" w:sz="8" w:color="808080"/>
            </w:tcBorders>
          </w:tcPr>
          <w:p>
            <w:pPr>
              <w:spacing w:after="0"/>
              <w:rPr>
                <w:sz w:val="2"/>
                <w:szCs w:val="2"/>
                <w:color w:val="auto"/>
              </w:rPr>
            </w:pPr>
          </w:p>
        </w:tc>
        <w:tc>
          <w:tcPr>
            <w:tcW w:w="36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66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30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Performance</w:t>
            </w:r>
          </w:p>
        </w:tc>
        <w:tc>
          <w:tcPr>
            <w:tcW w:w="620" w:type="dxa"/>
            <w:vAlign w:val="bottom"/>
            <w:vMerge w:val="restart"/>
          </w:tcPr>
          <w:p>
            <w:pPr>
              <w:jc w:val="right"/>
              <w:ind w:right="247"/>
              <w:spacing w:after="0"/>
              <w:rPr>
                <w:sz w:val="20"/>
                <w:szCs w:val="20"/>
                <w:color w:val="auto"/>
              </w:rPr>
            </w:pPr>
            <w:r>
              <w:rPr>
                <w:rFonts w:ascii="Times New Roman" w:cs="Times New Roman" w:eastAsia="Times New Roman" w:hAnsi="Times New Roman"/>
                <w:sz w:val="11"/>
                <w:szCs w:val="11"/>
                <w:color w:val="008000"/>
              </w:rPr>
              <w:t>(9)</w:t>
            </w:r>
          </w:p>
        </w:tc>
        <w:tc>
          <w:tcPr>
            <w:tcW w:w="1580" w:type="dxa"/>
            <w:vAlign w:val="bottom"/>
            <w:vMerge w:val="restart"/>
          </w:tcPr>
          <w:p>
            <w:pPr>
              <w:jc w:val="right"/>
              <w:ind w:right="656"/>
              <w:spacing w:after="0"/>
              <w:rPr>
                <w:sz w:val="20"/>
                <w:szCs w:val="20"/>
                <w:color w:val="auto"/>
              </w:rPr>
            </w:pPr>
            <w:r>
              <w:rPr>
                <w:rFonts w:ascii="Times New Roman" w:cs="Times New Roman" w:eastAsia="Times New Roman" w:hAnsi="Times New Roman"/>
                <w:sz w:val="13"/>
                <w:szCs w:val="13"/>
                <w:color w:val="0000FF"/>
              </w:rPr>
              <w:t>01/07/2026</w:t>
            </w:r>
          </w:p>
        </w:tc>
        <w:tc>
          <w:tcPr>
            <w:tcW w:w="1160" w:type="dxa"/>
            <w:vAlign w:val="bottom"/>
            <w:vMerge w:val="restart"/>
          </w:tcPr>
          <w:p>
            <w:pPr>
              <w:ind w:left="7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2,858</w:t>
            </w:r>
          </w:p>
        </w:tc>
        <w:tc>
          <w:tcPr>
            <w:tcW w:w="540" w:type="dxa"/>
            <w:vAlign w:val="bottom"/>
          </w:tcPr>
          <w:p>
            <w:pPr>
              <w:spacing w:after="0"/>
              <w:rPr>
                <w:sz w:val="12"/>
                <w:szCs w:val="12"/>
                <w:color w:val="auto"/>
              </w:rPr>
            </w:pPr>
          </w:p>
        </w:tc>
        <w:tc>
          <w:tcPr>
            <w:tcW w:w="640" w:type="dxa"/>
            <w:vAlign w:val="bottom"/>
            <w:vMerge w:val="restart"/>
          </w:tcPr>
          <w:p>
            <w:pPr>
              <w:jc w:val="right"/>
              <w:ind w:right="247"/>
              <w:spacing w:after="0"/>
              <w:rPr>
                <w:sz w:val="20"/>
                <w:szCs w:val="20"/>
                <w:color w:val="auto"/>
              </w:rPr>
            </w:pPr>
            <w:r>
              <w:rPr>
                <w:rFonts w:ascii="Times New Roman" w:cs="Times New Roman" w:eastAsia="Times New Roman" w:hAnsi="Times New Roman"/>
                <w:sz w:val="11"/>
                <w:szCs w:val="11"/>
                <w:color w:val="008000"/>
              </w:rPr>
              <w:t>(9)</w:t>
            </w:r>
          </w:p>
        </w:tc>
        <w:tc>
          <w:tcPr>
            <w:tcW w:w="640" w:type="dxa"/>
            <w:vAlign w:val="bottom"/>
            <w:vMerge w:val="restart"/>
          </w:tcPr>
          <w:p>
            <w:pPr>
              <w:jc w:val="right"/>
              <w:ind w:right="147"/>
              <w:spacing w:after="0"/>
              <w:rPr>
                <w:sz w:val="20"/>
                <w:szCs w:val="20"/>
                <w:color w:val="auto"/>
              </w:rPr>
            </w:pPr>
            <w:r>
              <w:rPr>
                <w:rFonts w:ascii="Times New Roman" w:cs="Times New Roman" w:eastAsia="Times New Roman" w:hAnsi="Times New Roman"/>
                <w:sz w:val="11"/>
                <w:szCs w:val="11"/>
                <w:color w:val="008000"/>
              </w:rPr>
              <w:t>(9)</w:t>
            </w:r>
          </w:p>
        </w:tc>
        <w:tc>
          <w:tcPr>
            <w:tcW w:w="72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7"/>
              </w:rPr>
              <w:t>Stock,</w:t>
            </w:r>
          </w:p>
        </w:tc>
        <w:tc>
          <w:tcPr>
            <w:tcW w:w="640" w:type="dxa"/>
            <w:vAlign w:val="bottom"/>
            <w:vMerge w:val="restart"/>
          </w:tcPr>
          <w:p>
            <w:pPr>
              <w:jc w:val="right"/>
              <w:ind w:right="97"/>
              <w:spacing w:after="0"/>
              <w:rPr>
                <w:sz w:val="20"/>
                <w:szCs w:val="20"/>
                <w:color w:val="auto"/>
              </w:rPr>
            </w:pPr>
            <w:r>
              <w:rPr>
                <w:rFonts w:ascii="Times New Roman" w:cs="Times New Roman" w:eastAsia="Times New Roman" w:hAnsi="Times New Roman"/>
                <w:sz w:val="17"/>
                <w:szCs w:val="17"/>
                <w:color w:val="0000FF"/>
              </w:rPr>
              <w:t>2,858</w:t>
            </w:r>
          </w:p>
        </w:tc>
        <w:tc>
          <w:tcPr>
            <w:tcW w:w="620" w:type="dxa"/>
            <w:vAlign w:val="bottom"/>
            <w:vMerge w:val="restart"/>
          </w:tcPr>
          <w:p>
            <w:pPr>
              <w:jc w:val="right"/>
              <w:ind w:right="2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vMerge w:val="restart"/>
          </w:tcPr>
          <w:p>
            <w:pPr>
              <w:jc w:val="right"/>
              <w:ind w:right="256"/>
              <w:spacing w:after="0"/>
              <w:rPr>
                <w:sz w:val="20"/>
                <w:szCs w:val="20"/>
                <w:color w:val="auto"/>
              </w:rPr>
            </w:pPr>
            <w:r>
              <w:rPr>
                <w:rFonts w:ascii="Times New Roman" w:cs="Times New Roman" w:eastAsia="Times New Roman" w:hAnsi="Times New Roman"/>
                <w:sz w:val="13"/>
                <w:szCs w:val="13"/>
                <w:color w:val="0000FF"/>
              </w:rPr>
              <w:t>2,858</w:t>
            </w:r>
          </w:p>
        </w:tc>
        <w:tc>
          <w:tcPr>
            <w:tcW w:w="14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Share Units</w:t>
            </w:r>
          </w:p>
        </w:tc>
        <w:tc>
          <w:tcPr>
            <w:tcW w:w="62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par value</w:t>
            </w:r>
          </w:p>
        </w:tc>
        <w:tc>
          <w:tcPr>
            <w:tcW w:w="6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90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$0.01</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9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9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Performance</w:t>
            </w:r>
          </w:p>
        </w:tc>
        <w:tc>
          <w:tcPr>
            <w:tcW w:w="620" w:type="dxa"/>
            <w:vAlign w:val="bottom"/>
            <w:vMerge w:val="restart"/>
          </w:tcPr>
          <w:p>
            <w:pPr>
              <w:jc w:val="right"/>
              <w:ind w:right="207"/>
              <w:spacing w:after="0"/>
              <w:rPr>
                <w:sz w:val="20"/>
                <w:szCs w:val="20"/>
                <w:color w:val="auto"/>
              </w:rPr>
            </w:pPr>
            <w:r>
              <w:rPr>
                <w:rFonts w:ascii="Times New Roman" w:cs="Times New Roman" w:eastAsia="Times New Roman" w:hAnsi="Times New Roman"/>
                <w:sz w:val="11"/>
                <w:szCs w:val="11"/>
                <w:color w:val="008000"/>
              </w:rPr>
              <w:t>(10)</w:t>
            </w:r>
          </w:p>
        </w:tc>
        <w:tc>
          <w:tcPr>
            <w:tcW w:w="1580" w:type="dxa"/>
            <w:vAlign w:val="bottom"/>
            <w:vMerge w:val="restart"/>
          </w:tcPr>
          <w:p>
            <w:pPr>
              <w:jc w:val="right"/>
              <w:ind w:right="656"/>
              <w:spacing w:after="0"/>
              <w:rPr>
                <w:sz w:val="20"/>
                <w:szCs w:val="20"/>
                <w:color w:val="auto"/>
              </w:rPr>
            </w:pPr>
            <w:r>
              <w:rPr>
                <w:rFonts w:ascii="Times New Roman" w:cs="Times New Roman" w:eastAsia="Times New Roman" w:hAnsi="Times New Roman"/>
                <w:sz w:val="13"/>
                <w:szCs w:val="13"/>
                <w:color w:val="0000FF"/>
              </w:rPr>
              <w:t>01/07/2026</w:t>
            </w:r>
          </w:p>
        </w:tc>
        <w:tc>
          <w:tcPr>
            <w:tcW w:w="116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M</w:t>
            </w:r>
          </w:p>
        </w:tc>
        <w:tc>
          <w:tcPr>
            <w:tcW w:w="640" w:type="dxa"/>
            <w:vAlign w:val="bottom"/>
          </w:tcPr>
          <w:p>
            <w:pPr>
              <w:spacing w:after="0"/>
              <w:rPr>
                <w:sz w:val="12"/>
                <w:szCs w:val="12"/>
                <w:color w:val="auto"/>
              </w:rPr>
            </w:pPr>
          </w:p>
        </w:tc>
        <w:tc>
          <w:tcPr>
            <w:tcW w:w="540" w:type="dxa"/>
            <w:vAlign w:val="bottom"/>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3,994</w:t>
            </w:r>
          </w:p>
        </w:tc>
        <w:tc>
          <w:tcPr>
            <w:tcW w:w="640" w:type="dxa"/>
            <w:vAlign w:val="bottom"/>
            <w:vMerge w:val="restart"/>
          </w:tcPr>
          <w:p>
            <w:pPr>
              <w:jc w:val="right"/>
              <w:ind w:right="227"/>
              <w:spacing w:after="0"/>
              <w:rPr>
                <w:sz w:val="20"/>
                <w:szCs w:val="20"/>
                <w:color w:val="auto"/>
              </w:rPr>
            </w:pPr>
            <w:r>
              <w:rPr>
                <w:rFonts w:ascii="Times New Roman" w:cs="Times New Roman" w:eastAsia="Times New Roman" w:hAnsi="Times New Roman"/>
                <w:sz w:val="11"/>
                <w:szCs w:val="11"/>
                <w:color w:val="008000"/>
              </w:rPr>
              <w:t>(10)</w:t>
            </w:r>
          </w:p>
        </w:tc>
        <w:tc>
          <w:tcPr>
            <w:tcW w:w="640" w:type="dxa"/>
            <w:vAlign w:val="bottom"/>
            <w:vMerge w:val="restart"/>
          </w:tcPr>
          <w:p>
            <w:pPr>
              <w:jc w:val="right"/>
              <w:ind w:right="127"/>
              <w:spacing w:after="0"/>
              <w:rPr>
                <w:sz w:val="20"/>
                <w:szCs w:val="20"/>
                <w:color w:val="auto"/>
              </w:rPr>
            </w:pPr>
            <w:r>
              <w:rPr>
                <w:rFonts w:ascii="Times New Roman" w:cs="Times New Roman" w:eastAsia="Times New Roman" w:hAnsi="Times New Roman"/>
                <w:sz w:val="11"/>
                <w:szCs w:val="11"/>
                <w:color w:val="008000"/>
              </w:rPr>
              <w:t>(10)</w:t>
            </w:r>
          </w:p>
        </w:tc>
        <w:tc>
          <w:tcPr>
            <w:tcW w:w="720" w:type="dxa"/>
            <w:vAlign w:val="bottom"/>
          </w:tcPr>
          <w:p>
            <w:pPr>
              <w:jc w:val="center"/>
              <w:ind w:left="16"/>
              <w:spacing w:after="0" w:line="140" w:lineRule="exact"/>
              <w:rPr>
                <w:sz w:val="20"/>
                <w:szCs w:val="20"/>
                <w:color w:val="auto"/>
              </w:rPr>
            </w:pPr>
            <w:r>
              <w:rPr>
                <w:rFonts w:ascii="Times New Roman" w:cs="Times New Roman" w:eastAsia="Times New Roman" w:hAnsi="Times New Roman"/>
                <w:sz w:val="13"/>
                <w:szCs w:val="13"/>
                <w:color w:val="0000FF"/>
                <w:w w:val="97"/>
              </w:rPr>
              <w:t>Stock,</w:t>
            </w:r>
          </w:p>
        </w:tc>
        <w:tc>
          <w:tcPr>
            <w:tcW w:w="640" w:type="dxa"/>
            <w:vAlign w:val="bottom"/>
            <w:vMerge w:val="restart"/>
          </w:tcPr>
          <w:p>
            <w:pPr>
              <w:jc w:val="right"/>
              <w:ind w:right="97"/>
              <w:spacing w:after="0"/>
              <w:rPr>
                <w:sz w:val="20"/>
                <w:szCs w:val="20"/>
                <w:color w:val="auto"/>
              </w:rPr>
            </w:pPr>
            <w:r>
              <w:rPr>
                <w:rFonts w:ascii="Times New Roman" w:cs="Times New Roman" w:eastAsia="Times New Roman" w:hAnsi="Times New Roman"/>
                <w:sz w:val="17"/>
                <w:szCs w:val="17"/>
                <w:color w:val="0000FF"/>
              </w:rPr>
              <w:t>3,994</w:t>
            </w:r>
          </w:p>
        </w:tc>
        <w:tc>
          <w:tcPr>
            <w:tcW w:w="620" w:type="dxa"/>
            <w:vAlign w:val="bottom"/>
            <w:vMerge w:val="restart"/>
          </w:tcPr>
          <w:p>
            <w:pPr>
              <w:jc w:val="right"/>
              <w:ind w:right="2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vMerge w:val="restart"/>
          </w:tcPr>
          <w:p>
            <w:pPr>
              <w:jc w:val="right"/>
              <w:ind w:right="376"/>
              <w:spacing w:after="0"/>
              <w:rPr>
                <w:sz w:val="20"/>
                <w:szCs w:val="20"/>
                <w:color w:val="auto"/>
              </w:rPr>
            </w:pPr>
            <w:r>
              <w:rPr>
                <w:rFonts w:ascii="Times New Roman" w:cs="Times New Roman" w:eastAsia="Times New Roman" w:hAnsi="Times New Roman"/>
                <w:sz w:val="13"/>
                <w:szCs w:val="13"/>
                <w:color w:val="0000FF"/>
              </w:rPr>
              <w:t>0</w:t>
            </w:r>
          </w:p>
        </w:tc>
        <w:tc>
          <w:tcPr>
            <w:tcW w:w="14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Share Units</w:t>
            </w:r>
          </w:p>
        </w:tc>
        <w:tc>
          <w:tcPr>
            <w:tcW w:w="62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par value</w:t>
            </w:r>
          </w:p>
        </w:tc>
        <w:tc>
          <w:tcPr>
            <w:tcW w:w="6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90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$0.01</w:t>
            </w: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common stock, par value $0.01 per share, of Wynn Resorts, Limited (the "Company") granted pursuant to the Company's Amended and Restated 2014 Omnibus Incentive Plan (the "Plan"), which shares vested immediately upon grant.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 upon vesting of immediately vested stock granted on January 7, 2026.</w:t>
      </w:r>
    </w:p>
    <w:p>
      <w:pPr>
        <w:spacing w:after="0" w:line="41" w:lineRule="exact"/>
        <w:rPr>
          <w:rFonts w:ascii="Times New Roman" w:cs="Times New Roman" w:eastAsia="Times New Roman" w:hAnsi="Times New Roman"/>
          <w:sz w:val="13"/>
          <w:szCs w:val="13"/>
          <w:color w:val="008000"/>
        </w:rPr>
      </w:pPr>
    </w:p>
    <w:p>
      <w:pPr>
        <w:ind w:left="40" w:right="3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the Company granted pursuant to the Plan. Vesting of the shares is conditioned on continued service through January 7, 2029, with 1/3 of the shares vesting on each of the three consecutive anniversary dates from the date of grant; provided that if the reporting person's employment with the Company is terminated, certain accelerated vesting provisions may apply.</w:t>
      </w:r>
    </w:p>
    <w:p>
      <w:pPr>
        <w:sectPr>
          <w:pgSz w:w="11900" w:h="16918" w:orient="portrait"/>
          <w:cols w:equalWidth="0" w:num="1">
            <w:col w:w="11080"/>
          </w:cols>
          <w:pgMar w:left="460" w:top="216" w:right="359" w:bottom="0" w:gutter="0" w:footer="0" w:header="0"/>
          <w:type w:val="continuous"/>
        </w:sectPr>
      </w:pPr>
    </w:p>
    <w:bookmarkStart w:id="1" w:name="page2"/>
    <w:bookmarkEnd w:id="1"/>
    <w:p>
      <w:pPr>
        <w:ind w:right="20"/>
        <w:spacing w:after="0" w:line="238"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the Company granted pursuant to the Plan. Vesting of the shares is based on achievement of pre-established financial performance goals for each of the years ending December 31, 2026, 2027 and 2028, and if met, 1/3 of the shares will vest on February 28, 2027, 2028 and 2029, respectively; provided that if the reporting person's employment with the Company is terminated, certain accelerated vesting provisions may apply.</w:t>
      </w:r>
    </w:p>
    <w:p>
      <w:pPr>
        <w:spacing w:after="0" w:line="26" w:lineRule="exact"/>
        <w:rPr>
          <w:rFonts w:ascii="Times New Roman" w:cs="Times New Roman" w:eastAsia="Times New Roman" w:hAnsi="Times New Roman"/>
          <w:sz w:val="13"/>
          <w:szCs w:val="13"/>
          <w:color w:val="008000"/>
        </w:rPr>
      </w:pPr>
    </w:p>
    <w:p>
      <w:pPr>
        <w:spacing w:after="0" w:line="250"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par value $0.01 per share, of the Company underlying performance share units ("PSUs") previously granted pursuant to the Plan on January 12, 2023 that were earned and vested based on the level of performance achieved, as certified by the Compensation Committee of the Board of Directors of the Company on January 7, 2026.</w:t>
      </w:r>
    </w:p>
    <w:p>
      <w:pPr>
        <w:spacing w:after="0" w:line="19"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 upon vesting of restricted stock previously granted on January 7, 2025.</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 upon vesting of PSUs granted on January 12, 2023.</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withholding obligation upon vesting of restricted stock previously granted on January 9, 2024.</w:t>
      </w:r>
    </w:p>
    <w:p>
      <w:pPr>
        <w:spacing w:after="0" w:line="41" w:lineRule="exact"/>
        <w:rPr>
          <w:rFonts w:ascii="Times New Roman" w:cs="Times New Roman" w:eastAsia="Times New Roman" w:hAnsi="Times New Roman"/>
          <w:sz w:val="13"/>
          <w:szCs w:val="13"/>
          <w:color w:val="008000"/>
        </w:rPr>
      </w:pPr>
    </w:p>
    <w:p>
      <w:pPr>
        <w:ind w:right="180"/>
        <w:spacing w:after="0" w:line="250"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PSUs pursuant to the Plan. Each PSU represents the contingent right to receive between 0 and 1.6 shares of the Company's common stock, par value $0.01 per share, based on the total shareholder return ("TSR") performance of the common stock for the period January 1, 2026 to January 1, 2029.</w:t>
      </w:r>
    </w:p>
    <w:p>
      <w:pPr>
        <w:spacing w:after="0" w:line="19" w:lineRule="exact"/>
        <w:rPr>
          <w:rFonts w:ascii="Times New Roman" w:cs="Times New Roman" w:eastAsia="Times New Roman" w:hAnsi="Times New Roman"/>
          <w:sz w:val="13"/>
          <w:szCs w:val="13"/>
          <w:color w:val="008000"/>
        </w:rPr>
      </w:pPr>
    </w:p>
    <w:p>
      <w:pPr>
        <w:ind w:right="140"/>
        <w:spacing w:after="0" w:line="250"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represented the contingent right to receive between 0 and 1.6 shares of the Company's common stock, par value $0.01 per share, based on the TSR performance of the common stock for the period January 1, 2023 to January 1, 2026.</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60"/>
        <w:spacing w:after="0" w:line="218" w:lineRule="auto"/>
        <w:rPr>
          <w:sz w:val="20"/>
          <w:szCs w:val="20"/>
          <w:color w:val="auto"/>
        </w:rPr>
      </w:pPr>
      <w:r>
        <w:rPr>
          <w:rFonts w:ascii="Times New Roman" w:cs="Times New Roman" w:eastAsia="Times New Roman" w:hAnsi="Times New Roman"/>
          <w:sz w:val="17"/>
          <w:szCs w:val="17"/>
          <w:color w:val="0000FF"/>
        </w:rPr>
        <w:t xml:space="preserve">/s/ Nicholas Pannucci, attorney- </w:t>
      </w:r>
      <w:r>
        <w:rPr>
          <w:rFonts w:ascii="Times New Roman" w:cs="Times New Roman" w:eastAsia="Times New Roman" w:hAnsi="Times New Roman"/>
          <w:sz w:val="33"/>
          <w:szCs w:val="33"/>
          <w:color w:val="0000FF"/>
          <w:vertAlign w:val="subscript"/>
        </w:rPr>
        <w:t>01/09/2026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-26670</wp:posOffset>
            </wp:positionV>
            <wp:extent cx="13430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 for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-21590</wp:posOffset>
            </wp:positionV>
            <wp:extent cx="12693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9365" cy="8255"/>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20"/>
        <w:spacing w:after="0" w:line="332" w:lineRule="auto"/>
        <w:tabs>
          <w:tab w:leader="none" w:pos="13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6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24941"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2026-01-09T19:04:25Z</dcterms:created>
  <dcterms:modified xsi:type="dcterms:W3CDTF">2026-01-09T19:04:25Z</dcterms:modified>
</cp:coreProperties>
</file>