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6" w:lineRule="exact"/>
        <w:rPr>
          <w:sz w:val="24"/>
          <w:szCs w:val="24"/>
          <w:color w:val="auto"/>
        </w:rPr>
      </w:pPr>
    </w:p>
    <w:p>
      <w:pPr>
        <w:ind w:left="460" w:right="40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2013</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5" w:lineRule="exact"/>
        <w:rPr>
          <w:sz w:val="24"/>
          <w:szCs w:val="24"/>
          <w:color w:val="auto"/>
        </w:rPr>
      </w:pPr>
    </w:p>
    <w:p>
      <w:pPr>
        <w:ind w:left="460" w:right="40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92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-8890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tbl>
      <w:tblPr>
        <w:tblLayout w:type="fixed"/>
        <w:tblInd w:w="1980" w:type="dxa"/>
        <w:tblCellMar>
          <w:top w:w="0" w:type="dxa"/>
          <w:left w:w="0" w:type="dxa"/>
          <w:bottom w:w="0" w:type="dxa"/>
          <w:right w:w="0" w:type="dxa"/>
        </w:tblCellMar>
      </w:tblPr>
      <w:tr>
        <w:trPr>
          <w:trHeight w:val="216"/>
        </w:trPr>
        <w:tc>
          <w:tcPr>
            <w:tcW w:w="6140" w:type="dxa"/>
            <w:vAlign w:val="bottom"/>
            <w:gridSpan w:val="3"/>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88-0494875</w:t>
            </w:r>
          </w:p>
        </w:tc>
      </w:tr>
      <w:tr>
        <w:trPr>
          <w:trHeight w:val="149"/>
        </w:trPr>
        <w:tc>
          <w:tcPr>
            <w:tcW w:w="6140" w:type="dxa"/>
            <w:vAlign w:val="bottom"/>
            <w:gridSpan w:val="3"/>
          </w:tcPr>
          <w:p>
            <w:pPr>
              <w:jc w:val="center"/>
              <w:ind w:right="4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78"/>
        </w:trPr>
        <w:tc>
          <w:tcPr>
            <w:tcW w:w="6140" w:type="dxa"/>
            <w:vAlign w:val="bottom"/>
            <w:gridSpan w:val="3"/>
          </w:tcPr>
          <w:p>
            <w:pPr>
              <w:jc w:val="center"/>
              <w:ind w:right="438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281"/>
        </w:trPr>
        <w:tc>
          <w:tcPr>
            <w:tcW w:w="6140" w:type="dxa"/>
            <w:vAlign w:val="bottom"/>
            <w:gridSpan w:val="3"/>
          </w:tcPr>
          <w:p>
            <w:pPr>
              <w:jc w:val="center"/>
              <w:ind w:left="1265"/>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 - Las Vegas, Nevada 89109</w:t>
            </w:r>
          </w:p>
        </w:tc>
        <w:tc>
          <w:tcPr>
            <w:tcW w:w="1080" w:type="dxa"/>
            <w:vAlign w:val="bottom"/>
          </w:tcPr>
          <w:p>
            <w:pPr>
              <w:spacing w:after="0"/>
              <w:rPr>
                <w:sz w:val="24"/>
                <w:szCs w:val="24"/>
                <w:color w:val="auto"/>
              </w:rPr>
            </w:pPr>
          </w:p>
        </w:tc>
      </w:tr>
      <w:tr>
        <w:trPr>
          <w:trHeight w:val="178"/>
        </w:trPr>
        <w:tc>
          <w:tcPr>
            <w:tcW w:w="6140" w:type="dxa"/>
            <w:vAlign w:val="bottom"/>
            <w:gridSpan w:val="3"/>
          </w:tcPr>
          <w:p>
            <w:pPr>
              <w:jc w:val="center"/>
              <w:ind w:left="1245"/>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 (Zip Code)</w:t>
            </w:r>
          </w:p>
        </w:tc>
        <w:tc>
          <w:tcPr>
            <w:tcW w:w="1080" w:type="dxa"/>
            <w:vAlign w:val="bottom"/>
          </w:tcPr>
          <w:p>
            <w:pPr>
              <w:spacing w:after="0"/>
              <w:rPr>
                <w:sz w:val="15"/>
                <w:szCs w:val="15"/>
                <w:color w:val="auto"/>
              </w:rPr>
            </w:pPr>
          </w:p>
        </w:tc>
      </w:tr>
      <w:tr>
        <w:trPr>
          <w:trHeight w:val="267"/>
        </w:trPr>
        <w:tc>
          <w:tcPr>
            <w:tcW w:w="4920" w:type="dxa"/>
            <w:vAlign w:val="bottom"/>
            <w:gridSpan w:val="2"/>
          </w:tcPr>
          <w:p>
            <w:pPr>
              <w:jc w:val="center"/>
              <w:ind w:left="2465"/>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78"/>
        </w:trPr>
        <w:tc>
          <w:tcPr>
            <w:tcW w:w="6140" w:type="dxa"/>
            <w:vAlign w:val="bottom"/>
            <w:gridSpan w:val="3"/>
          </w:tcPr>
          <w:p>
            <w:pPr>
              <w:jc w:val="center"/>
              <w:ind w:left="1245"/>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1080" w:type="dxa"/>
            <w:vAlign w:val="bottom"/>
          </w:tcPr>
          <w:p>
            <w:pPr>
              <w:spacing w:after="0"/>
              <w:rPr>
                <w:sz w:val="15"/>
                <w:szCs w:val="15"/>
                <w:color w:val="auto"/>
              </w:rPr>
            </w:pPr>
          </w:p>
        </w:tc>
      </w:tr>
      <w:tr>
        <w:trPr>
          <w:trHeight w:val="149"/>
        </w:trPr>
        <w:tc>
          <w:tcPr>
            <w:tcW w:w="254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74"/>
        </w:trPr>
        <w:tc>
          <w:tcPr>
            <w:tcW w:w="2540" w:type="dxa"/>
            <w:vAlign w:val="bottom"/>
          </w:tcPr>
          <w:p>
            <w:pPr>
              <w:spacing w:after="0"/>
              <w:rPr>
                <w:sz w:val="23"/>
                <w:szCs w:val="23"/>
                <w:color w:val="auto"/>
              </w:rPr>
            </w:pPr>
          </w:p>
        </w:tc>
        <w:tc>
          <w:tcPr>
            <w:tcW w:w="36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080" w:type="dxa"/>
            <w:vAlign w:val="bottom"/>
          </w:tcPr>
          <w:p>
            <w:pPr>
              <w:spacing w:after="0"/>
              <w:rPr>
                <w:sz w:val="23"/>
                <w:szCs w:val="23"/>
                <w:color w:val="auto"/>
              </w:rPr>
            </w:pPr>
          </w:p>
        </w:tc>
      </w:tr>
      <w:tr>
        <w:trPr>
          <w:trHeight w:val="178"/>
        </w:trPr>
        <w:tc>
          <w:tcPr>
            <w:tcW w:w="6140" w:type="dxa"/>
            <w:vAlign w:val="bottom"/>
            <w:gridSpan w:val="3"/>
          </w:tcPr>
          <w:p>
            <w:pPr>
              <w:jc w:val="center"/>
              <w:ind w:left="1245"/>
              <w:spacing w:after="0"/>
              <w:rPr>
                <w:sz w:val="20"/>
                <w:szCs w:val="20"/>
                <w:color w:val="auto"/>
              </w:rPr>
            </w:pPr>
            <w:r>
              <w:rPr>
                <w:rFonts w:ascii="Times New Roman" w:cs="Times New Roman" w:eastAsia="Times New Roman" w:hAnsi="Times New Roman"/>
                <w:sz w:val="14"/>
                <w:szCs w:val="14"/>
                <w:b w:val="1"/>
                <w:bCs w:val="1"/>
                <w:color w:val="auto"/>
                <w:w w:val="95"/>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ind w:right="22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4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26" w:right="299" w:bottom="1440" w:gutter="0" w:footer="0" w:header="0"/>
        </w:sectPr>
      </w:pP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220" w:space="720"/>
            <w:col w:w="2240" w:space="720"/>
            <w:col w:w="160"/>
          </w:cols>
          <w:pgMar w:left="240" w:top="226" w:right="29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580" w:space="720"/>
            <w:col w:w="5220" w:space="720"/>
            <w:col w:w="2240" w:space="720"/>
            <w:col w:w="160"/>
          </w:cols>
          <w:pgMar w:left="240" w:top="226" w:right="299" w:bottom="1440" w:gutter="0" w:footer="0" w:header="0"/>
          <w:type w:val="continuous"/>
        </w:sectPr>
      </w:pPr>
    </w:p>
    <w:p>
      <w:pPr>
        <w:spacing w:after="0" w:line="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8380" w:space="180"/>
            <w:col w:w="260" w:space="80"/>
            <w:col w:w="160" w:space="180"/>
            <w:col w:w="220" w:space="80"/>
            <w:col w:w="1820"/>
          </w:cols>
          <w:pgMar w:left="240" w:top="226" w:right="2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9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Resorts Holdings, LLC owns all of the membership interests of the Registrant as of May 10, 2013.</w:t>
      </w:r>
    </w:p>
    <w:p>
      <w:pPr>
        <w:spacing w:after="0" w:line="90" w:lineRule="exact"/>
        <w:rPr>
          <w:sz w:val="24"/>
          <w:szCs w:val="24"/>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9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60" w:type="dxa"/>
            <w:vAlign w:val="bottom"/>
          </w:tcPr>
          <w:p>
            <w:pPr>
              <w:spacing w:after="0"/>
              <w:rPr>
                <w:sz w:val="20"/>
                <w:szCs w:val="20"/>
                <w:color w:val="auto"/>
              </w:rPr>
            </w:pPr>
          </w:p>
        </w:tc>
      </w:tr>
      <w:tr>
        <w:trPr>
          <w:trHeight w:val="286"/>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972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36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(unaudited) – March 31, 2013 and December 31, 2012</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gridSpan w:val="1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Loss (unaudited) – Three months ended March 31, 2013 and</w:t>
              </w:r>
            </w:hyperlink>
          </w:p>
        </w:tc>
        <w:tc>
          <w:tcPr>
            <w:tcW w:w="36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ind w:left="220"/>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2012</w:t>
              </w:r>
            </w:hyperlink>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Condensed Consolidated Statements of Cash Flows (unaudited) – Three months ended March 31, 2013 and 2012</w:t>
              </w:r>
            </w:hyperlink>
          </w:p>
        </w:tc>
        <w:tc>
          <w:tcPr>
            <w:tcW w:w="156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gridSpan w:val="1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 (unaudited)</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42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Quantitative and Qualitative Disclosures About Market Risk</w:t>
              </w:r>
            </w:hyperlink>
          </w:p>
        </w:tc>
        <w:tc>
          <w:tcPr>
            <w:tcW w:w="546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15"/>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Controls and Procedures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1"/>
        </w:trPr>
        <w:tc>
          <w:tcPr>
            <w:tcW w:w="109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360" w:type="dxa"/>
            <w:vAlign w:val="bottom"/>
          </w:tcPr>
          <w:p>
            <w:pPr>
              <w:spacing w:after="0"/>
              <w:rPr>
                <w:sz w:val="24"/>
                <w:szCs w:val="24"/>
                <w:color w:val="auto"/>
              </w:rPr>
            </w:pPr>
          </w:p>
        </w:tc>
      </w:tr>
      <w:tr>
        <w:trPr>
          <w:trHeight w:val="286"/>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4"/>
              </w:rPr>
            </w:pPr>
            <w:hyperlink w:anchor="page21">
              <w:r>
                <w:rPr>
                  <w:rFonts w:ascii="Times New Roman" w:cs="Times New Roman" w:eastAsia="Times New Roman" w:hAnsi="Times New Roman"/>
                  <w:sz w:val="18"/>
                  <w:szCs w:val="18"/>
                  <w:color w:val="0000EE"/>
                  <w:w w:val="94"/>
                </w:rPr>
                <w:t>Risk Factors</w:t>
              </w:r>
            </w:hyperlink>
          </w:p>
        </w:tc>
        <w:tc>
          <w:tcPr>
            <w:tcW w:w="8840" w:type="dxa"/>
            <w:vAlign w:val="bottom"/>
            <w:gridSpan w:val="11"/>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Unregistered Sales of Equity Securities and Use of Proceeds</w:t>
              </w:r>
            </w:hyperlink>
          </w:p>
        </w:tc>
        <w:tc>
          <w:tcPr>
            <w:tcW w:w="548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22">
              <w:r>
                <w:rPr>
                  <w:rFonts w:ascii="Times New Roman" w:cs="Times New Roman" w:eastAsia="Times New Roman" w:hAnsi="Times New Roman"/>
                  <w:sz w:val="18"/>
                  <w:szCs w:val="18"/>
                  <w:color w:val="0000EE"/>
                  <w:w w:val="95"/>
                </w:rPr>
                <w:t>Other Information</w:t>
              </w:r>
            </w:hyperlink>
          </w:p>
        </w:tc>
        <w:tc>
          <w:tcPr>
            <w:tcW w:w="844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9720" w:type="dxa"/>
            <w:vAlign w:val="bottom"/>
            <w:gridSpan w:val="1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Exhibits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240" w:type="dxa"/>
            <w:vAlign w:val="bottom"/>
            <w:gridSpan w:val="3"/>
          </w:tcPr>
          <w:p>
            <w:pPr>
              <w:ind w:left="18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Signature</w:t>
              </w:r>
            </w:hyperlink>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83"/>
        </w:trPr>
        <w:tc>
          <w:tcPr>
            <w:tcW w:w="18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gridSpan w:val="10"/>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ind w:left="39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3,165,978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3,638,594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3,669,881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266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Gaming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Customer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Due to affiliates,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306,714</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3,125,442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152,140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3,585,643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3,602,796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Contributed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1,192,135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(1,141,411)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(1,125,050)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member’s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52,951</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3,638,594</w:t>
            </w:r>
          </w:p>
        </w:tc>
        <w:tc>
          <w:tcPr>
            <w:tcW w:w="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00" w:type="dxa"/>
            <w:vAlign w:val="bottom"/>
          </w:tcPr>
          <w:p>
            <w:pPr>
              <w:spacing w:after="0"/>
              <w:rPr>
                <w:sz w:val="13"/>
                <w:szCs w:val="13"/>
                <w:color w:val="auto"/>
              </w:rPr>
            </w:pPr>
          </w:p>
        </w:tc>
        <w:tc>
          <w:tcPr>
            <w:tcW w:w="1900" w:type="dxa"/>
            <w:vAlign w:val="bottom"/>
            <w:gridSpan w:val="6"/>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6"/>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7"/>
              </w:rPr>
              <w:t>$176,251</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$157,693</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91,545</w:t>
            </w:r>
          </w:p>
        </w:tc>
        <w:tc>
          <w:tcPr>
            <w:tcW w:w="9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87,374</w:t>
            </w: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115,449</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108,946</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49,693</w:t>
            </w:r>
          </w:p>
        </w:tc>
        <w:tc>
          <w:tcPr>
            <w:tcW w:w="9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56,315</w:t>
            </w:r>
          </w:p>
        </w:tc>
      </w:tr>
      <w:tr>
        <w:trPr>
          <w:trHeight w:val="223"/>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410,328</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(46,099)</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(47,181)</w:t>
            </w: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386,839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363,147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83,768</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78,930</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32,219</w:t>
            </w:r>
          </w:p>
        </w:tc>
        <w:tc>
          <w:tcPr>
            <w:tcW w:w="9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29,225</w:t>
            </w: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69,874</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65,325</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28,111</w:t>
            </w:r>
          </w:p>
        </w:tc>
        <w:tc>
          <w:tcPr>
            <w:tcW w:w="9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37,074</w:t>
            </w: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59,057</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55,217</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3,232</w:t>
            </w:r>
          </w:p>
        </w:tc>
        <w:tc>
          <w:tcPr>
            <w:tcW w:w="9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4,363</w:t>
            </w: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5,795</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5,451</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61,610</w:t>
            </w:r>
          </w:p>
        </w:tc>
        <w:tc>
          <w:tcPr>
            <w:tcW w:w="9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63,418</w:t>
            </w: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346,420</w:t>
            </w:r>
          </w:p>
        </w:tc>
        <w:tc>
          <w:tcPr>
            <w:tcW w:w="98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342,721</w:t>
            </w:r>
          </w:p>
        </w:tc>
      </w:tr>
      <w:tr>
        <w:trPr>
          <w:trHeight w:val="230"/>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(56,757)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(52,147)</w:t>
            </w: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swap fair value</w:t>
            </w: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retirement of debt</w:t>
            </w: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20" w:type="dxa"/>
            <w:vAlign w:val="bottom"/>
          </w:tcPr>
          <w:p>
            <w:pPr>
              <w:spacing w:after="0"/>
              <w:rPr>
                <w:sz w:val="2"/>
                <w:szCs w:val="2"/>
                <w:color w:val="auto"/>
              </w:rPr>
            </w:pPr>
          </w:p>
        </w:tc>
        <w:tc>
          <w:tcPr>
            <w:tcW w:w="9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expense, net</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(56,780)</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(55,856)</w:t>
            </w:r>
          </w:p>
        </w:tc>
      </w:tr>
      <w:tr>
        <w:trPr>
          <w:trHeight w:val="22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(16,361</w:t>
            </w:r>
          </w:p>
        </w:tc>
        <w:tc>
          <w:tcPr>
            <w:tcW w:w="2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(35,430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w w:val="93"/>
              </w:rPr>
              <w:t>$ (16,361)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(35,430)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61,610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63,418</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and write-off of deferred financing costs, and other</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of unconsolidated affiliates, net of distributions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retirement of debt</w:t>
            </w:r>
          </w:p>
        </w:tc>
        <w:tc>
          <w:tcPr>
            <w:tcW w:w="20" w:type="dxa"/>
            <w:vAlign w:val="bottom"/>
          </w:tcPr>
          <w:p>
            <w:pPr>
              <w:spacing w:after="0"/>
              <w:rPr>
                <w:sz w:val="18"/>
                <w:szCs w:val="18"/>
                <w:color w:val="auto"/>
              </w:rPr>
            </w:pPr>
          </w:p>
        </w:tc>
        <w:tc>
          <w:tcPr>
            <w:tcW w:w="96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4,828</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4,363</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2,939</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in swap fair value</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w:t>
            </w: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 and prepaid expenses and other</w:t>
            </w:r>
          </w:p>
        </w:tc>
        <w:tc>
          <w:tcPr>
            <w:tcW w:w="98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(2,358)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gridSpan w:val="4"/>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(40,075)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(20,698)</w:t>
            </w:r>
          </w:p>
        </w:tc>
      </w:tr>
      <w:tr>
        <w:trPr>
          <w:trHeight w:val="223"/>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Due to affiliates, net</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31,664</w:t>
            </w:r>
          </w:p>
        </w:tc>
      </w:tr>
      <w:tr>
        <w:trPr>
          <w:trHeight w:val="222"/>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980" w:type="dxa"/>
            <w:vAlign w:val="bottom"/>
            <w:gridSpan w:val="4"/>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(8,946)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(15,140)</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Deposits and purchase of other assets</w:t>
            </w:r>
          </w:p>
        </w:tc>
        <w:tc>
          <w:tcPr>
            <w:tcW w:w="98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(2,175)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Due to affiliates, net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5,325</w:t>
            </w: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gridSpan w:val="4"/>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(10,571)</w:t>
            </w:r>
          </w:p>
        </w:tc>
      </w:tr>
      <w:tr>
        <w:trPr>
          <w:trHeight w:val="222"/>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98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(371,217)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(10,665)</w:t>
            </w:r>
          </w:p>
        </w:tc>
      </w:tr>
      <w:tr>
        <w:trPr>
          <w:trHeight w:val="230"/>
        </w:trPr>
        <w:tc>
          <w:tcPr>
            <w:tcW w:w="20" w:type="dxa"/>
            <w:vAlign w:val="bottom"/>
          </w:tcPr>
          <w:p>
            <w:pPr>
              <w:spacing w:after="0"/>
              <w:rPr>
                <w:sz w:val="20"/>
                <w:szCs w:val="20"/>
                <w:color w:val="auto"/>
              </w:rPr>
            </w:pPr>
          </w:p>
        </w:tc>
        <w:tc>
          <w:tcPr>
            <w:tcW w:w="9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539,211</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201,399</w:t>
            </w: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170,455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740,610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2460"/>
        <w:spacing w:after="0" w:line="262" w:lineRule="auto"/>
        <w:rPr>
          <w:sz w:val="20"/>
          <w:szCs w:val="20"/>
          <w:color w:val="auto"/>
        </w:rPr>
      </w:pPr>
      <w:r>
        <w:rPr>
          <w:rFonts w:ascii="Times New Roman" w:cs="Times New Roman" w:eastAsia="Times New Roman" w:hAnsi="Times New Roman"/>
          <w:sz w:val="18"/>
          <w:szCs w:val="18"/>
          <w:b w:val="1"/>
          <w:bCs w:val="1"/>
          <w:color w:val="auto"/>
        </w:rPr>
        <w:t>WYNN LAS VEGAS, LLC AND SUBSIDIARIES (A WHOLLY OWNED INDIRECT SUBSIDIARY OF WYNN RESORTS, LIMITED) NOTES TO CONDENSED CONSOLIDATED FINANCIAL STATEMENTS (Unaudited)</w:t>
      </w:r>
    </w:p>
    <w:p>
      <w:pPr>
        <w:spacing w:after="0" w:line="349"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92"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I Encore (“Wynn Las Vegas”), a fully integrated destination resort and casino on the “Strip” in Las Vegas, Nevada.</w:t>
      </w:r>
    </w:p>
    <w:p>
      <w:pPr>
        <w:spacing w:after="0" w:line="103"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2013,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9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2013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2012.</w:t>
      </w:r>
    </w:p>
    <w:p>
      <w:pPr>
        <w:spacing w:after="0" w:line="217" w:lineRule="exact"/>
        <w:rPr>
          <w:sz w:val="20"/>
          <w:szCs w:val="20"/>
          <w:color w:val="auto"/>
        </w:rPr>
      </w:pPr>
    </w:p>
    <w:p>
      <w:pPr>
        <w:ind w:left="240" w:right="7740" w:hanging="232"/>
        <w:spacing w:after="0" w:line="345" w:lineRule="auto"/>
        <w:tabs>
          <w:tab w:leader="none" w:pos="36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Cash and Cash Equivalents</w:t>
      </w:r>
    </w:p>
    <w:p>
      <w:pPr>
        <w:spacing w:after="0" w:line="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purchase maturities of three months or less. Cash equivalents are carried at cost, which approximates fair value.</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92" w:lineRule="exact"/>
        <w:rPr>
          <w:sz w:val="20"/>
          <w:szCs w:val="20"/>
          <w:color w:val="auto"/>
        </w:rPr>
      </w:pPr>
    </w:p>
    <w:p>
      <w:pPr>
        <w:jc w:val="both"/>
        <w:ind w:right="80" w:firstLine="456"/>
        <w:spacing w:after="0" w:line="33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2013 and December 31, 2012,</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approximately 79% and 78%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12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Accounts are written off when management deems them to be uncollectible or after two years, whichever period is shorter.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2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1"/>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15,436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15,414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27,914</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28,216</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92" w:lineRule="exact"/>
        <w:rPr>
          <w:sz w:val="20"/>
          <w:szCs w:val="20"/>
          <w:color w:val="auto"/>
        </w:rPr>
      </w:pPr>
    </w:p>
    <w:p>
      <w:pPr>
        <w:ind w:right="360" w:firstLine="456"/>
        <w:spacing w:after="0" w:line="310" w:lineRule="auto"/>
        <w:rPr>
          <w:sz w:val="20"/>
          <w:szCs w:val="20"/>
          <w:color w:val="auto"/>
        </w:rPr>
      </w:pPr>
      <w:r>
        <w:rPr>
          <w:rFonts w:ascii="Times New Roman" w:cs="Times New Roman" w:eastAsia="Times New Roman" w:hAnsi="Times New Roman"/>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and Comprehensive Loss. These taxes totaled $12.5 million and $11 million for the three months ended March 31, 2013 and 2012, respectively.</w:t>
      </w:r>
    </w:p>
    <w:p>
      <w:pPr>
        <w:spacing w:after="0" w:line="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80"/>
          </w:cols>
          <w:pgMar w:left="240" w:top="455" w:right="3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Company expenses advertising costs the first time the advertising takes place and such costs are primarily included in general and administrative expenses. Advertising costs totaled $5.3 million and $3.9 million for the three months ended March 31, 2013 and 2012, respectively.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three months ended March 31, 2013 and 2012, the Company recorded $2.2 million and $1.4 million, respectively, in share-based compensation with a corresponding credit to contributed capital.</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adoption of this update did not have a material impact on the Company’s financial statements.</w:t>
      </w:r>
    </w:p>
    <w:p>
      <w:pPr>
        <w:spacing w:after="0" w:line="13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annual, and interim impairment tests performed for years beginning after September 15, 2012. The adoption of this update did not have a material impact on the Company’s financial statements.</w:t>
      </w:r>
    </w:p>
    <w:p>
      <w:pPr>
        <w:spacing w:after="0" w:line="21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 of Cash Flow Information</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Interest paid for the three months ended March 31, 2013 and 2012 totaled $75.5 million and $55.8 million, respectively. Interest paid increased during the three months ended March 31, 2013 due to the issuance of the $900 million 5 3/8% First Mortgage Notes in March 2012. There was no interest capitalized during the three months ended March 31, 2013 or 2012.</w:t>
      </w:r>
    </w:p>
    <w:p>
      <w:pPr>
        <w:spacing w:after="0" w:line="132"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2013 and 2012, capital expenditures include a decrease of $0.7 million and $4.8 million respectively, in construction payables and retention recorded through amounts due to affiliates.</w:t>
      </w:r>
    </w:p>
    <w:p>
      <w:pPr>
        <w:spacing w:after="0" w:line="199"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net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Receivables, net consisted of the following (amounts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60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29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$186,379</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leases and other</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221,010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(63,467)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(64,281)</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157,543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920" w:type="dxa"/>
            <w:vAlign w:val="bottom"/>
            <w:vMerge w:val="restart"/>
          </w:tcPr>
          <w:p>
            <w:pPr>
              <w:jc w:val="right"/>
              <w:ind w:right="1936"/>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4"/>
                <w:szCs w:val="14"/>
                <w:color w:val="auto"/>
              </w:rPr>
            </w:pP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622,942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2,626,882</w:t>
            </w:r>
          </w:p>
        </w:tc>
        <w:tc>
          <w:tcPr>
            <w:tcW w:w="14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2,626,384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Airplane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1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1,339,238</w:t>
            </w:r>
          </w:p>
        </w:tc>
        <w:tc>
          <w:tcPr>
            <w:tcW w:w="14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1,336,661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4,639,964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4,632,869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(1,473,986)</w:t>
            </w:r>
          </w:p>
        </w:tc>
        <w:tc>
          <w:tcPr>
            <w:tcW w:w="1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(1,417,264)</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3,165,978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$ 3,215,605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Long-Term Debt</w:t>
            </w: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 (amounts in thousands):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8080" w:type="dxa"/>
            <w:vAlign w:val="bottom"/>
            <w:tcBorders>
              <w:top w:val="single" w:sz="8" w:color="CCEEFF"/>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7 7/8% First Mortgage Notes, due November 1, 2017, net of original issue discount of $7,069 at March 31,</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2013 and $7,384 at December 31, 2012</w:t>
            </w: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492,931</w:t>
            </w:r>
          </w:p>
        </w:tc>
        <w:tc>
          <w:tcPr>
            <w:tcW w:w="480" w:type="dxa"/>
            <w:vAlign w:val="bottom"/>
            <w:shd w:val="clear" w:color="auto" w:fill="CCEEFF"/>
          </w:tcPr>
          <w:p>
            <w:pPr>
              <w:spacing w:after="0"/>
              <w:rPr>
                <w:sz w:val="20"/>
                <w:szCs w:val="20"/>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8080" w:type="dxa"/>
            <w:vAlign w:val="bottom"/>
            <w:gridSpan w:val="6"/>
          </w:tcPr>
          <w:p>
            <w:pPr>
              <w:spacing w:after="0" w:line="201" w:lineRule="exact"/>
              <w:rPr>
                <w:sz w:val="20"/>
                <w:szCs w:val="20"/>
                <w:color w:val="auto"/>
              </w:rPr>
            </w:pPr>
            <w:r>
              <w:rPr>
                <w:rFonts w:ascii="Times New Roman" w:cs="Times New Roman" w:eastAsia="Times New Roman" w:hAnsi="Times New Roman"/>
                <w:sz w:val="18"/>
                <w:szCs w:val="18"/>
                <w:color w:val="auto"/>
              </w:rPr>
              <w:t>7 7/8% First Mortgage Notes, due May 1, 2020, net of original issue discount of $2,049 at March 31, 2013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$2,102 at December 31, 2012</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349,961</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 3/4% First Mortgage Notes, due August 15, 2020</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1,320,000</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3/8% First Mortgage Notes, due March 15, 2022</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million Note Payable due April 1, 2017; interest at LIBOR plus 1.25%</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 to Affiliate</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3,126,492</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3,126,474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$ 3,125,442</w:t>
            </w:r>
          </w:p>
        </w:tc>
        <w:tc>
          <w:tcPr>
            <w:tcW w:w="4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3,125,424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2013, management believes the Company was in compliance with all debt covenants.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net book value of the Company’s outstanding first mortgage notes was approximately $3.1 billion at March 31, 2013 and December 31, 2012. The estimated fair value of the Company’s outstanding first mortgage notes, based upon the most recent trades, was approximately $3.4 billion at March 31, 2013 and December 31, 2012. The net book value and estimated fair value of the Company’s other debt instruments was approximately $33.6 million and $34 million at March 31, 2013 and December 31, 2012, respectively.</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455" w:right="2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Amounts Due to Affiliates, net</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As of March 31, 2013, the Company’s current Due to affiliates, net was comprised of $48.2 million including corporate allocations discussed below and $3.4 million of construction related payables. The long-term Due to affiliates consisted of management fees of $152.1 million (equal to 1.5% of net revenues and payable upon meeting certain leverage ratios as specified in the documents governing the Company’s first mortgage notes indentures).</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2012, the Company’s current Due to affiliates, net was comprised of $33.7 million including corporate allocations discussed below and $4.1 million of construction related payables. The long-term Due to affiliates consisted of management fees of $146.3 million.</w:t>
      </w:r>
    </w:p>
    <w:p>
      <w:pPr>
        <w:spacing w:after="0" w:line="120"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The Company periodically settles amounts due to affiliates with cash receipts and payments, except for the management fee, which is payable upon meeting certain leverage ratios specified in the documents governing the first mortgage notes.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Corporate Allocations</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Statements of Operations and Comprehensive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March 31, 2013 and 2012, $6.2 million and $6.7 million, respectively, were charged to the Company for such corporate allocations.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Due to Officers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Villa Suite Lease</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On March 18, 2010, Mr. Wynn and Wynn Las Vegas entered into an Amended and Restated Agreement of Lease (the “Existing SW Lease”) for a villa suite to serve as Mr. Wynn’s personal residence. The Existing SW Lease amends and restates a prior lease. The Existing SW Lease was approved by the Audit Committee of the Board of Directors of Wynn Resorts. The term of the Existing SW Lease commenced as of March 1, 2010 and runs concurrent with Mr. Wynn’s employment agreement with Wynn Resorts; provided that either party may terminate on 90 days notice. Pursuant to the Existing SW Lease, the rental value of the villa suite is treated as imputed income to Mr. Wynn, and is equal to the fair market value of the accommodations provided. Effective March 1, 2010, and for the first two years of the term of the Existing SW Lease, the rental value was $503,831 per year. Effective March 1, 2012, the rental value was $440,000 per year. On May 7, 2013, Wynn Las Vegas entered into a 2013 Amended and Restated Agreement of Lease (the “New SW Lease”), effective December 29, 2012, to include an expansion of the villa and to adjust the rental value accordingly to $525,000 per year based on the current fair market value as established by the Audit Committee of Wynn Resorts with the assistance of an independent third-party appraisal. The rental value for the villa suite will be re-determined every two years during the term of the lease by the Audit Committee of Wynn Resorts. Certain services for, and maintenance of, the villa suite, as well as minimal warehouse space are included in the rental.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Golf Course Lease</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September 18, 2012, the Company distributed to Wynn Resorts, Limited,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thirty (30) days prior to the expiration of any monthly period. The combined rental value for both the golf course land and the water rights is $598,000 per month.</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Aircraft Purchase Option Agreement</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January 3, 2013, Wynn Resorts and Mr. Wynn entered into an agreement pursuant to which Mr. Wynn agreed to terminate a previously granted option to purchase an approximately two acre tract of land located on the Wynn Las Vegas golf course and, in return, Wynn Resorts granted Mr. Wynn the right to purchase any or all of the aircraft owned by the Company. The aircraft purchase option is exercisable upon 30 days written notice and at a price equal to the book value of such aircraft, and will terminate on the date of termination of the employment agreement between Wynn Resorts and Mr. Wynn, which expires in October 2020.</w:t>
      </w:r>
    </w:p>
    <w:p>
      <w:pPr>
        <w:spacing w:after="0" w:line="21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Charges and Other</w:t>
      </w:r>
    </w:p>
    <w:p>
      <w:pPr>
        <w:spacing w:after="0" w:line="9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Property charges generally include costs related to the retirement of assets for remodels and asset abandonments. Property charges and other for the three months ended March 31, 2013 and 2012 were $2.8 million and $3.7 million, respectively, which included miscellaneous renovations and abandonments at our resort and entertainment development costs.</w:t>
      </w:r>
    </w:p>
    <w:p>
      <w:pPr>
        <w:spacing w:after="0" w:line="211" w:lineRule="exact"/>
        <w:rPr>
          <w:sz w:val="20"/>
          <w:szCs w:val="20"/>
          <w:color w:val="auto"/>
        </w:rPr>
      </w:pPr>
    </w:p>
    <w:p>
      <w:pPr>
        <w:ind w:right="8580" w:firstLine="8"/>
        <w:spacing w:after="0" w:line="345" w:lineRule="auto"/>
        <w:tabs>
          <w:tab w:leader="none" w:pos="35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Litigation</w:t>
      </w:r>
    </w:p>
    <w:p>
      <w:pPr>
        <w:spacing w:after="0" w:line="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Company and its affiliates are occasionally party to lawsuits. As with all litigation, no assurance can be provided as to the outcome of such matters and we note that litigation inherently involves significant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USA, Inc. and Affiliates</w:t>
      </w:r>
    </w:p>
    <w:p>
      <w:pPr>
        <w:spacing w:after="0" w:line="92"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On February 18, 2012, the Gaming Compliance Committee of Wynn Resorts, Ltd.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at the time was a director of Wynn Resorts and two of its subsidiaries (collectively, the “Okada Parties”). The factual record presented in the Freeh Report included evidence that the Okada Parties had provided valuable items to certain foreign gaming officials who were responsible for regulating gaming in a jurisdiction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which entities controlled by Mr. Okada were developing a gaming resort. Mr. Okada denied the impropriety of such conduct to members of the Board of Directors of Wynn Resorts, refused to acknowledge or abide by Wynn Resorts’ anti-bribery policies and refused to participate in the training all other directors received concerning these policies.</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each of the Okada Parties are “unsuitable persons” under Article VII of Wynn Resorts’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and on February 24, 2012, he was removed from the Board of Directors of Wynn Macau, Limited. On February 22, 2013, Mr. Okada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138"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Pursuant to the articles of incorporation, Wynn Resorts issued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Wynn Resorts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Investigations Related to Mr. Okada and Wynn Macau</w:t>
      </w:r>
    </w:p>
    <w:p>
      <w:pPr>
        <w:spacing w:after="0" w:line="92"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3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and (5) that the actions taken by the Wynn Resorts CEO and General Counsel violated the Nevada Racketeer Influenced and Corrupt Organizations Act.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June 19, 2012, Elaine Wynn responded to the Counterclaim and asserted a cross claim against Steve Wynn and Kazuo Okada seeking a declaration that</w:t>
      </w:r>
    </w:p>
    <w:p>
      <w:pPr>
        <w:spacing w:after="0" w:line="44" w:lineRule="exact"/>
        <w:rPr>
          <w:sz w:val="20"/>
          <w:szCs w:val="20"/>
          <w:color w:val="auto"/>
        </w:rPr>
      </w:pPr>
    </w:p>
    <w:p>
      <w:pPr>
        <w:ind w:firstLine="8"/>
        <w:spacing w:after="0" w:line="251" w:lineRule="auto"/>
        <w:tabs>
          <w:tab w:leader="none" w:pos="2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first mortgage notes (the “Indentures”)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4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Wynn Resorts’ complaint, as amended, and the Okada Parties’ counterclaim, as amended, were challenged at the pleading stage through motion practice. At a hearing held on November 13, 2012, the Nevada state court denied the Wynn Parties’ motion to dismiss the Counterclaim, but dismissed the Okada Parties’ claim that related to the Nevada Racketeer Influenced and Corrupt Organizations Act. At a hearing held on January 15, 2013, the court denied the Okada Parties’ motion to dismiss Wynn Resorts’ amended complaint. On April 22, 2013, Wynn Resorts filed a second amended complaint. The parties have been engaged in discovery.</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motion states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Philippine Casino Project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concluded that the gift was made in accordance with all applicable laws. The pledge was considered by the boards of directors of both Wynn Resorts and Wynn Macau, Limited and approved by 15 of the 16 directors who served on those boards. The sole dissenting vote was cast by Mr. Okada whose stated objection was to the length of time over which the donation would occur, not its propriety. Mr. Okada has filed various lawsuits against Wynn Resorts relating to Wynn Resorts’ donation to the University of Macau and alleging that it was improper.</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February 8, 2012, following the initiation of Mr. Okada’s litigation against Wynn Resorts regarding Wynn Macau’s donation to the University of Macau Development Foundation,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is fully cooperating with the Salt Lake Regional Office staff.</w:t>
      </w:r>
    </w:p>
    <w:p>
      <w:pPr>
        <w:spacing w:after="0" w:line="139"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In February 2013, the Nevada Gaming Control Board informed Wynn Resorts that it had completed an investigation of allegations made by Mr. Okada against Wynn Resorts regarding the activities of Mr. Wynn and related entities in Macau and found no violations of the Gaming Control Act or the Nevada Gaming Commission Regulations.</w:t>
      </w:r>
    </w:p>
    <w:p>
      <w:pPr>
        <w:spacing w:after="0" w:line="13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donation to the University of Macau discussed above. Wynn Resorts has not received any target letter or subpoena in connection with such an investigation. Wynn Resorts intends to cooperate fully with the government in response to any inquiry related to the donation to the University of Macau.</w:t>
      </w:r>
    </w:p>
    <w:p>
      <w:pPr>
        <w:spacing w:after="0" w:line="136" w:lineRule="exact"/>
        <w:rPr>
          <w:sz w:val="20"/>
          <w:szCs w:val="20"/>
          <w:color w:val="auto"/>
        </w:rPr>
      </w:pPr>
    </w:p>
    <w:p>
      <w:pPr>
        <w:ind w:right="440" w:firstLine="456"/>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the donation to the University of Macau. While Wynn Resorts believes that it is in full compliance with all applicable laws, any such investigations could result in actions by regulators against Wynn Resorts or its subsidiaries.</w:t>
      </w:r>
    </w:p>
    <w:p>
      <w:pPr>
        <w:spacing w:after="0" w:line="136"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For additional information regarding the proceedings discussed above and related proceedings see Part II, Item 1 of the Quarterly Report on Form 10-Q filed by Wynn Resorts for the quarter ended March 31, 2013.</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2"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3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These include the risks and uncertainties in Item 1A – Risk Factors and other risk factors we describe from time to time in our periodic filings with the SEC as well as the following:</w:t>
      </w:r>
    </w:p>
    <w:p>
      <w:pPr>
        <w:spacing w:after="0" w:line="51"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weakness in world-wide credit and financial markets and from governmental intervention in the financial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 and existing management;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enforcement actions;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Wynn Las Vegas for all of our cash flow;</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occupancy rates and average daily room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tourism trends given the current domestic and international economic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development and construction activities of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or state tax laws or the administration of such laws;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 (including the legalization of gaming in certain jurisdictions);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under applicable jurisdictional laws and regulations (including gaming laws and regulations);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macroeconomic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levels of travel, leisure and consumer spending;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high unemployment;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risk including misappropriation of customer information or other breaches of information security;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an outbreak of an infectious disease or the impact of a natural disaster may have on the travel and leisure industry; and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20"/>
          </w:cols>
          <w:pgMar w:left="240" w:top="455"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military conflicts and any future security alerts and/or terrorist attacks.</w:t>
      </w:r>
    </w:p>
    <w:p>
      <w:pPr>
        <w:spacing w:after="0" w:line="171"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We currently own and operate Wynn Las Vegas I Encore (“Wynn Las Vegas”), a fully integrated destination casino resort in Las Vegas, Nevada. 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Commencing September 18, 2012, when the golf course land and related water rights were distributed to Wynn Resorts, we lease approximately 140 acres (upon which the golf course is located) and water rights from Wynn Resorts.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Las Vegas resort complex features:</w:t>
      </w:r>
    </w:p>
    <w:p>
      <w:pPr>
        <w:spacing w:after="0" w:line="90" w:lineRule="exact"/>
        <w:rPr>
          <w:sz w:val="20"/>
          <w:szCs w:val="20"/>
          <w:color w:val="auto"/>
        </w:rPr>
      </w:pPr>
    </w:p>
    <w:p>
      <w:pPr>
        <w:ind w:left="900" w:right="42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186,000 square feet of casino space, offering 24-hour gaming and a full range of games, including private gaming salons, a sky casino, a poker room, and a race and sports book;</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spacious hotel rooms, suites and villas;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food and beverage outlets featuring signature chefs;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Ferrari and Maserati automobile dealership;</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284,000 square feet of meeting and convention space;</w:t>
      </w:r>
    </w:p>
    <w:p>
      <w:pPr>
        <w:spacing w:after="0" w:line="90" w:lineRule="exact"/>
        <w:rPr>
          <w:rFonts w:ascii="Times New Roman" w:cs="Times New Roman" w:eastAsia="Times New Roman" w:hAnsi="Times New Roman"/>
          <w:sz w:val="18"/>
          <w:szCs w:val="18"/>
          <w:color w:val="auto"/>
        </w:rPr>
      </w:pPr>
    </w:p>
    <w:p>
      <w:pPr>
        <w:jc w:val="both"/>
        <w:ind w:left="900" w:right="20" w:hanging="325"/>
        <w:spacing w:after="0" w:line="26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95,000 square feet of high-end, brand-name retail shopping, including stores and boutiques by Alexander McQueen, Brioni, Cartier, Chanel, Chloé, Chopard, Dior, Graff, Hermes, IWC Schaffhausen, Jaeger LeCoultre, Loro Piana, Louis Vuitton, Manolo Blahnik, Oscar de la Renta, Piaget, Rolex, Vertu and others;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and two full service spas and salons;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showrooms;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Construction and Future Development</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In response to our evaluation of our property and the reactions of our guests, we have and expect to continue to remodel and make enhancements and refinements to our resort complex.</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455" w:right="2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recorded a net loss for the three months ended March 31, 2013 of $16.4 million, compared to a net loss of $35.4 million recorded for the three months ended March 31, 2012. Our results for the three months ended March 31, 2013 were benefitted by improved profits primarily in the casino department ($13.7 million) where we experienced a higher table games win percentage as well as in the food and beverage department.</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Certain key operating statistics specific to the gaming industry are included in our discussions of the Company’s operational performance for the periods in which a Condensed Consolidated Statement of Operations and Comprehensive Loss is presented. Below are definitions of the statistics discussed:</w:t>
      </w:r>
    </w:p>
    <w:p>
      <w:pPr>
        <w:spacing w:after="0" w:line="39"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drop that is retained and recorded as casino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 is the amount of cash and net markers issued that are deposited in a gaming table’s drop box.</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and is recorded as casino revenue.</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 including promotional allowances (less service charges, if any) by total rooms occupied including complimentary rooms.</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 including promotional allowances (less service charges, if any) by total rooms available.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total rooms available.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March 31, 2013 compared to the three months ended March 31, 2012.</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Net revenues for the three months ended March 31, 2013, are composed of $176.3 million in casino revenues (45.6% of total net revenues) and $210.5 million of net non-casino revenues (54.4% of total net revenues). Net revenues for the three months ended March 31, 2012, were comprised of $157.7 million in casino revenues (43.4% of total net revenues) and $205.4 million of net non-casino revenues (56.6% of total net revenues).</w:t>
      </w:r>
    </w:p>
    <w:p>
      <w:pPr>
        <w:spacing w:after="0" w:line="132" w:lineRule="exact"/>
        <w:rPr>
          <w:sz w:val="20"/>
          <w:szCs w:val="20"/>
          <w:color w:val="auto"/>
        </w:rPr>
      </w:pPr>
    </w:p>
    <w:p>
      <w:pPr>
        <w:jc w:val="both"/>
        <w:ind w:right="120" w:firstLine="456"/>
        <w:spacing w:after="0" w:line="287" w:lineRule="auto"/>
        <w:rPr>
          <w:sz w:val="20"/>
          <w:szCs w:val="20"/>
          <w:color w:val="auto"/>
        </w:rPr>
      </w:pPr>
      <w:r>
        <w:rPr>
          <w:rFonts w:ascii="Times New Roman" w:cs="Times New Roman" w:eastAsia="Times New Roman" w:hAnsi="Times New Roman"/>
          <w:sz w:val="16"/>
          <w:szCs w:val="16"/>
          <w:color w:val="auto"/>
        </w:rPr>
        <w:t>Casino revenues are comprised of the net win from our table games and slot machine operations. We experienced an increase in casino revenues of $18.6 million (11.8%) to $176.3 million for the three months ended March 31, 2013, compared to $157.7 million for the three months ended March 31, 2012, due to a significant increase in our table games win percentage (before discounts). Our table games win percentage for the three months ended March 31, 2013,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26.7%, which was above the expected range of 21% to 24%; and was significantly higher than the 22.8% experienced in the prior year quarter. Table games drop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$14.4 million (2.2%) to $668.9 million during the three months ended March 31, 2013, compared to $654.5 million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2012. Slot machine handle decreased $22.3 million (3.1%) to $696.6 million compared to $718.9 million in the prior year quarter. Slot machine win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 million was 1.7% lower than the $43 million achieved in the quarter ended March 31, 2012.</w:t>
      </w:r>
    </w:p>
    <w:p>
      <w:pPr>
        <w:spacing w:after="0" w:line="159"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For the three months ended March 31, 2013, room revenues were $91.5 million, which represents a $4.1 million (4.8%) increase over the $87.4 million generated in the three months ended March 31, 2012. Room revenue increased primarily due to higher occupancy rate and ADR. See the table below for key operating measures related to our room revenue.</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28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42"/>
        </w:trPr>
        <w:tc>
          <w:tcPr>
            <w:tcW w:w="2820" w:type="dxa"/>
            <w:vAlign w:val="bottom"/>
            <w:tcBorders>
              <w:bottom w:val="single" w:sz="8" w:color="CCEEFF"/>
            </w:tcBorders>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w:t>
            </w:r>
          </w:p>
        </w:tc>
        <w:tc>
          <w:tcPr>
            <w:tcW w:w="4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$ 258</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$ 255</w:t>
            </w:r>
          </w:p>
        </w:tc>
        <w:tc>
          <w:tcPr>
            <w:tcW w:w="2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52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82.9%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REVPAR</w:t>
            </w:r>
          </w:p>
        </w:tc>
        <w:tc>
          <w:tcPr>
            <w:tcW w:w="4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$ 202</w:t>
            </w:r>
          </w:p>
        </w:tc>
        <w:tc>
          <w:tcPr>
            <w:tcW w:w="200" w:type="dxa"/>
            <w:vAlign w:val="bottom"/>
            <w:shd w:val="clear" w:color="auto" w:fill="CCEEFF"/>
          </w:tcPr>
          <w:p>
            <w:pPr>
              <w:spacing w:after="0"/>
              <w:rPr>
                <w:sz w:val="18"/>
                <w:szCs w:val="18"/>
                <w:color w:val="auto"/>
              </w:rPr>
            </w:pPr>
          </w:p>
        </w:tc>
      </w:tr>
      <w:tr>
        <w:trPr>
          <w:trHeight w:val="363"/>
        </w:trPr>
        <w:tc>
          <w:tcPr>
            <w:tcW w:w="2820" w:type="dxa"/>
            <w:vAlign w:val="bottom"/>
          </w:tcPr>
          <w:p>
            <w:pPr>
              <w:spacing w:after="0"/>
              <w:rPr>
                <w:sz w:val="24"/>
                <w:szCs w:val="24"/>
                <w:color w:val="auto"/>
              </w:rPr>
            </w:pPr>
          </w:p>
        </w:tc>
        <w:tc>
          <w:tcPr>
            <w:tcW w:w="4020" w:type="dxa"/>
            <w:vAlign w:val="bottom"/>
          </w:tcPr>
          <w:p>
            <w:pPr>
              <w:jc w:val="right"/>
              <w:ind w:right="2332"/>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Other non-gaming revenues for the three months ended March 31, 2013, included food and beverage revenues of $115.4 million, retail revenues of $19.9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 entertainment revenues of $15.2 million, and other revenues from outlets, including the spa and salon, of $14.6 million. Other non-casino revenues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March 31, 2012, included: food and beverage revenues of $108.9 million, retail revenues of $20.1 million, entertainment revenues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$21.1 million, and other revenues from outlets such as the spa and salon, of $15.1 million. Food and beverage revenues increased primarily due to strong business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restaurants and nightclubs. Entertainment revenues decreased due to a show that ended its run in November 2012.</w:t>
      </w:r>
    </w:p>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Departmental, Administrative and Other Expenses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2013, departmental expenses included casino expenses of $83.8 million, room expense of $32.2 million, food and beverage expenses of $69.9 million, and entertainment, retail and other expenses of $28.1 million. Also included are general and administrative expenses of $59.1 million and a $3.2 million charge to provision for doubtful accounts receivable. For the three months ended March 31, 2012, departmental expenses included casino expense of $78.9 million, room expense of $29.2 million, food and beverage expense of $65.3 million, and entertainment, retail and other expense of $37.1 million. Also included are general and administrative expenses of approximately $55.2 million and approximately $4.4 million charged as a provision for doubtful accounts receivable. Food and beverage expenses increased over prior year quarter primarily due to additional nightclub promotional costs. Entertainment, retail and other expenses decreased primarily due to a show that ended its run in November 2012. General and administrative expenses increased primarily due to higher advertising costs and intercompany golf course and water rights lease expense that began in September 2012.</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$5.8 million for the three months ended March 31, 2013, compared to $5.5 million for the three months ended March 31, 2012.</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Depreciation and amortization for the three months ended March 31, 2013 was $61.6 million compared to $63.4 million for the three months ended March 31, 2012.</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Property charges and other for the three months ended March 31, 2013 were $2.8 million compared to $3.7 million for the three months ended March 31,</w:t>
      </w:r>
    </w:p>
    <w:p>
      <w:pPr>
        <w:spacing w:after="0" w:line="44"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2012. Property charges and other for the three months ended March 31, 2013 and 2012 related to miscellaneous renovations and abandonments at our resort complex and entertainment development costs.</w:t>
      </w:r>
    </w:p>
    <w:p>
      <w:pPr>
        <w:spacing w:after="0" w:line="132" w:lineRule="exact"/>
        <w:rPr>
          <w:sz w:val="20"/>
          <w:szCs w:val="20"/>
          <w:color w:val="auto"/>
        </w:rPr>
      </w:pPr>
    </w:p>
    <w:p>
      <w:pPr>
        <w:jc w:val="both"/>
        <w:ind w:right="80" w:firstLine="456"/>
        <w:spacing w:after="0" w:line="275" w:lineRule="auto"/>
        <w:rPr>
          <w:sz w:val="20"/>
          <w:szCs w:val="20"/>
          <w:color w:val="auto"/>
        </w:rPr>
      </w:pPr>
      <w:r>
        <w:rPr>
          <w:rFonts w:ascii="Times New Roman" w:cs="Times New Roman" w:eastAsia="Times New Roman" w:hAnsi="Times New Roman"/>
          <w:sz w:val="18"/>
          <w:szCs w:val="18"/>
          <w:color w:val="auto"/>
        </w:rPr>
        <w:t>In response to our evaluation of our resort complex and the reactions of our guests, we continue to make enhancements and refinements. The costs relating to assets retired as a result of these enhancement and remodel efforts will be expensed as property charges.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92" w:lineRule="exact"/>
        <w:rPr>
          <w:sz w:val="20"/>
          <w:szCs w:val="20"/>
          <w:color w:val="auto"/>
        </w:rPr>
      </w:pPr>
    </w:p>
    <w:p>
      <w:pPr>
        <w:jc w:val="both"/>
        <w:ind w:right="80" w:firstLine="456"/>
        <w:spacing w:after="0" w:line="310" w:lineRule="auto"/>
        <w:rPr>
          <w:sz w:val="20"/>
          <w:szCs w:val="20"/>
          <w:color w:val="auto"/>
        </w:rPr>
      </w:pPr>
      <w:r>
        <w:rPr>
          <w:rFonts w:ascii="Times New Roman" w:cs="Times New Roman" w:eastAsia="Times New Roman" w:hAnsi="Times New Roman"/>
          <w:sz w:val="16"/>
          <w:szCs w:val="16"/>
          <w:color w:val="auto"/>
        </w:rPr>
        <w:t>Interest expense was $56.8 million for the three months ended March 31, 2013, compared to $52.1 million for the three months ended March 31, 2012. No interest was capitalized during the quarter ended March 31, 2013 or 2012. Interest expense increased approximately $4.7 million primarily due to the issuance of the $900 million 5 3/8% first mortgage notes in March 2012, offset by the termination of all term loans under the Wynn Las Vegas Credit Agreement.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costs of $4.8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Operations</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39"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Net cash provided by operations for the three months ended March 31, 2013, was $23.1 million compared to $31.7 million provided by operations for the three months ended March 31, 2012. This decrease was driven by higher interest payments and other ordinary working capital changes such as accrued expenses and accounts payable.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Capital expenditures were approximately $8.9 million and $15.1 million for the three months ended March 31, 2013 and 2012, and related primarily to general property maintenance.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On March 12, 2012, the Company and Wynn Las Vegas Capital Corp. (together the “Issuers”) issued, in a private offering, $900 million aggregate principal amount of 5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First Mortgage Notes due 2022 (the “2022 Notes”) pursuant to an Indenture, dated as of March 12, 2012 (the “2022 Indenture”). A portion of the proceeds were used to repay all amounts outstanding under the Wynn Las Vegas term loan facilities. In October 2012, we commenced an offer to exchange all of the 2022 Notes for notes registered under the Securities Act of 1933, as amended. The exchange offer closed on November 6, 2012.</w:t>
      </w:r>
    </w:p>
    <w:p>
      <w:pPr>
        <w:spacing w:after="0" w:line="13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March 12, 2012, the Company entered into an eighth amendment (“Amendment No. 8”) to its Amended and Restated Credit Agreement (the “Wynn Las Vegas Credit Agreement”). Amendment No. 8 amended the Wynn Las Vegas Credit Agreement to, among other things, permit the issuance of the 2022 Notes. Concurrently with the issuance of the 2022 Notes, we prepaid all term loans under the Wynn Las Vegas Credit Agreement, terminated all of its revolving credit commitments that were due to expire in 2013, and terminated all but $100 million of its revolving credit commitments expiring in 2015. In connection with this transaction, the Company expensed deferred financing costs of $4.8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94"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At March 31, 2013, we had $170.5 million of cash and cash equivalents available for use without restriction, including for operations, debt service and retirement, new development activities, enhancements to Wynn Las Vegas and general corporate purposes. We require a certain amount of cash on hand for operations. We anticipate such funds, together with any additional borrowings and cash generated from operations will satisfy our liquidity needs during 2013.</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Contractual Obligations and Off-Balance Sheet Arrangements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As of March 31, 2013 we had unsecured outstanding letters of credit totaling $15.8 million. There have been no other material changes outside the ordinary course of our business during the quarter to our contractual obligations or off-balance sheet arrangements as disclosed in our Annual Report on Form 10-K for the year ended December 31, 2012.</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9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 Certain legal matters may also impact our liquidity. As described in our Condensed Consolidated Financial Statements, Note 9 – “Commitments and Contingencies”, Elaine Wynn has submitted a cross claim against Steve Wynn and Kazuo Okada. The indentures for the Wynn Las Vegas first mortgage notes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w:t>
      </w:r>
    </w:p>
    <w:p>
      <w:pPr>
        <w:spacing w:after="0" w:line="138"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2012. There have been no material changes to these policies for the three months ended March 31,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adoption of this update did not have a material impact on our financial statements.</w:t>
      </w:r>
    </w:p>
    <w:p>
      <w:pPr>
        <w:spacing w:after="0" w:line="103"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annual, and interim impairment tests performed for years beginning after September 15, 2012. The adoption of this update did not have a material impact on our financial statements.</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Risks</w:t>
      </w:r>
    </w:p>
    <w:p>
      <w:pPr>
        <w:spacing w:after="0" w:line="92"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2013 our long-term debt was essentially based on fixed rates.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ind w:firstLine="464"/>
        <w:spacing w:after="0" w:line="253"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principal executive officer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38" w:lineRule="exact"/>
        <w:rPr>
          <w:rFonts w:ascii="Times New Roman" w:cs="Times New Roman" w:eastAsia="Times New Roman" w:hAnsi="Times New Roman"/>
          <w:sz w:val="18"/>
          <w:szCs w:val="18"/>
          <w:color w:val="auto"/>
        </w:rPr>
      </w:pPr>
    </w:p>
    <w:p>
      <w:pPr>
        <w:ind w:firstLine="464"/>
        <w:spacing w:after="0" w:line="264"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There have not been any changes in the Company’s internal control over financial reporting (as such term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A description of our risk factors can be found in Item 1A of our Annual Report on Form 10-K for the year ended December 31, 2012. There were no material changes to those risk factors during the three months ended March 31, 2013.</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therein. These restricted payments include the payment of dividends or distributions to any direct or indirect holders of our membership interests.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restricted payments may not be made until certain other financial and non-financial criteria have been satisfied.</w:t>
      </w:r>
    </w:p>
    <w:p>
      <w:pPr>
        <w:spacing w:after="0" w:line="27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As disclosed in prior filings of Wynn Resorts, Limited (“WRL”) and Wynn Las Vegas, LLC (“WLV”) with the SEC, pursuant to that certain Amended and Restated Agreement of Lease, dated as of March 18, 2010 and amended as of April 9, 2012 (the “Existing SW Lease”), by and between Stephen A. Wynn (“Mr. Wynn”), Chairman of the Board of Directors and Chief Executive Officer of WRL, and WLV, Mr. Wynn leases two fairway villas as Mr. Wynn’s personal residence. On May 7, 2013, Mr. Wynn and WLV entered into a 2013 Amended and Restated Agreement of Lease (the “New SW Lease”) amending and restating the Existing SW Lease, effective as of December 29, 2012, for the lease of three fairway villas (the “Villas”) as Mr. Wynn’s personal residence. The New SW Lease was approved by the Audit Committee of the Board of Directors of WRL. The term of the lease runs concurrent with the term of Mr. Wynn’s employment agreement with WRL; provided that either party may terminate on 90 days notice. The rental value of the Villas is treated as imputed income to Mr. Wynn, equal to the fair market value of the accommodations provided. Pursuant to the New SW Lease, effective as of December 29, 2012 and ending on February 28, 2015, the rental value of the Villas was established as $525,000 per year, which amount was determined based on a third-party appraisal. The rental value of the Villas will be re-determined every two years based upon an independent third-party appraisal. Certain services for, and maintenance of, the Villas are included in the rental. The New SW Lease also includes Mr. Wynn’s use of warehouse space owned by WLV. This description of the New SW Lease is qualified in its entirety by reference to the New SW Lease, a copy of which is filed herewith as Exhibit 10.1.</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97"/>
        </w:trPr>
        <w:tc>
          <w:tcPr>
            <w:tcW w:w="20" w:type="dxa"/>
            <w:vAlign w:val="bottom"/>
          </w:tcPr>
          <w:p>
            <w:pPr>
              <w:spacing w:after="0"/>
              <w:rPr>
                <w:sz w:val="24"/>
                <w:szCs w:val="24"/>
                <w:color w:val="auto"/>
              </w:rPr>
            </w:pPr>
          </w:p>
        </w:tc>
        <w:tc>
          <w:tcPr>
            <w:tcW w:w="111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 Exhibits</w:t>
            </w:r>
          </w:p>
        </w:tc>
      </w:tr>
      <w:tr>
        <w:trPr>
          <w:trHeight w:val="4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20" w:type="dxa"/>
            <w:vAlign w:val="bottom"/>
            <w:gridSpan w:val="3"/>
          </w:tcPr>
          <w:p>
            <w:pPr>
              <w:ind w:left="4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6"/>
        </w:trPr>
        <w:tc>
          <w:tcPr>
            <w:tcW w:w="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620" w:type="dxa"/>
            <w:vAlign w:val="bottom"/>
          </w:tcPr>
          <w:p>
            <w:pPr>
              <w:spacing w:after="0"/>
              <w:rPr>
                <w:sz w:val="14"/>
                <w:szCs w:val="14"/>
                <w:color w:val="auto"/>
              </w:rPr>
            </w:pPr>
          </w:p>
        </w:tc>
      </w:tr>
      <w:tr>
        <w:trPr>
          <w:trHeight w:val="316"/>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Second Amended and Restated Articles of Organization of Wynn Las Vegas, LLC. (1)</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Second Amended and Restated Operating Agreement of Wynn Las Vegas, LLC. (1)</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*10.1</w:t>
            </w:r>
          </w:p>
        </w:tc>
        <w:tc>
          <w:tcPr>
            <w:tcW w:w="32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2013 Amended and Restated Agreement of Lease, dated as of May 7, 2013, by and between Wynn Las Vegas, LLC and Stephen A. Wynn.</w:t>
            </w:r>
          </w:p>
        </w:tc>
      </w:tr>
      <w:tr>
        <w:trPr>
          <w:trHeight w:val="338"/>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Aircraft Purchase Option Agreement, dated January 3, 2013, between Wynn Resorts, Limited and Stephen A. Wynn. (2)</w:t>
            </w:r>
          </w:p>
        </w:tc>
      </w:tr>
      <w:tr>
        <w:trPr>
          <w:trHeight w:val="338"/>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*31.1</w:t>
            </w:r>
          </w:p>
        </w:tc>
        <w:tc>
          <w:tcPr>
            <w:tcW w:w="32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Certification of Principal Executive Officer of Periodic Report Pursuant to Rule 13a – 14(a) and Rule 15d – 14(a).</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*31.2</w:t>
            </w:r>
          </w:p>
        </w:tc>
        <w:tc>
          <w:tcPr>
            <w:tcW w:w="32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Certification of Principal Financial Officer of Periodic Report Pursuant to Rule 13a – 14(a) and Rule 15d – 14(a).</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*32.1</w:t>
            </w:r>
          </w:p>
        </w:tc>
        <w:tc>
          <w:tcPr>
            <w:tcW w:w="32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Certification of CEO and CFO Pursuant to 18 U.S.C. Section 1350.</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The following financial information from the Company’s Quarterly Report on Form 10-Q for the three months ended March 31, 2013, filed with</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SEC on May 10, 2013 formatted in Extensible Business Reporting Language (XBRL): (i) the Condensed Consolidated Statements of</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8"/>
              </w:rPr>
              <w:t>Operations and Comprehensive Loss for the three months ended March 31, 2013 and 2012, (ii) the Condensed Consolidated Balance Sheets at</w:t>
            </w:r>
          </w:p>
        </w:tc>
      </w:tr>
    </w:tbl>
    <w:p>
      <w:pPr>
        <w:ind w:left="1040"/>
        <w:spacing w:after="0" w:line="261" w:lineRule="auto"/>
        <w:rPr>
          <w:sz w:val="20"/>
          <w:szCs w:val="20"/>
          <w:color w:val="auto"/>
        </w:rPr>
      </w:pPr>
      <w:r>
        <w:rPr>
          <w:rFonts w:ascii="Times New Roman" w:cs="Times New Roman" w:eastAsia="Times New Roman" w:hAnsi="Times New Roman"/>
          <w:sz w:val="18"/>
          <w:szCs w:val="18"/>
          <w:color w:val="auto"/>
        </w:rPr>
        <w:t>March 31, 2013 and December 31, 2012, (iii) the Condensed Consolidated Statements of Cash Flows for the three months ended March 31, 2013 and 2012,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60" w:right="20" w:hanging="452"/>
        <w:spacing w:after="0" w:line="254"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178" w:lineRule="exact"/>
        <w:rPr>
          <w:sz w:val="20"/>
          <w:szCs w:val="20"/>
          <w:color w:val="auto"/>
        </w:rPr>
      </w:pPr>
    </w:p>
    <w:p>
      <w:pPr>
        <w:ind w:left="460" w:right="20" w:hanging="452"/>
        <w:spacing w:after="0" w:line="257"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Registration Statement on Form S-4 filed by the Registrant on April 13, 2005 (File No. 333-124052) and incorporated herein by reference.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Annual Report on Form 10-K filed by Wynn Resorts on March 1, 2013.</w:t>
      </w:r>
    </w:p>
    <w:p>
      <w:pPr>
        <w:spacing w:after="0" w:line="1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240" w:top="455" w:right="4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May 10, 2013</w:t>
            </w:r>
          </w:p>
        </w:tc>
        <w:tc>
          <w:tcPr>
            <w:tcW w:w="79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Scott Peterson</w:t>
            </w:r>
          </w:p>
        </w:tc>
      </w:tr>
      <w:tr>
        <w:trPr>
          <w:trHeight w:val="209"/>
        </w:trPr>
        <w:tc>
          <w:tcPr>
            <w:tcW w:w="3500" w:type="dxa"/>
            <w:vAlign w:val="bottom"/>
          </w:tcPr>
          <w:p>
            <w:pPr>
              <w:spacing w:after="0"/>
              <w:rPr>
                <w:sz w:val="18"/>
                <w:szCs w:val="18"/>
                <w:color w:val="auto"/>
              </w:rPr>
            </w:pPr>
          </w:p>
        </w:tc>
        <w:tc>
          <w:tcPr>
            <w:tcW w:w="24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Scott</w:t>
            </w:r>
          </w:p>
        </w:tc>
        <w:tc>
          <w:tcPr>
            <w:tcW w:w="5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Peterson</w:t>
            </w:r>
          </w:p>
        </w:tc>
      </w:tr>
      <w:tr>
        <w:trPr>
          <w:trHeight w:val="216"/>
        </w:trPr>
        <w:tc>
          <w:tcPr>
            <w:tcW w:w="3500" w:type="dxa"/>
            <w:vAlign w:val="bottom"/>
          </w:tcPr>
          <w:p>
            <w:pPr>
              <w:spacing w:after="0"/>
              <w:rPr>
                <w:sz w:val="18"/>
                <w:szCs w:val="18"/>
                <w:color w:val="auto"/>
              </w:rPr>
            </w:pPr>
          </w:p>
        </w:tc>
        <w:tc>
          <w:tcPr>
            <w:tcW w:w="79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16"/>
        </w:trPr>
        <w:tc>
          <w:tcPr>
            <w:tcW w:w="3500" w:type="dxa"/>
            <w:vAlign w:val="bottom"/>
          </w:tcPr>
          <w:p>
            <w:pPr>
              <w:spacing w:after="0"/>
              <w:rPr>
                <w:sz w:val="18"/>
                <w:szCs w:val="18"/>
                <w:color w:val="auto"/>
              </w:rPr>
            </w:pPr>
          </w:p>
        </w:tc>
        <w:tc>
          <w:tcPr>
            <w:tcW w:w="79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3500" w:type="dxa"/>
            <w:vAlign w:val="bottom"/>
          </w:tcPr>
          <w:p>
            <w:pPr>
              <w:spacing w:after="0"/>
              <w:rPr>
                <w:sz w:val="19"/>
                <w:szCs w:val="19"/>
                <w:color w:val="auto"/>
              </w:rPr>
            </w:pPr>
          </w:p>
        </w:tc>
        <w:tc>
          <w:tcPr>
            <w:tcW w:w="79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65"/>
        </w:trPr>
        <w:tc>
          <w:tcPr>
            <w:tcW w:w="3500" w:type="dxa"/>
            <w:vAlign w:val="bottom"/>
          </w:tcPr>
          <w:p>
            <w:pPr>
              <w:spacing w:after="0"/>
              <w:rPr>
                <w:sz w:val="24"/>
                <w:szCs w:val="24"/>
                <w:color w:val="auto"/>
              </w:rPr>
            </w:pPr>
          </w:p>
        </w:tc>
        <w:tc>
          <w:tcPr>
            <w:tcW w:w="24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24</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2013 AMENDED AND RESTATED AGREEMENT OF LEASE</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THIS 2013 AMENDED AND RESTATED AGREEMENT OF LEASE (this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is made as of the 7</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May, 2013, by and between Wynn Las Vegas, LLC, a Nevada limited liability company, having its principal place of business at 3131 Las Vegas Boulevard South, Las Vegas, Nevada 89109, Attention: Legal Department, as lessor (“</w:t>
      </w:r>
      <w:r>
        <w:rPr>
          <w:rFonts w:ascii="Times New Roman" w:cs="Times New Roman" w:eastAsia="Times New Roman" w:hAnsi="Times New Roman"/>
          <w:sz w:val="18"/>
          <w:szCs w:val="18"/>
          <w:u w:val="single" w:color="auto"/>
          <w:color w:val="auto"/>
        </w:rPr>
        <w:t>Lessor</w:t>
      </w:r>
      <w:r>
        <w:rPr>
          <w:rFonts w:ascii="Times New Roman" w:cs="Times New Roman" w:eastAsia="Times New Roman" w:hAnsi="Times New Roman"/>
          <w:sz w:val="18"/>
          <w:szCs w:val="18"/>
          <w:color w:val="auto"/>
        </w:rPr>
        <w:t>”), and Stephen A. Wynn, an individual, having his current residence at 3131 Las Vegas Boulevard South, Las Vegas, Nevada 89109, as lessee (“</w:t>
      </w:r>
      <w:r>
        <w:rPr>
          <w:rFonts w:ascii="Times New Roman" w:cs="Times New Roman" w:eastAsia="Times New Roman" w:hAnsi="Times New Roman"/>
          <w:sz w:val="18"/>
          <w:szCs w:val="18"/>
          <w:u w:val="single" w:color="auto"/>
          <w:color w:val="auto"/>
        </w:rPr>
        <w:t>Lessee</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7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 Lessor is a wholly-owned subsidiary of Wynn Resorts, Limited, and the developer, owner and operator of the world-class luxury casino and resort hotel located at 3131 Las Vegas Boulevard South, Las Vegas, Nevada, commonly known as Wynn Las Vegas (the “</w:t>
      </w:r>
      <w:r>
        <w:rPr>
          <w:rFonts w:ascii="Times New Roman" w:cs="Times New Roman" w:eastAsia="Times New Roman" w:hAnsi="Times New Roman"/>
          <w:sz w:val="18"/>
          <w:szCs w:val="18"/>
          <w:u w:val="single" w:color="auto"/>
          <w:color w:val="auto"/>
        </w:rPr>
        <w:t>Resort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Lessee is a principal shareholder, Chairman of the Board of Directors and Chief Executive Officer of Wynn Resorts, Limited.</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 Lessor and Lessee believe it is in Lessor’s best interests for Lessee to live in the Resort and that Lessee pay fair market value for his accommodations as set forth herein.</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D. The Parties have entered into an Amended and Restated Agreement of Lease, dated as of March 1, 2010, amended by that certain First Amendment to Amended and Restated Agreement to Lease, dated April 9, 2012, (collectively referred to herein as the “</w:t>
      </w:r>
      <w:r>
        <w:rPr>
          <w:rFonts w:ascii="Times New Roman" w:cs="Times New Roman" w:eastAsia="Times New Roman" w:hAnsi="Times New Roman"/>
          <w:sz w:val="18"/>
          <w:szCs w:val="18"/>
          <w:u w:val="single" w:color="auto"/>
          <w:color w:val="auto"/>
        </w:rPr>
        <w:t>Existing Lease</w:t>
      </w:r>
      <w:r>
        <w:rPr>
          <w:rFonts w:ascii="Times New Roman" w:cs="Times New Roman" w:eastAsia="Times New Roman" w:hAnsi="Times New Roman"/>
          <w:sz w:val="18"/>
          <w:szCs w:val="18"/>
          <w:color w:val="auto"/>
        </w:rPr>
        <w:t>”), under which Lessee leases luxury villas in the Resort.</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E. The Parties desire to amend and restate the Existing Lease in its entirety to set forth their agreements with respect to Lessee’s lease of luxury villas in the Resort.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it is agreed as follows:</w:t>
      </w:r>
    </w:p>
    <w:p>
      <w:pPr>
        <w:spacing w:after="0" w:line="171" w:lineRule="exact"/>
        <w:rPr>
          <w:sz w:val="20"/>
          <w:szCs w:val="20"/>
          <w:color w:val="auto"/>
        </w:rPr>
      </w:pPr>
    </w:p>
    <w:p>
      <w:pPr>
        <w:ind w:right="60" w:firstLine="464"/>
        <w:spacing w:after="0" w:line="262" w:lineRule="auto"/>
        <w:tabs>
          <w:tab w:leader="none" w:pos="6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Demise</w:t>
      </w:r>
      <w:r>
        <w:rPr>
          <w:rFonts w:ascii="Times New Roman" w:cs="Times New Roman" w:eastAsia="Times New Roman" w:hAnsi="Times New Roman"/>
          <w:sz w:val="18"/>
          <w:szCs w:val="18"/>
          <w:color w:val="auto"/>
        </w:rPr>
        <w:t>. Subject to the terms and conditions that follow, Lessor leases to Lessee, and Lessee leases from Lessor, three (3) luxury villas located in the Resort known as Fairway Villa Unit No. ***, Fairway Villa Unit No. *** and Fairway Villa Unit No. ***, with a combined total square footage of approximately 9,745 square feet, as currently improved, including all furniture and furnishings contained therein (collectively, the “</w:t>
      </w:r>
      <w:r>
        <w:rPr>
          <w:rFonts w:ascii="Times New Roman" w:cs="Times New Roman" w:eastAsia="Times New Roman" w:hAnsi="Times New Roman"/>
          <w:sz w:val="18"/>
          <w:szCs w:val="18"/>
          <w:u w:val="single" w:color="auto"/>
          <w:color w:val="auto"/>
        </w:rPr>
        <w:t>Villas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right="20" w:firstLine="464"/>
        <w:spacing w:after="0" w:line="275" w:lineRule="auto"/>
        <w:tabs>
          <w:tab w:leader="none" w:pos="6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Lease shall run concurrent with the term of Lessee’s Employment Agreement with Wynn Resorts, Limited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provided that, either party may terminate the Lease upon ninety (90) days prior written notice to the other.</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Rental Value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460" w:right="480" w:firstLine="443"/>
        <w:spacing w:after="0" w:line="275" w:lineRule="auto"/>
        <w:tabs>
          <w:tab w:leader="none" w:pos="11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rental value for the Villas (the “</w:t>
      </w:r>
      <w:r>
        <w:rPr>
          <w:rFonts w:ascii="Times New Roman" w:cs="Times New Roman" w:eastAsia="Times New Roman" w:hAnsi="Times New Roman"/>
          <w:sz w:val="18"/>
          <w:szCs w:val="18"/>
          <w:u w:val="single" w:color="auto"/>
          <w:color w:val="auto"/>
        </w:rPr>
        <w:t>Rental Value</w:t>
      </w:r>
      <w:r>
        <w:rPr>
          <w:rFonts w:ascii="Times New Roman" w:cs="Times New Roman" w:eastAsia="Times New Roman" w:hAnsi="Times New Roman"/>
          <w:sz w:val="18"/>
          <w:szCs w:val="18"/>
          <w:color w:val="auto"/>
        </w:rPr>
        <w:t>”) shall be treated as imputed income to Lessee. The Rental Value shall be equal to the fair market value of the accommodations provided. The Rental Value shall be included on Lessee’s IRS form W-2 as part of his base income.</w:t>
      </w:r>
    </w:p>
    <w:p>
      <w:pPr>
        <w:spacing w:after="0" w:line="38" w:lineRule="exact"/>
        <w:rPr>
          <w:rFonts w:ascii="Times New Roman" w:cs="Times New Roman" w:eastAsia="Times New Roman" w:hAnsi="Times New Roman"/>
          <w:sz w:val="18"/>
          <w:szCs w:val="18"/>
          <w:color w:val="auto"/>
        </w:rPr>
      </w:pPr>
    </w:p>
    <w:p>
      <w:pPr>
        <w:ind w:left="460" w:right="360" w:firstLine="443"/>
        <w:spacing w:after="0" w:line="334" w:lineRule="auto"/>
        <w:tabs>
          <w:tab w:leader="none" w:pos="1147"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December 29, 2012, and ending on February 28, 2015, the Rental Value for the Villas shall be Five Hundred and Twenty-Five Thousand Dollars ($525,000.00) per year as established by the independent appraisal of Newmark Grubb Knight Frank, dated March 25, 2013.</w:t>
      </w:r>
    </w:p>
    <w:p>
      <w:pPr>
        <w:spacing w:after="0" w:line="1" w:lineRule="exact"/>
        <w:rPr>
          <w:rFonts w:ascii="Times New Roman" w:cs="Times New Roman" w:eastAsia="Times New Roman" w:hAnsi="Times New Roman"/>
          <w:sz w:val="16"/>
          <w:szCs w:val="16"/>
          <w:color w:val="auto"/>
        </w:rPr>
      </w:pPr>
    </w:p>
    <w:p>
      <w:pPr>
        <w:ind w:left="460" w:right="140" w:firstLine="443"/>
        <w:spacing w:after="0" w:line="262" w:lineRule="auto"/>
        <w:tabs>
          <w:tab w:leader="none" w:pos="11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Rental Value of the Villas shall be re-determined every two (2) years during the Term, commencing March 1, 2015, based upon an appraisal completed by an independent real estate appraiser practicing in the greater Las Vegas area or other qualified independent expert approved by the Audit Committee.</w:t>
      </w:r>
    </w:p>
    <w:p>
      <w:pPr>
        <w:sectPr>
          <w:pgSz w:w="11900" w:h="16838" w:orient="portrait"/>
          <w:cols w:equalWidth="0" w:num="1">
            <w:col w:w="11420"/>
          </w:cols>
          <w:pgMar w:left="240" w:top="123" w:right="239" w:bottom="1440" w:gutter="0" w:footer="0" w:header="0"/>
        </w:sectPr>
      </w:pPr>
    </w:p>
    <w:bookmarkStart w:id="25" w:name="page26"/>
    <w:bookmarkEnd w:id="25"/>
    <w:p>
      <w:pPr>
        <w:ind w:left="460" w:right="180" w:firstLine="443"/>
        <w:spacing w:after="0" w:line="258" w:lineRule="auto"/>
        <w:tabs>
          <w:tab w:leader="none" w:pos="11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the intention of the parties that Lessee be deemed a “permanent resident” of the Resort for the purpose of exempting the rental of the Villas hereunder from the transient lodging tax imposed by state and local law in Clark County, Nevada. Lessor agrees to dispute the imposition or attempted imposition of any transient lodging tax on Lessee’s rental of the Villas. Lessee agrees, however, to pay any transient lodging tax that ultimately may be imposed on his rental of the Villas, notwithstanding the parties’ intention or any unsuccessful dispute initiated by Lessor.</w:t>
      </w:r>
    </w:p>
    <w:p>
      <w:pPr>
        <w:spacing w:after="0" w:line="55" w:lineRule="exact"/>
        <w:rPr>
          <w:rFonts w:ascii="Times New Roman" w:cs="Times New Roman" w:eastAsia="Times New Roman" w:hAnsi="Times New Roman"/>
          <w:sz w:val="18"/>
          <w:szCs w:val="18"/>
          <w:color w:val="auto"/>
        </w:rPr>
      </w:pPr>
    </w:p>
    <w:p>
      <w:pPr>
        <w:ind w:left="460" w:right="620" w:firstLine="443"/>
        <w:spacing w:after="0" w:line="275" w:lineRule="auto"/>
        <w:tabs>
          <w:tab w:leader="none" w:pos="11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further agree that the provisions of Chapter 651 of the Nevada Revised Statutes, regarding the posting of daily room rates, the maintenance of a registration card, and the furnishing of rental receipts, shall not apply to this Lease.</w:t>
      </w:r>
    </w:p>
    <w:p>
      <w:pPr>
        <w:spacing w:after="0" w:line="119" w:lineRule="exact"/>
        <w:rPr>
          <w:rFonts w:ascii="Times New Roman" w:cs="Times New Roman" w:eastAsia="Times New Roman" w:hAnsi="Times New Roman"/>
          <w:sz w:val="18"/>
          <w:szCs w:val="18"/>
          <w:color w:val="auto"/>
        </w:rPr>
      </w:pPr>
    </w:p>
    <w:p>
      <w:pPr>
        <w:ind w:right="60" w:firstLine="464"/>
        <w:spacing w:after="0" w:line="254" w:lineRule="auto"/>
        <w:tabs>
          <w:tab w:leader="none" w:pos="6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and Services</w:t>
      </w:r>
      <w:r>
        <w:rPr>
          <w:rFonts w:ascii="Times New Roman" w:cs="Times New Roman" w:eastAsia="Times New Roman" w:hAnsi="Times New Roman"/>
          <w:sz w:val="18"/>
          <w:szCs w:val="18"/>
          <w:color w:val="auto"/>
        </w:rPr>
        <w:t xml:space="preserve">. Lessor shall maintain the Villas and provide all services and utilities with respect thereto in a manner consistent with the Resort’s standards;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Lessor shall only be obligated to provide maid service in the Villas on Saturdays and Sundays of each week during the Term. Lessee shall be responsible to arrange and pay for maid service in the Villas from Monday through Friday of each week during the Term. Lessee shall also be permitted to use certain warehouse space owned by Lessor as part of Lessee’s rental of the Villas. All taxes and utilities with respect to the Villas, other than personal long distance telephone charges and taxes associated with the maid service arranged by the Lessee, shall be paid by Lessor and deemed included in the Rental Value of the Villas described in Section 3 above. Lessee shall be responsible for payment of all personal long distance telephone charges, which shall be billed to him separately by the Resort in accordance with its customary practices.</w:t>
      </w:r>
    </w:p>
    <w:p>
      <w:pPr>
        <w:spacing w:after="0" w:line="141" w:lineRule="exact"/>
        <w:rPr>
          <w:rFonts w:ascii="Times New Roman" w:cs="Times New Roman" w:eastAsia="Times New Roman" w:hAnsi="Times New Roman"/>
          <w:sz w:val="18"/>
          <w:szCs w:val="18"/>
          <w:color w:val="auto"/>
        </w:rPr>
      </w:pPr>
    </w:p>
    <w:p>
      <w:pPr>
        <w:ind w:right="300" w:firstLine="464"/>
        <w:spacing w:after="0" w:line="339" w:lineRule="auto"/>
        <w:tabs>
          <w:tab w:leader="none" w:pos="63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Alterations</w:t>
      </w:r>
      <w:r>
        <w:rPr>
          <w:rFonts w:ascii="Times New Roman" w:cs="Times New Roman" w:eastAsia="Times New Roman" w:hAnsi="Times New Roman"/>
          <w:sz w:val="16"/>
          <w:szCs w:val="16"/>
          <w:color w:val="auto"/>
        </w:rPr>
        <w:t>. Lessee shall not make any alterations to the Villas without the approval of the Audit Committee. All alterations to the Villas shall remain upon the premises and become the property of Lessor. Upon termination of this Lease, Lessee shall remove all of his personal property and vacate the Villas.</w:t>
      </w:r>
    </w:p>
    <w:p>
      <w:pPr>
        <w:spacing w:after="0" w:line="74" w:lineRule="exact"/>
        <w:rPr>
          <w:rFonts w:ascii="Times New Roman" w:cs="Times New Roman" w:eastAsia="Times New Roman" w:hAnsi="Times New Roman"/>
          <w:sz w:val="16"/>
          <w:szCs w:val="16"/>
          <w:color w:val="auto"/>
        </w:rPr>
      </w:pPr>
    </w:p>
    <w:p>
      <w:pPr>
        <w:ind w:left="640" w:hanging="17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or Subletting</w:t>
      </w:r>
      <w:r>
        <w:rPr>
          <w:rFonts w:ascii="Times New Roman" w:cs="Times New Roman" w:eastAsia="Times New Roman" w:hAnsi="Times New Roman"/>
          <w:sz w:val="18"/>
          <w:szCs w:val="18"/>
          <w:color w:val="auto"/>
        </w:rPr>
        <w:t>. Lessee shall have no right to assign his interest in this Lease or to sublet all or any portion of the Villas for any period.</w:t>
      </w:r>
    </w:p>
    <w:p>
      <w:pPr>
        <w:spacing w:after="0" w:line="17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Existing Lease</w:t>
      </w:r>
      <w:r>
        <w:rPr>
          <w:rFonts w:ascii="Times New Roman" w:cs="Times New Roman" w:eastAsia="Times New Roman" w:hAnsi="Times New Roman"/>
          <w:sz w:val="18"/>
          <w:szCs w:val="18"/>
          <w:color w:val="auto"/>
        </w:rPr>
        <w:t>. Effective as the date of this Lease, the Existing Lease is terminated in its entirety and of no further force or effect.</w:t>
      </w:r>
    </w:p>
    <w:p>
      <w:pPr>
        <w:spacing w:after="0" w:line="171"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the parties have executed this Lease as of the day and year first written above. This Lease is subject to and shall become effective only upon approval by the Audit Committee.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Maurice Wooden</w:t>
            </w:r>
          </w:p>
        </w:tc>
        <w:tc>
          <w:tcPr>
            <w:tcW w:w="80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21"/>
        </w:trPr>
        <w:tc>
          <w:tcPr>
            <w:tcW w:w="200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20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Maurice Wooden</w:t>
            </w:r>
          </w:p>
        </w:tc>
        <w:tc>
          <w:tcPr>
            <w:tcW w:w="8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65"/>
        </w:trPr>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 – 14(a) and Rule 15d – 14(a)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Maurice Wooden,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Las Vegas, LLC;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2013</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6985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Maurice Wooden</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 – 14(a) and Rule 15d – 14(a)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Peterson, certify that:</w:t>
      </w:r>
    </w:p>
    <w:p>
      <w:pPr>
        <w:spacing w:after="0" w:line="90"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Las Vegas, LLC;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2013</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6985</wp:posOffset>
            </wp:positionV>
            <wp:extent cx="3550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Scott Peterson</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420"/>
          </w:cols>
          <w:pgMar w:left="240" w:top="123"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Las Vegas, LLC (the “Company”) for the quarter ended March 31, 2013 as filed with the Securities and Exchange Commission on the date hereof (the “Report”), Maurice Wooden, as President of the Company and Scott Peterson, as Chief Financial Officer of the Company, each hereby certifies, pursuant to 18 U.S.C. Section 1350, as adopted pursuant to Section 906 of the Sarbanes-Oxley Act of 2002, that, to the best of their knowledge:</w:t>
      </w:r>
    </w:p>
    <w:p>
      <w:pPr>
        <w:spacing w:after="0" w:line="55"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Maurice Wooden</w:t>
      </w:r>
    </w:p>
    <w:p>
      <w:pPr>
        <w:spacing w:after="0" w:line="2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6"/>
          <w:szCs w:val="16"/>
          <w:color w:val="auto"/>
        </w:rPr>
        <w:t>May 10, 2013</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Scott Peterson</w:t>
      </w:r>
    </w:p>
    <w:p>
      <w:pPr>
        <w:spacing w:after="0" w:line="2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Senior Vice President and Chief Financial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6"/>
          <w:szCs w:val="16"/>
          <w:color w:val="auto"/>
        </w:rPr>
        <w:t>May 10, 2013</w:t>
      </w:r>
    </w:p>
    <w:p>
      <w:pPr>
        <w:spacing w:after="0" w:line="159"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4"/>
    </w:lvl>
  </w:abstractNum>
  <w:abstractNum w:abstractNumId="21">
    <w:nsid w:val="6763845E"/>
    <w:multiLevelType w:val="hybridMultilevel"/>
    <w:lvl w:ilvl="0">
      <w:lvlJc w:val="left"/>
      <w:lvlText w:val="%1."/>
      <w:numFmt w:val="decimal"/>
      <w:start w:val="4"/>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2019-12-07T04:39:09Z</dcterms:created>
  <dcterms:modified xsi:type="dcterms:W3CDTF">2019-12-07T04:39:09Z</dcterms:modified>
</cp:coreProperties>
</file>