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2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40"/>
          </w:cols>
          <w:pgMar w:left="240" w:top="230" w:right="319" w:bottom="1440" w:gutter="0" w:footer="0" w:header="0"/>
        </w:sectPr>
      </w:pPr>
    </w:p>
    <w:p>
      <w:pPr>
        <w:spacing w:after="0" w:line="41"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6000" w:space="580"/>
            <w:col w:w="4760"/>
          </w:cols>
          <w:pgMar w:left="240" w:top="230"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Commission File No. 000-50028</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40"/>
          </w:cols>
          <w:pgMar w:left="240" w:top="230" w:right="319" w:bottom="1440" w:gutter="0" w:footer="0" w:header="0"/>
          <w:type w:val="continuous"/>
        </w:sectPr>
      </w:pPr>
    </w:p>
    <w:p>
      <w:pPr>
        <w:spacing w:after="0" w:line="54"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7" w:lineRule="exact"/>
        <w:rPr>
          <w:sz w:val="24"/>
          <w:szCs w:val="24"/>
          <w:color w:val="auto"/>
        </w:rPr>
      </w:pPr>
    </w:p>
    <w:p>
      <w:pPr>
        <w:sectPr>
          <w:pgSz w:w="11900" w:h="16838" w:orient="portrait"/>
          <w:cols w:equalWidth="0" w:num="2">
            <w:col w:w="7540" w:space="720"/>
            <w:col w:w="3080"/>
          </w:cols>
          <w:pgMar w:left="240" w:top="230" w:right="319" w:bottom="1440" w:gutter="0" w:footer="0" w:header="0"/>
          <w:type w:val="continuous"/>
        </w:sectPr>
      </w:pPr>
    </w:p>
    <w:p>
      <w:pPr>
        <w:spacing w:after="0" w:line="9"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4"/>
          <w:szCs w:val="14"/>
          <w:b w:val="1"/>
          <w:bCs w:val="1"/>
          <w:color w:val="auto"/>
        </w:rPr>
        <w:t>(I.R.S. Employer</w:t>
      </w:r>
    </w:p>
    <w:p>
      <w:pPr>
        <w:jc w:val="center"/>
        <w:ind w:right="1980"/>
        <w:spacing w:after="0"/>
        <w:rPr>
          <w:sz w:val="20"/>
          <w:szCs w:val="20"/>
          <w:color w:val="auto"/>
        </w:rPr>
      </w:pPr>
      <w:r>
        <w:rPr>
          <w:rFonts w:ascii="Arial" w:cs="Arial" w:eastAsia="Arial" w:hAnsi="Arial"/>
          <w:sz w:val="12"/>
          <w:szCs w:val="12"/>
          <w:b w:val="1"/>
          <w:bCs w:val="1"/>
          <w:color w:val="auto"/>
        </w:rPr>
        <w:t>Identification Number)</w:t>
      </w:r>
    </w:p>
    <w:p>
      <w:pPr>
        <w:spacing w:after="0" w:line="76" w:lineRule="exact"/>
        <w:rPr>
          <w:sz w:val="24"/>
          <w:szCs w:val="24"/>
          <w:color w:val="auto"/>
        </w:rPr>
      </w:pPr>
    </w:p>
    <w:p>
      <w:pPr>
        <w:sectPr>
          <w:pgSz w:w="11900" w:h="16838" w:orient="portrait"/>
          <w:cols w:equalWidth="0" w:num="2">
            <w:col w:w="7300" w:space="720"/>
            <w:col w:w="3320"/>
          </w:cols>
          <w:pgMar w:left="240" w:top="230" w:right="31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3131 Las Vegas Boulevard South—Las Vegas, Nevada 89109</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340"/>
          </w:cols>
          <w:pgMar w:left="240" w:top="230" w:right="319" w:bottom="1440" w:gutter="0" w:footer="0" w:header="0"/>
          <w:type w:val="continuous"/>
        </w:sectPr>
      </w:pPr>
    </w:p>
    <w:p>
      <w:pPr>
        <w:spacing w:after="0" w:line="9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700" w:space="180"/>
            <w:col w:w="260" w:space="80"/>
            <w:col w:w="160" w:space="180"/>
            <w:col w:w="220" w:space="80"/>
            <w:col w:w="1480"/>
          </w:cols>
          <w:pgMar w:left="240" w:top="230" w:right="31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860" w:space="160"/>
            <w:col w:w="260" w:space="80"/>
            <w:col w:w="160" w:space="180"/>
            <w:col w:w="220" w:space="80"/>
            <w:col w:w="1340"/>
          </w:cols>
          <w:pgMar w:left="240" w:top="230" w:right="319" w:bottom="1440" w:gutter="0" w:footer="0" w:header="0"/>
          <w:type w:val="continuous"/>
        </w:sect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340"/>
          </w:cols>
          <w:pgMar w:left="240" w:top="230" w:right="319" w:bottom="1440" w:gutter="0" w:footer="0" w:header="0"/>
          <w:type w:val="continuous"/>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6">
            <w:col w:w="2040" w:space="180"/>
            <w:col w:w="2140" w:space="720"/>
            <w:col w:w="1180" w:space="160"/>
            <w:col w:w="2000" w:space="720"/>
            <w:col w:w="1480" w:space="180"/>
            <w:col w:w="540"/>
          </w:cols>
          <w:pgMar w:left="240" w:top="230" w:right="31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9" w:lineRule="exact"/>
        <w:rPr>
          <w:sz w:val="24"/>
          <w:szCs w:val="24"/>
          <w:color w:val="auto"/>
        </w:rPr>
      </w:pPr>
    </w:p>
    <w:p>
      <w:pPr>
        <w:sectPr>
          <w:pgSz w:w="11900" w:h="16838" w:orient="portrait"/>
          <w:cols w:equalWidth="0" w:num="5">
            <w:col w:w="8440" w:space="160"/>
            <w:col w:w="260" w:space="100"/>
            <w:col w:w="140" w:space="200"/>
            <w:col w:w="200" w:space="100"/>
            <w:col w:w="1740"/>
          </w:cols>
          <w:pgMar w:left="240" w:top="230" w:right="319" w:bottom="1440" w:gutter="0" w:footer="0" w:header="0"/>
          <w:type w:val="continuous"/>
        </w:sectPr>
      </w:pPr>
    </w:p>
    <w:p>
      <w:pPr>
        <w:ind w:right="260" w:firstLine="456"/>
        <w:spacing w:after="0" w:line="268"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Stock Market on June 30, 2006 was approximately $3.7 billion.</w:t>
      </w:r>
    </w:p>
    <w:p>
      <w:pPr>
        <w:spacing w:after="0" w:line="5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16, 2007, 101,893,781 shares of the registrant’s Common Stock, $.01 par value, were outstanding.</w:t>
      </w:r>
    </w:p>
    <w:p>
      <w:pPr>
        <w:spacing w:after="0" w:line="90"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Portions of the registrant’s Proxy Statement for its 2007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Wynn Resorts, Limited, led by Chairman and Chief Executive Officer, Stephen A. Wynn, is a leading developer, owner and operator of destination casino resorts. We own and operate two destination casino resorts: “Wynn Las Vegas,” on the “Strip” in Las Vegas, Nevada, and “Wynn Macau,” located in the Macau Special Administrative Region of the People’s Republic of China (“Macau”). We are also currently constructing “Encore at Wynn Las Vegas” (“Encore”) and we continue to develop and construct the second phase of Wynn Macau.</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Unless the context otherwise requires, all references herein to “Wynn Resorts,” the “Company,” “we,” “us” or “our,” or similar terms, refer to Wynn Resorts, Limited and its consolidated subsidiaries or, with respect to periods prior to September 24, 2002, to Valvino Lamore, LLC (“Valvino”) and its consolidated subsidiaries, as the predecessor company of Wynn Resorts.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Resorts has previously filed registration statements and other documents with the Securities and Exchange Commission (“SEC”). Any document Wynn Resorts files may be inspected, without charge, at the SEC’s public reference room at 450 Fifth Street, N.W. Washington, D.C. 20549 or at the SEC’s internet site address at http://www.sec.gov. Information related to the operation of the SEC’s public reference room may be obtained by calling the SEC at 1-800-SEC-0330. In addition, through its own internet address at www.wynnresorts.com, Wynn Resorts provides a hyperlink to a third-party SEC filing website which posts these filings as soon as reasonably practicable, where they can be reviewed without charge.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Wynn Las Vegas opened to the public on April 28, 2005. The resort’s accommodations, amenities and exceptional service have allowed us to attract and retain high quality customers. Wynn Las Vegas offers 2,716 rooms and suites, including 36 fairway villas and 6 private-entry villas for our premium guests. In November 2006, the Tower Suites at Wynn Las Vegas became the only casino resort in the world to receive both the Mobil five star and AAA five diamond distinctions. The approximately 111,000 square foot casino features 132 table games, a baccarat salon, private VIP gaming rooms, a poker room, 1,974 slot machines, and a race and sports book. The resort’s 22 food and beverage outlets feature six fine dining restaurants, including restaurants helmed by award winning chefs. Wynn Las Vegas also offers a nightclub, an ultra-lounge, a spa and salon, a Ferrari and Maserati automobile dealership, wedding chapels, an 18-hole golf course, approximately 223,000 square feet of meeting space and an approximately 74,000 square foot retail promenade featuring boutiques from Chanel, Christian Dior, Graff, Manolo Blahnik, Jean-Paul Gaultier and Louis Vuitton. Wynn Las Vegas also has two showrooms. The Wynn Theater features “Le Rêve,” a water-based production. The Broadway Theater was recently remodeled to feature “Monty Python’s Spamalot,” winner of the 2005 Tony Award for best musical. Performances of Spamalot will commence in the first quarter of 2007. We believe that the unique experience of Wynn Las Vegas drives the significant visitation experienced since opening. During the year ended December 31, 2006, our average occupancy was 94.4% and our average daily room rate was $287, which compares favorably to the overall 89.7% average occupancy and $120 average daily room rate of Las Vegas. Since its opening, we have further enhanced and refined Wynn Las Vegas in response to market demands and customer preferences.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Wynn Macau opened to the public on September 6, 2006. This first phase of Wynn Macau utilizes approximately 11 of a total site area of 16 acres of land. When it opened, Wynn Macau featured approximately 600 hotel rooms and suites, approximately 220 table games and approximately 380 slot machines in</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approximately 100,000 square feet of casino gaming space, seven restaurants, approximately 26,000 square feet of retail space, a spa and salon, entertainment lounges and meeting facilities. The second phase is being constructed on the remaining 5 acres of the Wynn Macau site and is being integrated into the first phase. In February 2007, we added additional table games and slot machines bringing the current total to approximately 256 table games and approximately 477 slot machines in an approximately 110,000 square foot casino. In July 2007, we anticipate opening the expansion which will bring the table count to approximately 420 and slot machine to approximately 1,280 in total. During the year ended December 31, 2006, our occupancy was 80.6% which compares favorably to the overall occupancy rate in Macau of 72.3% and our average daily room rate was $238. Since its opening, we have enhanced, and will continue to refine, Wynn Macau in response to market demands and customer preferences.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Wynn Las Vegas opened on April 28, 2005. Wynn Las Vegas was constructed at a total cost of approximately $2.74 billion. This includes the purchase of 235 acres of land (including the land for Encore) and buildings formerly comprising the Desert Inn, additional land for employee parking, costs of design and construction, financing fees, interest and other pre-opening costs.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In the ordinary course of our business and in order to increase revenues, we have made and continue to make certain enhancements and refinements to Wynn Las Vegas. Since opening we have remodeled the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Tryst,</w:t>
      </w:r>
      <w:r>
        <w:rPr>
          <w:rFonts w:ascii="Arial" w:cs="Arial" w:eastAsia="Arial" w:hAnsi="Arial"/>
          <w:sz w:val="16"/>
          <w:szCs w:val="16"/>
          <w:color w:val="auto"/>
        </w:rPr>
        <w:t xml:space="preserve"> our nightclub, several areas of the retail promenade, a portion of the baccarat area to feature a casino bar and improved public baccarat space along with private baccarat salons, converted the Keno lounge to a retail outlet for women’s accessories, and remodeled our ladies’ shoe boutique in the retail esplanade. In March 2007, we intend to remodel the Le Reve Theatre, decreasing the seat count from 2,087 to 1,606 and further enhancing the guest experience. We expect the remodel effort to last approximately 30 days during which time there will be no performances of Le Reve. We have incurred and will continue to incur capital expenditures related to these types of enhancements and refinements at Wynn Las Vegas.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As a result of the strong demand for the amenities and services offered by Wynn Las Vegas, the continued strength of the Las Vegas market, and our desire to maximize the potential of our substantial real estate assets, we are developing Encore on approximately 20 acres on the Strip, immediately adjacent to Wynn Las Vegas. Current plans for Encore include a 2,034 all-suite hotel tower fully integrated with Wynn Las Vegas, as well as an approximately 72,000 square foot casino, additional convention and meeting space, as well as restaurants, nightclubs, swimming pools, a spa and salon and retail outlets. We continue to refine the final design of Encore. We commenced construction of Encore in the second quarter of 2006 and expect to open Encore to the public by early 2009.</w:t>
      </w:r>
    </w:p>
    <w:p>
      <w:pPr>
        <w:spacing w:after="0" w:line="10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$2.0 billion for Encore and approximately $100 million for an employee parking garage on our Koval property, an associated pedestrian bridge and costs incurred in connection with the theatre remodeling and production of “Monty Python’s Spamalot” at Wynn Las Vegas. The budget has increased from the previously announced $1.74 billion due to refinements in scope and market conditions for construction materials. The project budget will be funded from our existing credit facilities, remaining proceeds from the first mortgage notes and operating cash flow from Wynn Las Vegas. To the extent additional funds are required, we will provide these amounts with additional debt and equity contributions by Wynn Resorts. On March 31, 2006, Wynn Resorts delivered an equity commitment to its bank lenders under which Wynn Resorts is obligated to pay project costs if Wynn Las Vegas is unable to. As of August 2006, Wynn Resorts’ obligation under the equity commitment was $70 million. As of December 31, 2006, the Company had incurred approximately $277.6 million of project costs related to the development and construction of Encore and related capital improvements.</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w:t>
      </w:r>
    </w:p>
    <w:p>
      <w:pPr>
        <w:spacing w:after="0" w:line="1" w:lineRule="exact"/>
        <w:rPr>
          <w:sz w:val="20"/>
          <w:szCs w:val="20"/>
          <w:color w:val="auto"/>
        </w:rPr>
      </w:pPr>
    </w:p>
    <w:p>
      <w:pPr>
        <w:ind w:firstLine="8"/>
        <w:spacing w:after="0" w:line="254"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Wynn Macau opened on September 6, 2006. Construction on the second phase is progressing as planned and is expected to open in the third quarter of 2007. This second phase includes approximately 123,000 square feet of additional gaming space, a dramatic front feature attraction, a theater showroom and additional food, beverage and retail amenities. As of December 31, 2006, we have incurred approximately $877.1 million of a total project budget (excluding Wynn Diamond Suites) of approximately $1.2 billion. In addition, we continue to develop the plans and budget for Wynn Diamond Suites, a further expansion of Wynn Macau, which was first announced in November 2006. This further expansion is expected to add a second self-contained, fully-integrated all-suite resort hotel including food and beverage, retail and entertainment amenities.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 Opportunities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submitted an application to the government of Macau for a concession of land in Cotai. We recently reconfigured our site plan for 52 acres and are awaiting final approval. We continually seek out new opportunities for additional gaming or related businesses, in Las Vegas, other markets in the United States, and worldwide.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Capitalize on the “Wynn” Brand. </w:t>
      </w:r>
      <w:r>
        <w:rPr>
          <w:rFonts w:ascii="Arial" w:cs="Arial" w:eastAsia="Arial" w:hAnsi="Arial"/>
          <w:sz w:val="16"/>
          <w:szCs w:val="16"/>
          <w:color w:val="auto"/>
        </w:rPr>
        <w:t>We believe Steve Wynn is the preeminent designer, developer and operator of destination casino resorts and,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has developed brand name status. Mr. Wynn’s involvement with our casino resorts provides a distinct advantage over other gaming enterprises. We integrate luxurious surroundings, upscale design, distinctive entertainment and superior amenities, including fine dining and premium retail offerings, to create resorts that appeal to a variety of customers, especially high-end customers. We believe that Wynn Las Vegas sets a new standard of luxury and elegance for destination casino resorts in Las Vegas. We also believe that Mr. Wynn’s reputation and the new standard of luxury and elegance brought to the industry by Wynn Las Vegas and Wynn Macau translate to a high level of anticipation for Encore at Wynn Las Vegas and our expansion of Wynn Macau including the Wynn Diamond Suites. We intend to extend our “Wynn” brand to other domestic and international opportunities as they arise.</w:t>
      </w:r>
    </w:p>
    <w:p>
      <w:pPr>
        <w:spacing w:after="0" w:line="118"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i w:val="1"/>
          <w:iCs w:val="1"/>
          <w:color w:val="auto"/>
        </w:rPr>
        <w:t xml:space="preserve">Attract and deliver high-quality service and amenities to high-end gaming customers. </w:t>
      </w:r>
      <w:r>
        <w:rPr>
          <w:rFonts w:ascii="Arial" w:cs="Arial" w:eastAsia="Arial" w:hAnsi="Arial"/>
          <w:sz w:val="18"/>
          <w:szCs w:val="18"/>
          <w:color w:val="auto"/>
        </w:rPr>
        <w:t>Wynn Las Vegas and Wynn Macau were designed and built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premium gaming customers. Wynn Las Vegas offers luxurious rooms and suites, high-limit tables, VIP gaming salons, exquisite fine dining</w:t>
      </w:r>
      <w:r>
        <w:rPr>
          <w:rFonts w:ascii="Arial" w:cs="Arial" w:eastAsia="Arial" w:hAnsi="Arial"/>
          <w:sz w:val="18"/>
          <w:szCs w:val="18"/>
          <w:i w:val="1"/>
          <w:iCs w:val="1"/>
          <w:color w:val="auto"/>
        </w:rPr>
        <w:t>,</w:t>
      </w:r>
      <w:r>
        <w:rPr>
          <w:rFonts w:ascii="Arial" w:cs="Arial" w:eastAsia="Arial" w:hAnsi="Arial"/>
          <w:sz w:val="18"/>
          <w:szCs w:val="18"/>
          <w:color w:val="auto"/>
        </w:rPr>
        <w:t xml:space="preserve"> premium retail shopping, distinctive entertainment and an 18-hole golf course. In November 2006, the Tower Suites at Wynn Las Vegas became the only casino resort in the world to receive both the Mobil five star and AAA five diamond distinctions. In addition, four of our Wynn Las Vegas resort’s restaurants have been recognized by AAA (including our AAA rated, 5-Diamond French restaurant, </w:t>
      </w:r>
      <w:r>
        <w:rPr>
          <w:rFonts w:ascii="Arial" w:cs="Arial" w:eastAsia="Arial" w:hAnsi="Arial"/>
          <w:sz w:val="18"/>
          <w:szCs w:val="18"/>
          <w:i w:val="1"/>
          <w:iCs w:val="1"/>
          <w:color w:val="auto"/>
        </w:rPr>
        <w:t>Alex).</w:t>
      </w:r>
      <w:r>
        <w:rPr>
          <w:rFonts w:ascii="Arial" w:cs="Arial" w:eastAsia="Arial" w:hAnsi="Arial"/>
          <w:sz w:val="18"/>
          <w:szCs w:val="18"/>
          <w:color w:val="auto"/>
        </w:rPr>
        <w:t xml:space="preserve"> Our hotel and gaming offerings are designed to meet the expectations of high-budget, premium customers.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Marketing</w:t>
      </w:r>
      <w:r>
        <w:rPr>
          <w:rFonts w:ascii="Arial" w:cs="Arial" w:eastAsia="Arial" w:hAnsi="Arial"/>
          <w:sz w:val="18"/>
          <w:szCs w:val="18"/>
          <w:color w:val="auto"/>
        </w:rPr>
        <w:t>. We have positioned Wynn Las Vegas as a full-service luxury resort and casino in the leisure, convention and tour and travel markets. We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Wynn Las Vegas directly to gaming customers using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database marketing techniques, as well as traditional incentives, such as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4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premium customers. We have marketing executives located in local offices in Tokyo, Hong Kong, Macau, Singapore, Taiwan, Vancouver and southern California, as well as independent marketing representatives in major U.S. and foreign cities.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Capitalize on our Opportunity in Macau. </w:t>
      </w:r>
      <w:r>
        <w:rPr>
          <w:rFonts w:ascii="Arial" w:cs="Arial" w:eastAsia="Arial" w:hAnsi="Arial"/>
          <w:sz w:val="18"/>
          <w:szCs w:val="18"/>
          <w:color w:val="auto"/>
        </w:rPr>
        <w:t>The government of Macau intends to transform Macau into the tourist destination of choice in Asia. The Macau</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is encouraging significant investment in new and expanded casino entertainment facilities to enhance its reputation as a casino resort destination and to attract additional tourists and lengthen stays. The Chinese government has also gradually relaxed its travel and currency restrictions, allowing mainland Chinese from certain urban centers and economically developed areas to visit Macau without joining a tour group and increasing the amount of currency that Chinese citizens are permitted to bring into Macau. We expect tourism in Macau to continue to grow as the Chinese government continues to liberalize restrictions on travel and currency movements.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positions Macau as a popular gaming destination in Asia.</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utilized our brand and significant experience in Las Vegas in providing a Steve Wynn-designed property on our 16-acre site located in Macau’s inner harbor area across from the Hotel Lisboa, Macau’s best-known casino. Our concession provides us with the ability to develop an unlimited number of casino resorts with Macau government approval, which adds significant value to our Macau opportunity.</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Future Las Vegas Expansion. </w:t>
      </w:r>
      <w:r>
        <w:rPr>
          <w:rFonts w:ascii="Arial" w:cs="Arial" w:eastAsia="Arial" w:hAnsi="Arial"/>
          <w:sz w:val="18"/>
          <w:szCs w:val="18"/>
          <w:color w:val="auto"/>
        </w:rPr>
        <w:t>Wynn Las Vegas is located on approximately 55 acres on the famed Las Vegas Strip. Our property is located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3.2 million square feet of convention space operated by the Las Vegas Convention and Visitors Authority and the expanding Venetian Casino Resort and its approximately 1.8 million square foot Sands Expo Center; diagonally across from the Mirage and the Treasure Island Hotel and Casino; directly across from the Fashion Show Mall; and across from new developments expected on the current sites of the New Frontier and the Stardust casino resorts. Encore is being developed on 20 acres of land adjacent to Wynn Las Vegas. We also have an approximately 142-acre parcel of land behind Wynn Las Vegas, which is currently used as a golf course. In addition, we have approximately 18 acres of land across Sands Avenue on a portion of which we recently completed a new employee parking garage.</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developing a long-range master plan for the 142-acre golf course that will include a large mixed-use hotel, casino entertainment resort complex. It is not expected that any construction on the golf course land would begin before 2009.</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Mr. Wynn and his team bring significant experience in designing, developing and operating casino resorts. Mr. Wynn</w:t>
      </w:r>
      <w:r>
        <w:rPr>
          <w:rFonts w:ascii="Arial" w:cs="Arial" w:eastAsia="Arial" w:hAnsi="Arial"/>
          <w:sz w:val="18"/>
          <w:szCs w:val="18"/>
          <w:i w:val="1"/>
          <w:iCs w:val="1"/>
          <w:color w:val="auto"/>
        </w:rPr>
        <w:t xml:space="preserve"> </w:t>
      </w:r>
      <w:r>
        <w:rPr>
          <w:rFonts w:ascii="Arial" w:cs="Arial" w:eastAsia="Arial" w:hAnsi="Arial"/>
          <w:sz w:val="18"/>
          <w:szCs w:val="18"/>
          <w:color w:val="auto"/>
        </w:rPr>
        <w:t>and many members of the current senior management team were responsible for the design, development and operation of The Mirage, Treasure Island at The Mirage, and Bellagio. The senior executive team has an average of approximately 25 years of experience in the hotel and gaming industries. We also have an approximately 100-person design, development and construction subsidiary, the senior management of which has significant experience in all major construction disciplines.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Opportunities for Future Growth. </w:t>
      </w:r>
      <w:r>
        <w:rPr>
          <w:rFonts w:ascii="Arial" w:cs="Arial" w:eastAsia="Arial" w:hAnsi="Arial"/>
          <w:sz w:val="18"/>
          <w:szCs w:val="18"/>
          <w:color w:val="auto"/>
        </w:rPr>
        <w:t>We are continually looking for new opportunities for gaming and related businesses in Las Vegas and Macau,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domestic and international markets through acquisition, investment or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Las Vegas is the largest gaming market in the United States and is also one of the fastest growing leisure, lodging and entertainment markets in the United States. During the year ended December 31, 2006, the Las Vegas gaming and hotel markets continued their upward trends with, among other things, a 0.9% increase in visitation to 38.9 million visitors, a 10.9% increase in Las Vegas Strip gaming revenue and a 16.0% increase in average daily room rates, all as compared to December 2005.</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Many properties on the Las Vegas Strip have opened over the past ten years, including the Bellagio, Mandalay Bay Resort &amp; Casino, Paris Las Vegas, Aladdin Resort &amp; Casino and The Venetian. In addition, a number of existing properties on the Las Vegas Strip embarked on expansions during this period, including Bellagio, Luxor Hotel and Casino, Mandalay Bay Resort &amp; Casino and Caesars Palace. As a result, the casino/hotel industry in Las Vegas is highly competitive. Wynn Las Vegas is located on the Las Vegas Strip and competes with these and other high-quality resorts and hotel casinos, those in downtown Las Vegas, as well as a large number of hotels and motels in and near Las Vegas.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Many competing properties, such as the Bellagio, Caesars Palace, Luxor Hotel and Casino, Mandalay Bay Resort &amp; Casino, The Mirage, New York-New York Hotel and Casino, Paris Las Vegas, Treasure Island at The Mirage, The Venetian and others, have themes and attractions which draw a significant number of visitors and directly compete with our operations. We seek to differentiate Wynn Las Vegas from other major Las Vegas resorts by concentrating on our fundamental elements of design, atmosphere, personal service and luxury.</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Atlantic City, riverboat gaming facilities in other states, casino facilities on Native American lands and elsewhere in the world, state lotteries, and other forms of gaming. The continued proliferation of Native American gaming in California could have a negative impact on our operations. In particular, the legalization of casino gaming in or near metropolitan areas from which we attract customers, could have a negative effect on our business. In addition, new or renovated casinos in Macau or elsewhere in Asia could draw Asian gaming customers, including high-rollers, away from Las Vegas.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addition to the existing casinos with which Wynn Las Vegas currently competes, several new resorts are expected to open on or near the Las Vegas Strip before 2011. The major projects, which have either been announced or are currently under construction include, but are not limited to:</w:t>
      </w:r>
    </w:p>
    <w:p>
      <w:pPr>
        <w:spacing w:after="0" w:line="4"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Palazzo</w:t>
      </w:r>
      <w:r>
        <w:rPr>
          <w:rFonts w:ascii="Arial" w:cs="Arial" w:eastAsia="Arial" w:hAnsi="Arial"/>
          <w:sz w:val="18"/>
          <w:szCs w:val="18"/>
          <w:color w:val="auto"/>
        </w:rPr>
        <w:t>—an approximately $1.85 billion development by Las Vegas Sands currently under construction adjacent to The Venetian.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Echelon Place</w:t>
      </w:r>
      <w:r>
        <w:rPr>
          <w:rFonts w:ascii="Arial" w:cs="Arial" w:eastAsia="Arial" w:hAnsi="Arial"/>
          <w:sz w:val="18"/>
          <w:szCs w:val="18"/>
          <w:color w:val="auto"/>
        </w:rPr>
        <w:t>—an approximately $4.0 billion development by Boyd Gaming located north of Wynn Las Vegas on the Strip.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City Center</w:t>
      </w:r>
      <w:r>
        <w:rPr>
          <w:rFonts w:ascii="Arial" w:cs="Arial" w:eastAsia="Arial" w:hAnsi="Arial"/>
          <w:sz w:val="18"/>
          <w:szCs w:val="18"/>
          <w:color w:val="auto"/>
        </w:rPr>
        <w:t>—an approximately $7.0 billion development by MGM Mirage located south of Wynn Las Vegas on the Strip.</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Macau, which was a Portuguese colony for approximately 450 years, was transferred in December 1999 from Portuguese to Chinese political control. Macau is administered as a special administrative region of China. Macau is located approximately 37 miles southwest of, and less than one hour away via ferry from, Hong Kong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and has been a casino destination for more than 40 years. Macau consists principally of a small peninsula on mainland China, and two neighboring islands, Taipa and Coloane, connected by bridges. We believe that Macau is positioned in one of the world’s largest concentrations of potential gaming customers. According to Macau Statistical Information, casinos in Macau generated approximately $6.98 billion in gaming revenue in 2006, a 22% increase over the $5.6 billion generated in 2005, making Macau one of the largest gaming markets in the world.</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Macau’s gaming market is primarily dependent on tourists. According to the Macau Statistics and Census Service Monthly Bulletin of Statistics, approximately 22.0 million people visited Macau in 2006, an increase of 17.6% over the 18.7 million visitors of 2005. From 1999 through 2006, fewer than one-third of visitors traveling to Macau stayed overnight in hotels and guestrooms and, for those who stayed overnight in hotels and guestrooms, the average length of stay was only one to two nights. We expect the average length of stay to increase as a result of new, upscale hotel resort accommodations in Macau, including Wynn Macau.</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Gaming customers traveling to Macau typically come from nearby destinations in Asia including Hong Kong, mainland China, Taiwan, South Korea and Japan. According to the Macau Statistics and Census Service Monthly Bulletin of Statistics, approximately 92.6% of the tourists who visited Macau in 2006 came from Hong Kong, mainland China and Taiwan. Macau completed construction of an international airport in 1995, which accommodates large commercial aircraft and provides direct air service to major cities in Asia, including Manila, Singapore, Taipei, Bangkok, Beijing and Shanghai.</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Prior to 2002, gaming in Macau was permitted as a government-sanctioned monopoly concession awarded to a single concessionaire. However, under the authority of the Chief Executive and the Casino Tender Commission of Macau, the government of Macau liberalized the gaming industry in 2002 by granting concessions to operate casinos to three concessionaires, who in turn were permitted, subject to the approval of the government of Macau, to each grant one sub-concession to other gaming operators.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March 4, 2006, we entered into an agreement with Publishing and Broadcasting, Ltd. (“PBL”), an Australian casino operator, to sell to PBL a subconcession right to operate casino games in Macau for a purchase price of $900 million. On September 8, 2006, the government of Macau approved the sale of the subconcession right, and on September 11, 2006, we completed the sale to PBL and received a cash payment of $900 million. As a result of the sale and the subconcession awarded to PBL by the government of Macau, we have no rights or obligations with respect to the subconcession.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Currently, there are 24 operating casinos in Macau. In addition, there are several large casino resorts currently under construction and development.</w:t>
      </w:r>
    </w:p>
    <w:p>
      <w:pPr>
        <w:spacing w:after="0" w:line="19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Sociedade de Jogos de Macau (“SJM”) operates 17 of the 24 casinos. SJM is controlled by Stanley Ho, who through another entity, controlled the monopoly concession to conduct gaming operations in Macau for more than 40 years. Most of SJM’s casinos are relatively small facilities, which are offered as amenities in hotels; however, a few are substantial operations. Three of the largest casinos in Macau are operated by SJM: the Hotel Lisboa, The Greek Mythology Casino (formerly the New Century Casino), and the Jai Alai. In addition, an affiliate of Mr. Ho owns substantially all of the water ferry services and the helicopter shuttle service that link Macau to Hong Kong. In February of 2007, SJM opened a portion of the Grand Lisboa behind the Hotel Lisboa.</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 joint venture of MGM MIRAGE and Pansy Ho Chiu-king (Stanley Ho’s daughter) is currently constructing the MGM Grand Macau, a resort on the Macau peninsula adjacent to Wynn Macau. The project is to include a 600 room hotel, several restaurants as well as other attractions, approximately 345 table games and approximately 1,035 slot machines. The announced project budget is $1.1 billion and the opening is expected to be in late 2007.</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Galaxy Casino Company Limited, referred to herein as Galaxy, also was awarded a casino concession in June 2002. Galaxy is a company controlled by Hong Kong businessman Lui Chi-woo and a group of Hong Kong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investors. Galaxy opened the Waldo Hotel/Casino on the peninsula in 2004, the Grand Waldo Cotai in the summer of 2006, and Galaxy Star World hotel casino immediately adjacent to Wynn Macau in October 2006.</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Las Vegas Sands Corp., the owner and operator of The Venetian Resort Hotel in Las Vegas and a former partner of Galaxy, has entered into a sub-concession agreement with Galaxy which allows it to independently develop and operate casinos in Macau. Each of Galaxy Waldo and Sands Macao has captured a significant share of the casino gaming market in Macau. Both Galaxy and Las Vegas Sands Corp. are also constructing major casino resorts in Cotai.</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Sands Macao opened in 2004, and as of December 2006, offers approximately 770 table games and approximately 1,230 slot machines. Las Vegas Sands Corp. is currently constructing the Venetian Macao Resort Hotel, a 3,000 suite hotel, casino and convention center complex, with retail, dining and entertainment, all with a Venetian-style theme similar to that of its Las Vegas property. In addition, Las Vegas Sands Corp. has proposed a masterplan for over 200 acres in Cotai that would include: (a) a Four Seasons-branded project with serviced apartment units, and additional retail and related space, and (b) additional hotel properties, to be built in multiple phases. The Venetian Macao Resort Hotel is expected to open in 2007.</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joint venture consisting of Melco, a Hong Kong stock exchange-listed company and PBL, is currently developing the Crown Macau and a large resort in Cotai, called City of Dreams and will operate its properties under the subconcession it purchased from us. Crown Macau, located in Taipa, is anticipated to open in 2007.</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joint venture consisting of Hong Kong-based eSun Holdings and New Cotai, LLC recently broke ground on the Macao Studio City project. The Macao Studio City is being developed in Cotai and is expected to feature a theatre, television and film production facilities, retail, gaming, entertainment and world-class hotels.</w:t>
      </w:r>
    </w:p>
    <w:p>
      <w:pPr>
        <w:spacing w:after="0" w:line="140"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Our casino concession agreement permits the government to grant additional concessions for the operation of casinos after April 1, 2009. If the government of Macau awards additional concessions or permits additional sub-concessionaires, Wynn Macau will face increased competition from casino operators in Macau.</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Macau also faces competition from casinos located in other areas of Asia, such as Genting Highlands Resort, a major gaming and resort destination located outside of Kuala Lumpur, Malaysia, and casinos in the Philippines, as well as pachinko and pachislot parlors in Japan. Wynn Macau also encounters competition from other major gaming centers located around the world, including Australia and Las Vegas, cruise ships in Asia that offer gaming, and other casinos throughout Asia.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one of our gaming facilities, we would, to the extent permitted by law, seek to recover our investment by selling the property affected, but we cannot assure you that we would recover its full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Nevada</w:t>
      </w:r>
    </w:p>
    <w:p>
      <w:pPr>
        <w:spacing w:after="0" w:line="9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i w:val="1"/>
          <w:iCs w:val="1"/>
          <w:color w:val="auto"/>
        </w:rPr>
        <w:t>Introduction</w:t>
      </w:r>
      <w:r>
        <w:rPr>
          <w:rFonts w:ascii="Arial" w:cs="Arial" w:eastAsia="Arial" w:hAnsi="Arial"/>
          <w:sz w:val="18"/>
          <w:szCs w:val="18"/>
          <w:color w:val="auto"/>
        </w:rPr>
        <w:t>. The ownership and operation of casino gaming facilities in the State of Nevada are subject to the Nevada Gaming Control Act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made under the Act, as well as to various local ordinances. Wynn Las Vegas’ operations are subject to the licensing and regulatory control of the Nevada Gaming Commission, the Nevada State Gaming Control Board and the Clark County Liquor and Gaming License Board, which we refer to herein collectively as the “Nevada Gaming Authorities.”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51"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780" w:right="24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Owner and Operator Licensing Requirements. </w:t>
      </w:r>
      <w:r>
        <w:rPr>
          <w:rFonts w:ascii="Arial" w:cs="Arial" w:eastAsia="Arial" w:hAnsi="Arial"/>
          <w:sz w:val="16"/>
          <w:szCs w:val="16"/>
          <w:color w:val="auto"/>
        </w:rPr>
        <w:t>Our subsidiary, Wynn Las Vegas, LLC, as the owner and operator of Wynn Las Vegas, has been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Nevada Gaming Authorities as a limited liability company licensee, referred to as a company licensee, which includes approval to conduct casino gaming operations, including a race book and sports pool and pari-mutuel wagering. These gaming licenses are not transferable. We cannot be certain that Wynn Las Vegas, LLC will be able to maintain all approvals and licenses from the Nevada Gaming Authorities.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First Mortgage Notes were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Redemption of Securities Owned By an Unsuitable Person. </w:t>
      </w:r>
      <w:r>
        <w:rPr>
          <w:rFonts w:ascii="Arial" w:cs="Arial" w:eastAsia="Arial" w:hAnsi="Arial"/>
          <w:sz w:val="16"/>
          <w:szCs w:val="16"/>
          <w:color w:val="auto"/>
        </w:rPr>
        <w:t>Wynn Resorts’ articles of incorporation provide that, to the extent a gaming authority makes a</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Wynn Resorts elects.</w:t>
      </w:r>
    </w:p>
    <w:p>
      <w:pPr>
        <w:spacing w:after="0" w:line="1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Requirements for Beneficial Securities Holders. </w:t>
      </w:r>
      <w:r>
        <w:rPr>
          <w:rFonts w:ascii="Arial" w:cs="Arial" w:eastAsia="Arial" w:hAnsi="Arial"/>
          <w:sz w:val="16"/>
          <w:szCs w:val="16"/>
          <w:color w:val="auto"/>
        </w:rPr>
        <w:t>Regardless of the number of shares held, any beneficial holder of Wynn Resorts’ voting securities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a registered company’s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holder of any debt or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makes any payment to the unsuitable person by way of principal, redemption, conversion, exchange, liquidation or similar transaction.</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24, 2005, the Nevada Gaming Commission granted us and Wynn Las Vegas, LLC prior approval to make public offerings for a period of two years, subject to certain conditions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Approval of Changes in Control. </w:t>
      </w:r>
      <w:r>
        <w:rPr>
          <w:rFonts w:ascii="Arial" w:cs="Arial" w:eastAsia="Arial" w:hAnsi="Arial"/>
          <w:sz w:val="18"/>
          <w:szCs w:val="18"/>
          <w:color w:val="auto"/>
        </w:rPr>
        <w:t>A registered company must obtain prior approval of the Nevada Gaming Commission with respect to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32"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their current market price and before a corporate acquisition opposed by management can be consummated. The Nevada Gaming Control Act also requires prior approval of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plan of recapitalization proposed by a registered company’s board of directors in response to a tender offer made directly to its stockholders for the purpose of acquiring control.</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59"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780" w:right="300" w:hanging="326"/>
        <w:spacing w:after="0" w:line="357"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licenses for such purposes.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As a casino concessionaire, Wynn Macau, S.A. is subject to the regulatory control of the Government of Macau. The government has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Laws and Administrative Regulations governing the operation of casinos in Macau. Only concessionaires or subconcessionaires are permitted to operate casinos. To compete for concessions, candidates were required to tender proposals pursuant to procedures prescribing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content and timing of submissions and the evaluation criteria involved in the selection process. Applicants were evaluated according to suitability criteria, including their financial capacity, business experience and reputation, and the reputation of their affiliates and associates. Applicants were required to pay the costs of investigation and to make a deposit against such costs as part of the submission of proposals. The selection process included consultation and negotiation between the applicants and the Macau government, which selected the applicants that were awarded concessions. Subconcessions may be awarded subject to the approval of the Macau government and so far three such concessions have been awarded. Each concessionaire was required to enter into a concession agreement with the Macau government which, together with the Law and Administrative Regulations, forms the framework for the regulation of the activities of the concessionaire.</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to demonstrate and maintain adequate financial capacity to operate the concession and to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also are obligated to withhold, subject to partial exemption, a 3% tax from any commissions paid to junket representatives. A junket representative is a person who, for the purpose of promoting casino gaming activity, arranges customer transportation, accommodations, food and beverage services and entertainment in exchange for commissions or other compensation from a concessionaire.</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Macau law provides that junket representatives must be licensed by the Macau government in order to do business with and receive compensation from concessionaires. For a license to be obtained,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Macau law, licensed junket representatives must identify outside contractors who assist them in junket activity. Such contractors are subject to disapproval by the Macau government. Changes in the management structure of business entity junket representative licensees must be reported to the Macau government and any transfer or the encumbering of interests in such licensees is ineffective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Macau law further provides that concessionaires are jointly responsible with their junket representatives for the activities of such representatives and their directors and contractors in the concessionaires’ casinos, and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unlawful activity.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 The government of Macau also may terminate a concession for cause, including, without limitation, failure of the concessionaire to fulfill its obligations under law or the concession contract.</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Subconcessionaires are subject to the same conditions as the concessionaires including, but not limited to, the evaluation of suitability, financial capacity, business experience and reputation. As with concessionaires, sub-concessionaires must appoint a permanent resident holding 10% of the capital stock as executive director and must pay to the government of Macau the special gaming tax of 35% of gross revenue. The transfer or encumbering of an interest in the subconcessionaire is subject to prior approval of the Macau government.</w:t>
      </w:r>
    </w:p>
    <w:p>
      <w:pPr>
        <w:spacing w:after="0" w:line="14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i w:val="1"/>
          <w:iCs w:val="1"/>
          <w:color w:val="auto"/>
        </w:rPr>
        <w:t xml:space="preserve">Concession Agreement. </w:t>
      </w:r>
      <w:r>
        <w:rPr>
          <w:rFonts w:ascii="Arial" w:cs="Arial" w:eastAsia="Arial" w:hAnsi="Arial"/>
          <w:sz w:val="18"/>
          <w:szCs w:val="18"/>
          <w:color w:val="auto"/>
        </w:rPr>
        <w:t>The concession agreement between Wynn Macau S.A. and the Macau government requires Wynn Macau, S.A. to construct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one or more casino gaming properties in Macau, including, at a minimum, one full-service casino resort by the end of December 2006, and to invest not less than a total of 4 billion patacas (approximately US $500 million) in Macau-related projects by June 2009. The obligation was satisfied with the opening of Wynn Macau.</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Wynn Macau, S.A. was also obligated to obtain, and did obtain, a 700 million pataca (approximately US $87 million) bank guarantee from Banco National Ultramarino, S.A. (“BNU”) that is effective until March 31, 2007. The amount of this guarantee will be reduced to 300 million patacas (approximately US</w:t>
      </w:r>
    </w:p>
    <w:p>
      <w:pPr>
        <w:ind w:right="40"/>
        <w:spacing w:after="0" w:line="253" w:lineRule="auto"/>
        <w:rPr>
          <w:sz w:val="20"/>
          <w:szCs w:val="20"/>
          <w:color w:val="auto"/>
        </w:rPr>
      </w:pPr>
      <w:r>
        <w:rPr>
          <w:rFonts w:ascii="Arial" w:cs="Arial" w:eastAsia="Arial" w:hAnsi="Arial"/>
          <w:sz w:val="18"/>
          <w:szCs w:val="18"/>
          <w:color w:val="auto"/>
        </w:rPr>
        <w:t>$37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paid an annual fee by Wynn Macau, S.A. for the guarantee not to exceed 12.3 million patacas (approximately US $1.5 million).</w:t>
      </w:r>
    </w:p>
    <w:p>
      <w:pPr>
        <w:spacing w:after="0" w:line="14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government of Macau may redeem the concession beginning on June 24, 2017, and in such event Wynn Macau, S.A. will be entitled to fair compensation or indemnity. The amount of such compensation or indemnity will be determined based on the amount of revenue generated during the tax year prior to the redemption multiplied for the remaining years under the consession.</w:t>
      </w:r>
    </w:p>
    <w:p>
      <w:pPr>
        <w:spacing w:after="0" w:line="140" w:lineRule="exact"/>
        <w:rPr>
          <w:sz w:val="20"/>
          <w:szCs w:val="20"/>
          <w:color w:val="auto"/>
        </w:rPr>
      </w:pPr>
    </w:p>
    <w:p>
      <w:pPr>
        <w:ind w:right="20" w:firstLine="456"/>
        <w:spacing w:after="0" w:line="35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abandons or suspends gaming operations in Macau for more than seven consecutive days (or more than 14 days in a civil year) without justification;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expect that our business will be unusually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2006, we have a total of approximately 15,500 employees (including approximately 6,100 in Macau).</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covering approximately 4,500 employees at Wynn Las Vegas. Certain other unions may seek to organize the workers at Wynn Las Vegas. Unionization, pressure to unionize or other forms of collective bargaining could increase our labor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most important marks are our trademarks and service marks that use the name “WYNN”. Wynn Resorts has filed applications with the U.S. Patent and Trademark Office (“PTO”), to register a variety of the WYNN-related trademarks and service marks in connection with a variety of goods and services. These marks include “WYNN RESORTS,” “WYNN DESIGN AND DEVELOPMENT,” “WYNN LAS VEGAS,” and “WYNN MACAU.” Some of the applications are based upon ongoing use and others are based upon a bona fide intent to use the marks in the future.</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 common element of these marks is the use of the surname, “WYNN.” As a general rule, a surname (or a mark primarily constituting a surname) is not registerable unless the surname has acquired “secondary meaning.” To date, Wynn Resorts has been successful in demonstrating to the PTO such secondary meaning for the Wynn name in certain of the applications based upon Mr. Wynn’s prominence as a resort developer.</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MACAU,” “WYNN LAS VEGAS,” and “WYNN DIAMOND.” Some of the applications are based upon ongoing use and others are based upon a bona fide intent to use the marks in the future.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recognizes that its intellectual property assets, especially the logo version of “Wynn”, are among its most valuable assets. As a result, and in connection with expansion of the Company’s resorts and gaming activities outside the United States, the Company has undertaken a program to register its trademarks and other intellectual property rights in all relevant jurisdictions, some of which may pose a risk of unauthorized use or counterfeiting. The Company has retained counsel and will take all steps necessary to not only acquire but protect its intellectual property rights against such unauthorized use throughout the world.</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August 6, 2004, we entered into agreements with Mr. Wynn that confirm and clarify our rights to use the “Wynn” name and Mr. Wynn’s persona in connection with our casino resorts. Under a Surname Rights Agreement, Mr. Wynn has granted us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right="4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the second phase of our Wynn Macau casino resort on time and within budget;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9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are highly leveraged and future cash flow may not be sufficient for us to meet our obligations, and we might have difficulty obtaining more financing.</w:t>
      </w:r>
    </w:p>
    <w:p>
      <w:pPr>
        <w:spacing w:after="0" w:line="194"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have a substantial amount of consolidated debt in relation to our equity. As of December 31, 2006, we have total outstanding debt of approximately $2.4 billion. In addition our Wynn Las Vegas credit agreement permits us to incur additional indebtedness in connection with potential expansion plans under certain circumstances in the future. Our substantial indebtedness could have important consequences. For example:</w:t>
      </w:r>
    </w:p>
    <w:p>
      <w:pPr>
        <w:spacing w:after="0" w:line="26" w:lineRule="exact"/>
        <w:rPr>
          <w:sz w:val="20"/>
          <w:szCs w:val="20"/>
          <w:color w:val="auto"/>
        </w:rPr>
      </w:pPr>
    </w:p>
    <w:p>
      <w:pPr>
        <w:ind w:left="780" w:right="140" w:hanging="326"/>
        <w:spacing w:after="0" w:line="357" w:lineRule="auto"/>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260" w:hanging="455"/>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90" w:lineRule="exact"/>
        <w:rPr>
          <w:rFonts w:ascii="Arial" w:cs="Arial" w:eastAsia="Arial" w:hAnsi="Arial"/>
          <w:sz w:val="18"/>
          <w:szCs w:val="18"/>
          <w:color w:val="auto"/>
        </w:rPr>
      </w:pPr>
    </w:p>
    <w:p>
      <w:pPr>
        <w:ind w:left="1260" w:right="680" w:hanging="455"/>
        <w:spacing w:after="0" w:line="332" w:lineRule="auto"/>
        <w:tabs>
          <w:tab w:leader="none" w:pos="12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we are insolvent, initiate involuntary bankruptcy proceedings against us, in each case, subject to procedural restraints and limitations applicable to secured creditors generally and also those imposed by applicable gaming laws, rules and regulations;</w:t>
      </w:r>
    </w:p>
    <w:p>
      <w:pPr>
        <w:spacing w:after="0" w:line="4"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required to use a substantial portion of our cash flow from the Wynn Las Vegas operations to service and amortize our Wynn Las Vegas indebtedness and to pay development and construction costs of Encore, which will reduce the available cash flow to fund working capital, other capital expenditures and other general corporate purposes;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development and construction costs of Encore,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our credit facilities, rates with respect to a portion of the interest we pay will fluctuate with market rates and, accordingly, our interest expense will increase if market interest rates increase;</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in certain circumstances we will be permitted to incur additional indebtedness, including secured senior and subordinated indebtedness. If we incur additional indebtedness, the risks described above will be exacerbated.</w:t>
      </w:r>
    </w:p>
    <w:p>
      <w:pPr>
        <w:spacing w:after="0" w:line="4"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132"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ability to comply with these provisions may be affected by general economic conditions, industry conditions, and other events beyond our control. As a result, we may not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subsidiaries’ indebtedness is secured by a substantial portion of their assets.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Subject to applicable laws, including gaming laws, and certain agreed upon exceptions, our subsidiaries’ debt is secured by liens on substantially all of the assets of our subsidiaries. In the event of a default by any of our subsidiaries under their financing documents, or if certain of our subsidiaries experience insolvency, liquidation, dissolution or reorganization, the holders of our subsidiaries’ secured debt instruments would first be entitled to payment from their collateral security, and only then would holders of our subsidiaries’ unsecured debt be entitled to payment from their remaining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downturn in general economic conditions may adversely affect our results of operations.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or spending less money at, our properties, which would adversely affect our revenues.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have a limited operating history.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operations are subject to the significant business, economic, regulatory and competitive uncertainties and contingencies frequently encountered by new businesses in competitive environments, many of which are beyond our control. Because we have a limited operating history, it may be more difficult for us to prepare for and respond to these types of risks compared to a company with an established business. If we are not able to manage these risks successfully, it could negatively impact our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5"/>
          <w:szCs w:val="15"/>
          <w:i w:val="1"/>
          <w:iCs w:val="1"/>
          <w:color w:val="auto"/>
        </w:rPr>
        <w:t>We are entirely dependent on two properties for all of our cash flow, which subjects us to greater risks than a gaming company with more operating properties.</w:t>
      </w:r>
    </w:p>
    <w:p>
      <w:pPr>
        <w:spacing w:after="0" w:line="20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are entirely dependent upon Wynn Las Vegas and Wynn Macau for all of our cash flow. As a result, we are subject to a greater degree of risk than a gaming company with more operating properties. The risks to which we have a greater degree of exposure include the following:</w:t>
      </w:r>
    </w:p>
    <w:p>
      <w:pPr>
        <w:spacing w:after="0" w:line="4"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or Wynn Macau;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outbreak of an infectious disease such as the avian flu.</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with respect to our debt.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casino, hotel, convention and other facilities face intense competition.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Competition for Wynn Las Vegas. </w:t>
      </w:r>
      <w:r>
        <w:rPr>
          <w:rFonts w:ascii="Arial" w:cs="Arial" w:eastAsia="Arial" w:hAnsi="Arial"/>
          <w:sz w:val="18"/>
          <w:szCs w:val="18"/>
          <w:color w:val="auto"/>
        </w:rPr>
        <w:t>The casino/hotel industry is highly competitive and additional developments are currently underway. Resorts located on</w:t>
      </w:r>
      <w:r>
        <w:rPr>
          <w:rFonts w:ascii="Arial" w:cs="Arial" w:eastAsia="Arial" w:hAnsi="Arial"/>
          <w:sz w:val="18"/>
          <w:szCs w:val="18"/>
          <w:i w:val="1"/>
          <w:iCs w:val="1"/>
          <w:color w:val="auto"/>
        </w:rPr>
        <w:t xml:space="preserve"> </w:t>
      </w:r>
      <w:r>
        <w:rPr>
          <w:rFonts w:ascii="Arial" w:cs="Arial" w:eastAsia="Arial" w:hAnsi="Arial"/>
          <w:sz w:val="18"/>
          <w:szCs w:val="18"/>
          <w:color w:val="auto"/>
        </w:rPr>
        <w:t>or near the Las Vegas Strip compete with other Las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Vegas Strip hotels and with other hotel casinos in Las Vegas on the basis of overall atmosphere, range of amenities, level of service, price, location, entertainment, theme and size. Wynn Las Vegas also competes with a large number of other hotels located in and near Las Vegas, as well as other resort destinations. Some of our competitors have established gaming operations, are subsidiaries or divisions of large public companies, and may have greater financial and other resources than we do.</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also competes, to some extent, with other hotel/casino facilities in Nevada and in Atlantic City, riverboat gaming facilities in other states, casino facilities on Native American lands and elsewhere in the world, state lotteries, and other forms of gaming. The continued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from which we attract customers could have a negative effect on our business. In addition, new or renovated casinos in Macau or elsewhere in Asia could draw Asian gaming customers, including high-rollers, away from Wynn Las Vegas.</w:t>
      </w:r>
    </w:p>
    <w:p>
      <w:pPr>
        <w:spacing w:after="0" w:line="1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 xml:space="preserve">Competition for Wynn Macau. </w:t>
      </w:r>
      <w:r>
        <w:rPr>
          <w:rFonts w:ascii="Arial" w:cs="Arial" w:eastAsia="Arial" w:hAnsi="Arial"/>
          <w:sz w:val="18"/>
          <w:szCs w:val="18"/>
          <w:color w:val="auto"/>
        </w:rPr>
        <w:t>Currently, there are 24 operating casinos in Macau. In addition, there are several large casino resorts currently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and development.</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SJM, controlled by Stanley Ho, who through another entity controlled the monopoly concession to conduct gaming operations in Macau for more than 40 years, is one of the concessionaires and operates 17 of the 24 casinos that are currently operating in Macau. SJM recently opened a portion of the Grand Lisboa, a resort opposite the rear entrance of the Hotel Lisboa, one of the main competitors in Macau gaming. Las Vegas Sands Corp. opened the Sands Macao in May 2004 and is currently building the Venetian Macao Resort Hotel, an all-suites hotel, casino and convention center complex, with a Venetian-style theme similar to that of their Las Vegas property. MGM MIRAGE, in partnership with Pansy Ho, is building the MGM Grand Macau, a resort on the Macau peninsula adjacent to Wynn Macau expected to open in late 2007. Also, a joint venture consisting of Melco, a Hong Kong stock exchange-listed company, and PBL, is currently developing the Crown Macau and a large resort in Cotai, called City of Dreams. Crown Macau, located in Taipa, is anticipated to open in 2007.</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casino concession agreement permits the government to grant additional concessions for the operation of casinos after April 1, 2009. If the government of Macau awards additional concessions or permits additional sub-concessionaires, Wynn Macau will face increased competition from casino operators in Macau. Wynn Macau also faces competition from casinos located in other areas of Asia, such as Genting Highlands Resort, a major gaming and resort destination located outside of Kuala Lumpur, Malaysia, and casinos in the Philippines, as well as pachinko and pachislot parlors in Japan. Wynn Macau also encounters competition from other major gaming centers located around the world, including Australia and Las Vegas, cruise ships in Asia that offer gaming, and other casinos throughout Asia. Further, if current efforts to legalize gaming in Thailand or Penghu, Taiwan are successful or if the reported large-scale new casino entertainment complex proposed in Manila, Philippines is developed, Wynn Macau will face additional regional competition.</w:t>
      </w:r>
    </w:p>
    <w:p>
      <w:pPr>
        <w:spacing w:after="0" w:line="1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significant portion of our table game revenue at Wynn Las Vegas and at Wynn Macau is attributable to the play of a limited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Wynn Las Vegas. </w:t>
      </w:r>
      <w:r>
        <w:rPr>
          <w:rFonts w:ascii="Arial" w:cs="Arial" w:eastAsia="Arial" w:hAnsi="Arial"/>
          <w:sz w:val="18"/>
          <w:szCs w:val="18"/>
          <w:color w:val="auto"/>
        </w:rPr>
        <w:t>While gaming debts evidenced by a credit instrument, including what is commonly referred to as a “marker,” and judgments on gaming</w:t>
      </w:r>
      <w:r>
        <w:rPr>
          <w:rFonts w:ascii="Arial" w:cs="Arial" w:eastAsia="Arial" w:hAnsi="Arial"/>
          <w:sz w:val="18"/>
          <w:szCs w:val="18"/>
          <w:i w:val="1"/>
          <w:iCs w:val="1"/>
          <w:color w:val="auto"/>
        </w:rPr>
        <w:t xml:space="preserve"> </w:t>
      </w:r>
      <w:r>
        <w:rPr>
          <w:rFonts w:ascii="Arial" w:cs="Arial" w:eastAsia="Arial" w:hAnsi="Arial"/>
          <w:sz w:val="18"/>
          <w:szCs w:val="18"/>
          <w:color w:val="auto"/>
        </w:rPr>
        <w:t>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4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Wynn Macau. </w:t>
      </w:r>
      <w:r>
        <w:rPr>
          <w:rFonts w:ascii="Arial" w:cs="Arial" w:eastAsia="Arial" w:hAnsi="Arial"/>
          <w:sz w:val="18"/>
          <w:szCs w:val="18"/>
          <w:color w:val="auto"/>
        </w:rPr>
        <w:t>Although the law in Macau was changed to permit casino operators to extend credit to gaming customers, Wynn Macau may not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all of its gaming receivables from its credit players. We expect that Wynn Macau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 receivables because, among other reasons, courts of many jurisdictions do not enforce gaming debts and Wynn Macau may encounter forums that will refuse to enforce such debts. Wynn Macau’s inability to collect gaming debts could have a significant negative impact on its operating results.</w:t>
      </w:r>
    </w:p>
    <w:p>
      <w:pPr>
        <w:spacing w:after="0" w:line="14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Currently, the gaming tax in Macau is calculated as a percentage of gross gaming revenue. However, unlike Nevada, the gross gaming revenue calculation in Macau does not include deductions for credit losses. As a result, if we extend credit to our customers in Macau and are unable to collect on the related receivables from them, we would have to pay taxes on our winnings from these customers even though we were unable to collect on the related receivables from them. If the laws are not changed, our business in Macau may not be able to realize the full benefits of extending credit to our customers. Although there are proposals to revise the gaming tax regulations in Macau, there can be no assurance that the regulations will be changed.</w:t>
      </w:r>
    </w:p>
    <w:p>
      <w:pPr>
        <w:spacing w:after="0" w:line="197"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operations of Wynn Las Vegas and Wynn Macau are contingent upon our obtaining and maintaining all regulatory licenses,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and opened Wynn Las Vegas on April 28, 2005, and are subject to ongoing regulation to maintain its operation. We opened Wynn Macau on September 6, 2006, and are subject to ongoing regulation to maintain its operation.</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Wynn Las Vegas</w:t>
      </w:r>
      <w:r>
        <w:rPr>
          <w:rFonts w:ascii="Arial" w:cs="Arial" w:eastAsia="Arial" w:hAnsi="Arial"/>
          <w:sz w:val="18"/>
          <w:szCs w:val="18"/>
          <w:color w:val="auto"/>
        </w:rPr>
        <w:t>. The Nevada Gaming Commission may, in its discretion, require the holder of any securities we issue to file applications, be investigated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be found suitable to own Wynn Resorts’ securities if it has reason to believe that the security ownership would be inconsistent with the declared policies of the State of Nevada.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4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Wynn Macau</w:t>
      </w:r>
      <w:r>
        <w:rPr>
          <w:rFonts w:ascii="Arial" w:cs="Arial" w:eastAsia="Arial" w:hAnsi="Arial"/>
          <w:sz w:val="18"/>
          <w:szCs w:val="18"/>
          <w:color w:val="auto"/>
        </w:rPr>
        <w:t>. Wynn Macau’s operations are subject to unique risks, including risks related to Macau’s developing regulatory framework. Wynn Macau</w:t>
      </w:r>
      <w:r>
        <w:rPr>
          <w:rFonts w:ascii="Arial" w:cs="Arial" w:eastAsia="Arial" w:hAnsi="Arial"/>
          <w:sz w:val="18"/>
          <w:szCs w:val="18"/>
          <w:i w:val="1"/>
          <w:iCs w:val="1"/>
          <w:color w:val="auto"/>
        </w:rPr>
        <w:t xml:space="preserve"> </w:t>
      </w:r>
      <w:r>
        <w:rPr>
          <w:rFonts w:ascii="Arial" w:cs="Arial" w:eastAsia="Arial" w:hAnsi="Arial"/>
          <w:sz w:val="18"/>
          <w:szCs w:val="18"/>
          <w:color w:val="auto"/>
        </w:rPr>
        <w:t>may need to develop operating procedures which are different from those used in United States casinos. Failure to adapt to the regulatory and gaming environment in Macau could result in the revocation of Wynn Macau, S.A.’s concession or otherwise negatively affect its operations in Macau. Moreover, we would be subject to the risk that Macau’s gaming regulatory framework will not develop in a way that would permit us as a United States gaming operator, to conduct operations in Macau in a manner consistent with the way in which we intend, or the Nevada gaming authorities require us, to conduct our operations in the United States.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Terrorism and the uncertainty of military conflicts, as well as other factors affecting discretionary consumer spending, may harm our operating results.</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strength and profitability of our business depends on consumer demand for hotel casino resorts in general and for the type of luxury amenities Wynn Las Vegas and Wynn Macau offer. Changes in consumer preferences or discretionary consumer spending could harm our business. The terrorist attacks of September 11, 2001, other terrorist activities in the United States and elsewhere, military conflicts in Iraq and in the Middle East, and past outbreaks of infectious disease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145" w:lineRule="exact"/>
        <w:rPr>
          <w:sz w:val="20"/>
          <w:szCs w:val="20"/>
          <w:color w:val="auto"/>
        </w:rPr>
      </w:pPr>
    </w:p>
    <w:p>
      <w:pPr>
        <w:jc w:val="both"/>
        <w:ind w:right="280" w:firstLine="456"/>
        <w:spacing w:after="0" w:line="323" w:lineRule="auto"/>
        <w:rPr>
          <w:sz w:val="20"/>
          <w:szCs w:val="20"/>
          <w:color w:val="auto"/>
        </w:rPr>
      </w:pPr>
      <w:r>
        <w:rPr>
          <w:rFonts w:ascii="Arial" w:cs="Arial" w:eastAsia="Arial" w:hAnsi="Arial"/>
          <w:sz w:val="15"/>
          <w:szCs w:val="15"/>
          <w:color w:val="auto"/>
        </w:rPr>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insurance coverage may not be adequate to cover all possible losses that we could suffer, and our insurance costs may increase.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terrorist attacks of September 11, 2001 have substantially affected the availability of insurance coverage for certain types of damages or occurrences. We currently have insurance coverage for occurrences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terrorist acts with respect to Wynn Las Vegas and Wynn Macau for up to $500 million at each location for losses that could result from these acts. However, these types of acts could expose us to losses that exceed our coverage and could have a significant negative impact on our operations.</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97"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i w:val="1"/>
          <w:iCs w:val="1"/>
          <w:color w:val="auto"/>
        </w:rPr>
        <w:t>If a third party successfully challenges our ownership of, or right to use, the Wynn-related service marks, our business or results of operations could be harmed.</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applications with the PTO, to register a variety of WYNN-related trademarks and service marks in connection with a variety of goods and services. These marks include “WYNN LAS VEGAS” and “WYNN MACAU.” Some of the applications are based upon ongoing use and others are based upon a bona fide intent to use the marks in the future.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cannot be registered unless the surname has acquired “secondary meaning.” To date, we have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MACAU” and “WYNN LAS VEGAS.” Some of the application are based upon ongoing use and others are based upon a bona fide intent to use the marks in the future.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recognizes that its intellectual property assets, especially the logo version of “Wynn”, are among its most valuable assets. As a result, and in connection with expansion of the Company’s resorts and gaming activities outside the United States, the Company has undertaken a program to register its trademarks and other intellectual property rights in all relevant jurisdictions, some of which may pose a risk of unauthorized use or counterfeiting. The Company has retained counsel and will take all steps necessary to not only acquire but protect its intellectual property rights against such unauthorized use throughout the world.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loss of Stephen A. Wynn could significantly harm our business.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2004, we extended the term of Mr. Wynn’s employment agreement until October 2017. However, we cannot assure you that Mr. Wynn will remain with us. If we lose the services of Mr. Wynn, or if he is unable to devote sufficient attention to our operations for any other reason, our business may be significantly impaired. In addition, if Mr. Wynn is no longer either employed by us as Chief Executive Officer or serving as Chairman of the Board, other than as a result of death or disability or other limited circumstances, it would constitute a change of control that would require Wynn Las Vegas to offer to repay the First Mortgage Notes and would constitute an event of default under its credit facilities and Wynn Macau, S.A.’s credit facilities.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two largest stockholders are able to exert significant control over our operations and future direction.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Mr. Wynn and Aruze USA, Inc. each own approximately 24.1% of our currently issued and outstanding common stock. As a result, Mr. Wynn and Aruze USA, Inc., to the extent they vote their shares in a similar manner, may be able to control all matters requiring our stockholders’ approval, including the approval of significant corporate transactions.</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November 13, 2006, the Board of Wynn Resorts approved an amendment of its bylaws that exempts future acquisitions of shares of Wynn Resorts’ common stock by either Mr. Wynn or Aruze USA, Inc. from Nevada’s control share acquisition statute.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the voting power of the corporation in the election of directors, without requiring a resolution of the stockholders of the corporation granting voting rights in the control shares acquired.</w:t>
      </w:r>
    </w:p>
    <w:p>
      <w:pPr>
        <w:spacing w:after="0" w:line="123" w:lineRule="exact"/>
        <w:rPr>
          <w:sz w:val="20"/>
          <w:szCs w:val="20"/>
          <w:color w:val="auto"/>
        </w:rPr>
      </w:pPr>
    </w:p>
    <w:p>
      <w:pPr>
        <w:ind w:right="600" w:firstLine="456"/>
        <w:spacing w:after="0" w:line="305" w:lineRule="auto"/>
        <w:rPr>
          <w:sz w:val="20"/>
          <w:szCs w:val="20"/>
          <w:color w:val="auto"/>
        </w:rPr>
      </w:pPr>
      <w:r>
        <w:rPr>
          <w:rFonts w:ascii="Arial" w:cs="Arial" w:eastAsia="Arial" w:hAnsi="Arial"/>
          <w:sz w:val="15"/>
          <w:szCs w:val="15"/>
          <w:color w:val="auto"/>
        </w:rPr>
        <w:t>Mr. Wynn and Aruze USA, Inc., together with Baron Asset Fund, have entered into a stockholders’ agreement. Under the stockholders’ agreement, Mr. Wynn and Aruze USA, Inc., have agreed to vote their shares of our common stock for a slate of directors, a majority of which will be designated by</w:t>
      </w:r>
    </w:p>
    <w:p>
      <w:pPr>
        <w:jc w:val="both"/>
        <w:ind w:right="300"/>
        <w:spacing w:after="0" w:line="302" w:lineRule="auto"/>
        <w:rPr>
          <w:sz w:val="20"/>
          <w:szCs w:val="20"/>
          <w:color w:val="auto"/>
        </w:rPr>
      </w:pPr>
      <w:r>
        <w:rPr>
          <w:rFonts w:ascii="Arial" w:cs="Arial" w:eastAsia="Arial" w:hAnsi="Arial"/>
          <w:sz w:val="16"/>
          <w:szCs w:val="16"/>
          <w:color w:val="auto"/>
        </w:rPr>
        <w:t>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in November 2006 this agreement was amended to require the written consent of both Mr. Wynn and Aruze prior to either party selling any shares of Wynn Resorts that they own.</w:t>
      </w:r>
    </w:p>
    <w:p>
      <w:pPr>
        <w:spacing w:after="0" w:line="190"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Wynn Macau</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 number of new casino resort developments underway or planned for the near future will require us to compete for limited labor resources in Macau.</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recruited a substantial number of new employees for the opening of Wynn Macau and must be able retain them in order to have a successful operation. Wynn Macau competes with the large number of new casino resort developments currently underway in Macau and expected in the near future for the limited qualified employees. We will have to seek employees from other countries to adequately staff Wynn Macau. We cannot be certain that we will be able to recruit and retain a sufficient number of qualified employees for our Wynn Macau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development costs of Wynn Macau are estimates only, and actual development costs may be higher than expected.</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expect the total development costs of Wynn Macau, excluding Wynn Diamond Suites, to be approximately $1.2 billion, including the budgeted design and construction costs, cost of the land payments (through opening), capitalized interest, pre-opening expenses and all financing fees. The required cash interest payments and commitment fees on the bank facility which will become due through the estimated commencement date of operations of Wynn Macau have been included in our estimate of the total development costs.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we believe that the overall budget for the development costs of Wynn Macau is reasonable, these development costs are estimates and the actual development costs may be higher than expected. Although we have certain owners’ contingencies set aside to cover cost overruns, these contingencies may not be sufficient to cover the full amount of such overruns. If these contingencies are not sufficient to cover these costs, we may not have the funds required to pay the excess costs.</w:t>
      </w:r>
    </w:p>
    <w:p>
      <w:pPr>
        <w:spacing w:after="0" w:line="224"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i w:val="1"/>
          <w:iCs w:val="1"/>
          <w:color w:val="auto"/>
        </w:rPr>
        <w:t>Not all of the construction costs of Wynn Macau are covered by a guaranteed maximum price construction contract, and we will be responsible for any cost overruns of these excluded items.</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entered into a guaranteed maximum price construction contract for the design and construction of Wynn Macau with Leighton Contractors (Asia) Limited, China State Construction Engineering (Hong Kong) Limited and China Construction Engineering (Macau) Company Limited, acting together as general contractor (“Leighton/China State”). The contract covers approximately $484 million of the budgeted $685 million design and construction costs for Wynn Macau. We are responsible for cost overruns with respect to any budgeted components that are not part of the amended guaranteed maximum price contract.</w:t>
      </w:r>
    </w:p>
    <w:p>
      <w:pPr>
        <w:spacing w:after="0" w:line="194"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i w:val="1"/>
          <w:iCs w:val="1"/>
          <w:color w:val="auto"/>
        </w:rPr>
        <w:t>The financial resources of our contractor may be insufficient to fund cost overruns or liquidated damages for which it is responsible under the amended guaranteed maximum price contract.</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Under the terms and subject to the conditions and limitations of the guaranteed maximum price construction contract, Leighton/China State is responsible for all construction costs covered by the construction contract that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exceed the approximately $484 million guaranteed maximum price contained in the contract. The parent companies of the contractor have provided a continuing guaranty by which they guarantee the contractor’s full performance under the construction contract until final payment under that contract. We cannot assure you that the contractor or its parent companies will have sufficient financial resources to fund any cost overruns or liquidated damages for which they are responsible under the guaranteed maximum price contract. Furthermore, neither is contractually obligated to maintain the financial resources to cover cost overruns. If they do not have the resources to meet their obligations and we are unable to obtain funds from them in a timely manner, we may need to pay these excess costs in order to complete construction of Wynn Macau.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may be affected by adverse political and economic conditions.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success of Wynn Macau will depend on political and economic conditions in Macau. In December 1999, after approximately 450 years of Portuguese control, Portugal returned Macau to Chinese administration. The People’s Republic of China 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Macau’s operations are subject to significant political, economic and social risks inherent in doing business in an emerging market. For example, fiscal decline and civil, domestic or international unrest in Macau, China or the surrounding region could significantly harm Wynn Macau’s business, not only by reducing customer demand for casino resorts, but also by increasing the risk of imposition of taxes and exchange controls or other governmental restrictions that might impede its ability to repatriate funds.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may not have an adequate transportation infrastructure to accommodate the demand from future development.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of additional casino projects which are under construction and to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Extreme weather conditions may have an adverse impact on Wynn Macau.</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Macau’s subtropical climate and location on the South China Sea are subject to extreme weather conditions including typhoons and heavy rainstorms. Unfavorable weather conditions could negatively affect the profitability of Wynn Macau by disrupting our ability to timely construct the project and by preventing guests from traveling to Macau.</w:t>
      </w:r>
    </w:p>
    <w:p>
      <w:pPr>
        <w:spacing w:after="0" w:line="221"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i w:val="1"/>
          <w:iCs w:val="1"/>
          <w:color w:val="auto"/>
        </w:rPr>
        <w:t>An outbreak of the avian influenza (“avian flu” or “bird flu”), Severe Acute Respiratory Syndrome (“SARS”) or other contagious disease may have an adverse effect on the economies of certain Asian countries and may adversely affect our results of operations.</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2004, large parts of Asia experienced unprecedented outbreaks of avian flu. In particular, Guangdong Province, PRC, which is located across the Zhuhai Bridge from Macau, has confirmed several cases of avian flu. Currently, no fully effective avian flu vaccines have been developed and there can be no assurance that an effective vaccine can be discovered in time to protect against a potential avian flu pandemic. In the first half of 2003, certain countries in Asia experienced an outbreak of SARS, a highly contagious form of atypical pneumonia, which seriously interrupted economic activities and caused the demand for goods to plummet in the affected regions. There can be no assurance that an outbreak of avian flu, SARS or other contagious disease or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measures taken by the governments of affected countries against such potential outbreaks, will not seriously interrupt our gaming operations or visitation to Macau, which may have a material adverse effect on our results of operations. The perception that an outbreak of avian flu, SARS or other contagious disease may occur again may also have an adverse effect on the economic conditions of countries in Asia.</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investment in Macau may be subject to potential taxation.</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investment in Macau is owned through a number of wholly owned and partially owned domestic and foreign entities. Although we believe that transfers to these entities of the assets and stock of the Wynn Macau companies were accomplished on a tax-free basis, there is a risk that the Internal Revenue Service could assert that any appreciation in the transferred assets or stock was taxable at the time of such transfers.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Currency exchange controls and currency export restrictions could negatively impact Wynn Macau.</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Any violation of the Foreign Corrupt Practices Act could have a negative impact on Wynn Macau.</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w:t>
      </w:r>
    </w:p>
    <w:p>
      <w:pPr>
        <w:spacing w:after="0" w:line="221"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i w:val="1"/>
          <w:iCs w:val="1"/>
          <w:color w:val="auto"/>
        </w:rPr>
        <w:t>The Macau government can terminate our concession under certain circumstances without compensation to us, which would have a material adverse effect on our operations and financial condition.</w:t>
      </w:r>
    </w:p>
    <w:p>
      <w:pPr>
        <w:spacing w:after="0" w:line="5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if Wynn Macau, S.A.:</w:t>
      </w:r>
    </w:p>
    <w:p>
      <w:pPr>
        <w:spacing w:after="0" w:line="59"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suspends gaming operations in Macau for more than seven consecutive days (or more than 14 days in a civil year) without justification;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If the government of Macau unilaterally rescinds the concession agreement, Wynn Macau, S.A. will be required to compensate the government in accordance with applicable law, and the areas defined as casino space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under Macau law and all of the gaming equipment pertaining to the gaming operations of Wynn Macau will be transferred to the government without compensation. The loss of our concession would prohibit us from conducting gaming operations in Macau, which could have a material adverse effect on our operations and financial condition.</w:t>
      </w:r>
    </w:p>
    <w:p>
      <w:pPr>
        <w:spacing w:after="0" w:line="221"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i w:val="1"/>
          <w:iCs w:val="1"/>
          <w:color w:val="auto"/>
        </w:rPr>
        <w:t>We will stop generating any revenues from our Macau gaming operations if we cannot secure an extension of our concession in 2022 or if the Macau government exercises its redemption right in 2017.</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concession agreement expires in June 2022. Unless our concession is extended, on that date, all of our casino operations and related equipment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We cannot assure you that we will be able to renew or extend our concession agreement on terms favorable to us or at all. We also cannot assure you that if our concession is redeemed, the compensation paid will be adequate to compensate us for the loss of future revenues.</w:t>
      </w:r>
    </w:p>
    <w:p>
      <w:pPr>
        <w:spacing w:after="0" w:line="199"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i w:val="1"/>
          <w:iCs w:val="1"/>
          <w:color w:val="auto"/>
        </w:rPr>
        <w:t>The Macau government has the ability to grant additional rights to conduct gaming in the future, which could have a material adverse effect on our financial condition, results of operations and cash flows.</w:t>
      </w:r>
    </w:p>
    <w:p>
      <w:pPr>
        <w:spacing w:after="0" w:line="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hold a concession under one of only three gaming concessions and three sub-concessions authorized by the Macau government to operate casinos in Macau, and the Macau government is precluded from granting any additional gaming concessions until 2009. However, we cannot assure you that the laws will not be changed to permit the Macau government to grant additional gaming concessions before 2009. If the Macau government were to allow additional competitors to operate in Macau through the grant of additional concessions or subconcessions, we would face additional competition, which could have a material adverse effect on our financial condition and results of operations.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Nevada gaming laws would apply to Wynn Macau’s planned gaming activities and associations.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we develop Wynn Macau, we and our subsidiaries that must be licensed to conduct gaming operations in Nevada will be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62"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 to conduct Wynn Macau’s operations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780" w:right="20" w:hanging="326"/>
        <w:spacing w:after="0" w:line="332"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113" w:lineRule="exact"/>
        <w:rPr>
          <w:rFonts w:ascii="Arial" w:cs="Arial" w:eastAsia="Arial" w:hAnsi="Arial"/>
          <w:sz w:val="16"/>
          <w:szCs w:val="16"/>
          <w:color w:val="auto"/>
        </w:rPr>
      </w:pPr>
    </w:p>
    <w:p>
      <w:pPr>
        <w:ind w:left="780" w:right="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99"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Unfavorable changes in currency exchange rates may increase Wynn Macau’s obligations under the concession agreement and cause fluctuations in the value of our investment in Macau.</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the Construction and Development of Encore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development costs of Encore are estimates only, and actual development costs may be higher than expected.</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current project budget for Encore is estimated at approximately $2.1 billion. While we believe that the estimated development costs for Encore are reasonable, these development costs are estimates and the actual development costs may be higher than expected. Although we will have certain owners’ contingencies to cover cost overruns, these contingencies may not be sufficient to cover the full amount of such overruns. If these contingencies are not sufficient to cover these costs, we may not have the funds required to pay the excess costs and would be dependent upon Wynn Resorts, which is not a guarantor of debt, to contribute additional capital to achieve final completion of the project. Wynn Resorts has no operations except for those of its subsidiaries, which are not obligated to satisfy any obligations or liabilities of Wynn Resorts.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i w:val="1"/>
          <w:iCs w:val="1"/>
          <w:color w:val="auto"/>
        </w:rPr>
        <w:t>We intend to fund a substantial portion of the development costs of Encore and our substantial debt service and other obligations with cash flows generated at Wynn Las Vegas, which may not be sufficient to fund such development costs and debt service obligations.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ability to fund a substantial portion of the development costs of Encore, and to make interest payments under the credit facilities, the first mortgage notes and any other indebtedness, is dependent on our ability to generate sufficient cash flow from our operations at Wynn Las Vegas. We cannot assure you that Wynn Las Vegas will continue to be able to generate sufficient cash flow to fund such development costs and make the interest payments under the credit facilities, the first mortgage notes and any other indebtedness. Our ability to generate cash flow depends on many factors, including:</w:t>
      </w:r>
    </w:p>
    <w:p>
      <w:pPr>
        <w:spacing w:after="0" w:line="32"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operating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Some of these factors are beyond our control. Any inability to generate sufficient cash flows to fund the development of Encore or meet our debt service obligations would have a material adverse effect on our operating results and financial condition. In addition, the financing documents for our Wynn Macau project contain restrictions on the distribution to Wynn Resorts of any cash flow generated by the Wynn Macau casino. Thus, any cash flow generated by Wynn Macau may not be available to fund development costs of Encore or service our debt.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There are significant risks associated with major construction projects that may prevent completion of Encore on schedule and within budget.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Encore entail significant risks, including:</w:t>
      </w:r>
    </w:p>
    <w:p>
      <w:pPr>
        <w:spacing w:after="0" w:line="90"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w:t>
      </w:r>
    </w:p>
    <w:p>
      <w:pPr>
        <w:spacing w:after="0" w:line="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these projects will post bonds guaranteeing timely completion of a subcontractor’s work and payment for all of that subcontractor’s labor and materials. These bonds may not be adequate to ensure completion of the work.</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Encore may not commence operations on schedule or construction costs for this project may exceed budgeted amounts. Failure to complete this project on schedule or within budget may have a significant negative effect on us and on our ability to make payments on our debt.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Simultaneous construction of Encore and expansion of Wynn Macau may stretch management time and resources and may impact Wynn Las Vegas.</w:t>
      </w:r>
    </w:p>
    <w:p>
      <w:pPr>
        <w:spacing w:after="0" w:line="11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Both the development and construction for Encore and the second phase of Wynn Macau continue. Since there is some overlap of the development and construction of these projects, members of our senior management are simultaneously involved in planning and developing both of these projects which may divert management resources from the construction and/or opening of either project. Management’s inability to devote sufficient time and attention to any one project may delay the construction or opening of either or both of the projects. Any delay caused by such circumstances could have a negative effect on our business and operations.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we cannot assure you that the construction will not disrupt the operations of Wynn Las Vegas or that it will be implemented as planned. Therefore, the construction of Encore may adversely impact the business, operations and revenues of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are conditions precedent to the funding of the remaining components of the financing for Encore.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that the remaining proceeds from the first mortgage notes issued by Wynn Las Vegas, LLC, together with availability under the Wynn Las Vegas credit facilities, cash flow from operations from Wynn Las Vegas, additional debt which may be raised and the equity commitment from Wynn Resorts, will be sufficient to fund Encore’s current project budget estimate of approximately $2.1 billion.</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entered into a disbursement agreement with the agent under the credit facilities and the trustee under the indenture for the first mortgage notes, which sets forth the sequence of funding and establishes conditions for the disbursement of funds for the Encore project. Our ability to borrow, from time to time, under the Wynn Las Vegas credit facilities and receive advances from the notes proceeds account is subject to various conditions precedent set forth in the disbursement agreement.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cannot be sure that we will be able to satisfy the conditions to funding at the time drawdowns are required to make payments of our construction costs. Satisfaction of various conditions is subject to the discretion of the disbursement agent and the lenders under the credit facilities and/or their consultants and agent and may therefore be beyond our control. Failure to satisfy the conditions to the drawdowns under the credit facilities could impact our ability to develop and construct Encore. We may not have access to alternative sources of funds necessary to develop and construct Encore on satisfactory terms.</w:t>
      </w:r>
    </w:p>
    <w:p>
      <w:pPr>
        <w:spacing w:after="0" w:line="18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currently own approximately 235 acres of land on or near the Las Vegas Strip. This consists of approximately 55 acres at the northeast corner of the intersection of Las Vegas Boulevard and Sands Avenue, an additional parcel of approximately 20 acres fronting Las Vegas Boulevard next to the Wynn Las Vegas site on which we are constructing Encore, the approximately 142-acre golf course behind Wynn Las Vegas, and approximately 18 acres located across from the Wynn Las Vegas site at Koval Lane and Sands Avenue, which is currently being used for employee parking and on a portion of which we have constructed a multi-level employee parking garage.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own approximately 934 acre-feet of permitted domestic and recreation water rights, which we currently use to irrigate the golf course, subject to proof of beneficial use and approval of the State of Nevada Division of Water Resources. We also own approximately 52 acre-feet of permitted (and some certificated) quasi-municipal water rights, which are used to supply the water for the Wynn Las Vegas lake/mountain feature, subject to proof of beneficial use and approval of the State of Nevada Division of Water Resources. There are significant cost savings and conservation benefits associated with using water supplied pursuant to our water rights. We anticipate using our water rights to support future development of the golf course land.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Land Concession</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government of Macau owns most of the land in Macau and, in most cases, private interests in real property located in Macau are obtained only through long-term leases and other grants of rights to use land from the government. In July 2004, our subsidiary, Wynn Macau, S.A., entered into a land concession contract under which Wynn Macau, S.A. leases from the Macau government an approximately 16-acre parcel of land in downtown Macau’s inner harbor area, opposite the Hotel Lisboa, Macau’s best-known hotel casino. The term of the land concession contract is 25 years, and it may be renewed with government approval for successive periods. Wynn Macau, S.A. is obligated to pay, in 10 semi-annual installments, a total land concession premium of approximately</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319.4 million patacas (approximately US $40 million) plus interest at 5%. Annual rents of approximately 2.2 million patacas (approximately US $275,000) for the first two years and 3.2 million patacas (approximately US $395,000) thereafter will also be paid in accordance with the land concession contract. In addition, during 2004, Wynn Macau, S.A. paid a third party affiliated with Stanley Ho approximately 144.2 million patacas (approximately US $18 million) for relinquishing its rights to use a portion of that site.</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we have submitted an application to the Macau government for a concession of land in Cotai for future development. We recently reconfigured our site plan for 52 acres and are awaiting final approval.</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holders during the fourth quarter of 2006.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3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common stock trades on the NASDAQ exchange under the symbol “WYNN.” The following table sets forth the high and low sale prices for the indicated periods, as reported by the NASDAQ National Market Securities.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2006</w:t>
            </w:r>
          </w:p>
        </w:tc>
        <w:tc>
          <w:tcPr>
            <w:tcW w:w="32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320" w:type="dxa"/>
            <w:vAlign w:val="bottom"/>
            <w:gridSpan w:val="3"/>
          </w:tcPr>
          <w:p>
            <w:pPr>
              <w:jc w:val="center"/>
              <w:ind w:left="2672"/>
              <w:spacing w:after="0"/>
              <w:rPr>
                <w:sz w:val="20"/>
                <w:szCs w:val="20"/>
                <w:color w:val="auto"/>
              </w:rPr>
            </w:pPr>
            <w:r>
              <w:rPr>
                <w:rFonts w:ascii="Arial" w:cs="Arial" w:eastAsia="Arial" w:hAnsi="Arial"/>
                <w:sz w:val="18"/>
                <w:szCs w:val="18"/>
                <w:color w:val="auto"/>
                <w:w w:val="86"/>
              </w:rPr>
              <w:t>$ 78.75</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$ 52.44</w:t>
            </w: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320" w:type="dxa"/>
            <w:vAlign w:val="bottom"/>
            <w:gridSpan w:val="3"/>
            <w:shd w:val="clear" w:color="auto" w:fill="CCEEFF"/>
          </w:tcPr>
          <w:p>
            <w:pPr>
              <w:jc w:val="center"/>
              <w:ind w:left="2672"/>
              <w:spacing w:after="0"/>
              <w:rPr>
                <w:sz w:val="20"/>
                <w:szCs w:val="20"/>
                <w:color w:val="auto"/>
              </w:rPr>
            </w:pPr>
            <w:r>
              <w:rPr>
                <w:rFonts w:ascii="Arial" w:cs="Arial" w:eastAsia="Arial" w:hAnsi="Arial"/>
                <w:sz w:val="18"/>
                <w:szCs w:val="18"/>
                <w:color w:val="auto"/>
                <w:w w:val="86"/>
              </w:rPr>
              <w:t>$ 80.19</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$ 64.87</w:t>
            </w: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320" w:type="dxa"/>
            <w:vAlign w:val="bottom"/>
            <w:gridSpan w:val="3"/>
          </w:tcPr>
          <w:p>
            <w:pPr>
              <w:jc w:val="center"/>
              <w:ind w:left="2672"/>
              <w:spacing w:after="0"/>
              <w:rPr>
                <w:sz w:val="20"/>
                <w:szCs w:val="20"/>
                <w:color w:val="auto"/>
              </w:rPr>
            </w:pPr>
            <w:r>
              <w:rPr>
                <w:rFonts w:ascii="Arial" w:cs="Arial" w:eastAsia="Arial" w:hAnsi="Arial"/>
                <w:sz w:val="18"/>
                <w:szCs w:val="18"/>
                <w:color w:val="auto"/>
                <w:w w:val="86"/>
              </w:rPr>
              <w:t>$ 78.86</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$ 60.82</w:t>
            </w: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320" w:type="dxa"/>
            <w:vAlign w:val="bottom"/>
            <w:gridSpan w:val="3"/>
            <w:shd w:val="clear" w:color="auto" w:fill="CCEEFF"/>
          </w:tcPr>
          <w:p>
            <w:pPr>
              <w:jc w:val="center"/>
              <w:ind w:left="2672"/>
              <w:spacing w:after="0"/>
              <w:rPr>
                <w:sz w:val="20"/>
                <w:szCs w:val="20"/>
                <w:color w:val="auto"/>
              </w:rPr>
            </w:pPr>
            <w:r>
              <w:rPr>
                <w:rFonts w:ascii="Arial" w:cs="Arial" w:eastAsia="Arial" w:hAnsi="Arial"/>
                <w:sz w:val="18"/>
                <w:szCs w:val="18"/>
                <w:color w:val="auto"/>
                <w:w w:val="86"/>
              </w:rPr>
              <w:t>$ 98.45</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$ 66.52</w:t>
            </w:r>
          </w:p>
        </w:tc>
      </w:tr>
      <w:tr>
        <w:trPr>
          <w:trHeight w:val="322"/>
        </w:trPr>
        <w:tc>
          <w:tcPr>
            <w:tcW w:w="5640" w:type="dxa"/>
            <w:vAlign w:val="bottom"/>
          </w:tcPr>
          <w:p>
            <w:pPr>
              <w:spacing w:after="0"/>
              <w:rPr>
                <w:sz w:val="20"/>
                <w:szCs w:val="20"/>
                <w:color w:val="auto"/>
              </w:rPr>
            </w:pPr>
            <w:r>
              <w:rPr>
                <w:rFonts w:ascii="Arial" w:cs="Arial" w:eastAsia="Arial" w:hAnsi="Arial"/>
                <w:sz w:val="18"/>
                <w:szCs w:val="18"/>
                <w:b w:val="1"/>
                <w:bCs w:val="1"/>
                <w:color w:val="auto"/>
              </w:rPr>
              <w:t>Year Ended December 31, 2005</w:t>
            </w:r>
          </w:p>
        </w:tc>
        <w:tc>
          <w:tcPr>
            <w:tcW w:w="3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8"/>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320" w:type="dxa"/>
            <w:vAlign w:val="bottom"/>
            <w:gridSpan w:val="3"/>
            <w:shd w:val="clear" w:color="auto" w:fill="CCEEFF"/>
          </w:tcPr>
          <w:p>
            <w:pPr>
              <w:jc w:val="center"/>
              <w:ind w:left="2672"/>
              <w:spacing w:after="0"/>
              <w:rPr>
                <w:sz w:val="20"/>
                <w:szCs w:val="20"/>
                <w:color w:val="auto"/>
              </w:rPr>
            </w:pPr>
            <w:r>
              <w:rPr>
                <w:rFonts w:ascii="Arial" w:cs="Arial" w:eastAsia="Arial" w:hAnsi="Arial"/>
                <w:sz w:val="18"/>
                <w:szCs w:val="18"/>
                <w:color w:val="auto"/>
                <w:w w:val="86"/>
              </w:rPr>
              <w:t>$ 76.45</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$ 60.40</w:t>
            </w: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320" w:type="dxa"/>
            <w:vAlign w:val="bottom"/>
            <w:gridSpan w:val="3"/>
          </w:tcPr>
          <w:p>
            <w:pPr>
              <w:jc w:val="center"/>
              <w:ind w:left="2672"/>
              <w:spacing w:after="0"/>
              <w:rPr>
                <w:sz w:val="20"/>
                <w:szCs w:val="20"/>
                <w:color w:val="auto"/>
              </w:rPr>
            </w:pPr>
            <w:r>
              <w:rPr>
                <w:rFonts w:ascii="Arial" w:cs="Arial" w:eastAsia="Arial" w:hAnsi="Arial"/>
                <w:sz w:val="18"/>
                <w:szCs w:val="18"/>
                <w:color w:val="auto"/>
                <w:w w:val="86"/>
              </w:rPr>
              <w:t>$ 68.00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$ 42.32</w:t>
            </w: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320" w:type="dxa"/>
            <w:vAlign w:val="bottom"/>
            <w:gridSpan w:val="3"/>
            <w:shd w:val="clear" w:color="auto" w:fill="CCEEFF"/>
          </w:tcPr>
          <w:p>
            <w:pPr>
              <w:jc w:val="center"/>
              <w:ind w:left="2672"/>
              <w:spacing w:after="0"/>
              <w:rPr>
                <w:sz w:val="20"/>
                <w:szCs w:val="20"/>
                <w:color w:val="auto"/>
              </w:rPr>
            </w:pPr>
            <w:r>
              <w:rPr>
                <w:rFonts w:ascii="Arial" w:cs="Arial" w:eastAsia="Arial" w:hAnsi="Arial"/>
                <w:sz w:val="18"/>
                <w:szCs w:val="18"/>
                <w:color w:val="auto"/>
                <w:w w:val="86"/>
              </w:rPr>
              <w:t>$ 58.20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$ 43.27</w:t>
            </w:r>
          </w:p>
        </w:tc>
      </w:tr>
      <w:tr>
        <w:trPr>
          <w:trHeight w:val="222"/>
        </w:trPr>
        <w:tc>
          <w:tcPr>
            <w:tcW w:w="56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320" w:type="dxa"/>
            <w:vAlign w:val="bottom"/>
            <w:gridSpan w:val="3"/>
          </w:tcPr>
          <w:p>
            <w:pPr>
              <w:jc w:val="center"/>
              <w:ind w:left="2672"/>
              <w:spacing w:after="0"/>
              <w:rPr>
                <w:sz w:val="20"/>
                <w:szCs w:val="20"/>
                <w:color w:val="auto"/>
              </w:rPr>
            </w:pPr>
            <w:r>
              <w:rPr>
                <w:rFonts w:ascii="Arial" w:cs="Arial" w:eastAsia="Arial" w:hAnsi="Arial"/>
                <w:sz w:val="18"/>
                <w:szCs w:val="18"/>
                <w:color w:val="auto"/>
                <w:w w:val="86"/>
              </w:rPr>
              <w:t>$ 61.50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$ 42.06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15,552 beneficial holders of our common stock as of February 16,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November 13, 2006 our Board of Directors declared a special one-time distribution of $6.00 per common share which was paid on December 4, 2006.</w:t>
      </w:r>
    </w:p>
    <w:p>
      <w:pPr>
        <w:spacing w:after="0" w:line="2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Wynn Resorts is a holding company and, as a result, its ability to pay dividends is dependent on its subsidiaries’ ability to provide funds to it. Restrictions imposed by Wynn Resorts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Debenture Conversions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convertible debentures are currently convertible at each holder’s option into shares of the Company’s common stock at a conversion price of $23.00 per share (equivalent to 43.4782 shares per $1,000 principal amount). During the fourth quarter of 2006, we issued 1,434 shares of common stock upon the conversion of $33,000 of convertible debentures.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7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following tables reflect the selected consolidated financial data of Wynn Resorts and its subsidiaries or Valvino Lamore, LLC, its predecessor. This data should be read together with Wynn Resorts’ Consolidated Financial Statements and Notes thereto, “Item 7. Management’s Discussion and Analysis of Financial Condition and Results of Operations” and the other information contained in this Annual Report on Form 10-K. Operating results for the periods presented are not indicative of the results that may be expected for future years. Significant events impacting our operational results during 2006 and 2005 include:</w:t>
      </w:r>
    </w:p>
    <w:p>
      <w:pPr>
        <w:spacing w:after="0" w:line="62"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September 6, 2006, we opened our Wynn Macau resort.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April 28, 2006, we commenced construction of Encore.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April 28, 2005, we opened our Wynn Las Vegas resort.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April 28, 2005, we were solely 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1"/>
              </w:rPr>
              <w:t>thousands,</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2004</w:t>
            </w:r>
          </w:p>
        </w:tc>
        <w:tc>
          <w:tcPr>
            <w:tcW w:w="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gridSpan w:val="2"/>
            <w:vMerge w:val="continue"/>
          </w:tcPr>
          <w:p>
            <w:pPr>
              <w:spacing w:after="0"/>
              <w:rPr>
                <w:sz w:val="12"/>
                <w:szCs w:val="12"/>
                <w:color w:val="auto"/>
              </w:rPr>
            </w:pPr>
          </w:p>
        </w:tc>
        <w:tc>
          <w:tcPr>
            <w:tcW w:w="860" w:type="dxa"/>
            <w:vAlign w:val="bottom"/>
            <w:gridSpan w:val="2"/>
          </w:tcPr>
          <w:p>
            <w:pPr>
              <w:jc w:val="right"/>
              <w:ind w:right="36"/>
              <w:spacing w:after="0" w:line="142" w:lineRule="exact"/>
              <w:rPr>
                <w:sz w:val="20"/>
                <w:szCs w:val="20"/>
                <w:color w:val="auto"/>
              </w:rPr>
            </w:pPr>
            <w:r>
              <w:rPr>
                <w:rFonts w:ascii="Arial" w:cs="Arial" w:eastAsia="Arial" w:hAnsi="Arial"/>
                <w:sz w:val="14"/>
                <w:szCs w:val="14"/>
                <w:b w:val="1"/>
                <w:bCs w:val="1"/>
                <w:color w:val="auto"/>
              </w:rPr>
              <w:t>except per</w:t>
            </w:r>
          </w:p>
        </w:tc>
        <w:tc>
          <w:tcPr>
            <w:tcW w:w="400" w:type="dxa"/>
            <w:vAlign w:val="bottom"/>
            <w:gridSpan w:val="2"/>
            <w:vMerge w:val="continue"/>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amounts)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Revenues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1,432,257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9"/>
              <w:spacing w:after="0"/>
              <w:rPr>
                <w:sz w:val="20"/>
                <w:szCs w:val="20"/>
                <w:color w:val="auto"/>
              </w:rPr>
            </w:pPr>
            <w:r>
              <w:rPr>
                <w:rFonts w:ascii="Arial" w:cs="Arial" w:eastAsia="Arial" w:hAnsi="Arial"/>
                <w:sz w:val="18"/>
                <w:szCs w:val="18"/>
                <w:color w:val="auto"/>
              </w:rPr>
              <w:t>721,981</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32"/>
              <w:spacing w:after="0"/>
              <w:rPr>
                <w:sz w:val="20"/>
                <w:szCs w:val="20"/>
                <w:color w:val="auto"/>
              </w:rPr>
            </w:pPr>
            <w:r>
              <w:rPr>
                <w:rFonts w:ascii="Arial" w:cs="Arial" w:eastAsia="Arial" w:hAnsi="Arial"/>
                <w:sz w:val="18"/>
                <w:szCs w:val="18"/>
                <w:color w:val="auto"/>
              </w:rPr>
              <w:t>195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643</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96,940</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81,321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24,532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income/(loss)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70,899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(24,556)</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72"/>
              <w:spacing w:after="0"/>
              <w:rPr>
                <w:sz w:val="20"/>
                <w:szCs w:val="20"/>
                <w:color w:val="auto"/>
              </w:rPr>
            </w:pPr>
            <w:r>
              <w:rPr>
                <w:rFonts w:ascii="Arial" w:cs="Arial" w:eastAsia="Arial" w:hAnsi="Arial"/>
                <w:sz w:val="18"/>
                <w:szCs w:val="18"/>
                <w:color w:val="auto"/>
              </w:rPr>
              <w:t>(89,798)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(53,335)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(34,400)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628,728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5"/>
              </w:rPr>
              <w:t>(204,171)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(31,713)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Basic income/(loss) per share</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72"/>
              <w:spacing w:after="0"/>
              <w:rPr>
                <w:sz w:val="20"/>
                <w:szCs w:val="20"/>
                <w:color w:val="auto"/>
              </w:rPr>
            </w:pPr>
            <w:r>
              <w:rPr>
                <w:rFonts w:ascii="Arial" w:cs="Arial" w:eastAsia="Arial" w:hAnsi="Arial"/>
                <w:sz w:val="18"/>
                <w:szCs w:val="18"/>
                <w:color w:val="auto"/>
              </w:rPr>
              <w:t>(2.35)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income/(loss) per share</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(2.35)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1"/>
              </w:rPr>
              <w:t>thousands,</w:t>
            </w:r>
          </w:p>
        </w:tc>
        <w:tc>
          <w:tcPr>
            <w:tcW w:w="860" w:type="dxa"/>
            <w:vAlign w:val="bottom"/>
            <w:gridSpan w:val="2"/>
          </w:tcPr>
          <w:p>
            <w:pPr>
              <w:jc w:val="right"/>
              <w:ind w:right="36"/>
              <w:spacing w:after="0" w:line="142" w:lineRule="exact"/>
              <w:rPr>
                <w:sz w:val="20"/>
                <w:szCs w:val="20"/>
                <w:color w:val="auto"/>
              </w:rPr>
            </w:pPr>
            <w:r>
              <w:rPr>
                <w:rFonts w:ascii="Arial" w:cs="Arial" w:eastAsia="Arial" w:hAnsi="Arial"/>
                <w:sz w:val="14"/>
                <w:szCs w:val="14"/>
                <w:b w:val="1"/>
                <w:bCs w:val="1"/>
                <w:color w:val="auto"/>
              </w:rPr>
              <w:t>except per</w:t>
            </w:r>
          </w:p>
        </w:tc>
        <w:tc>
          <w:tcPr>
            <w:tcW w:w="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amounts)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789,407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9"/>
              <w:spacing w:after="0"/>
              <w:rPr>
                <w:sz w:val="20"/>
                <w:szCs w:val="20"/>
                <w:color w:val="auto"/>
              </w:rPr>
            </w:pPr>
            <w:r>
              <w:rPr>
                <w:rFonts w:ascii="Arial" w:cs="Arial" w:eastAsia="Arial" w:hAnsi="Arial"/>
                <w:sz w:val="18"/>
                <w:szCs w:val="18"/>
                <w:color w:val="auto"/>
              </w:rPr>
              <w:t>434,289</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32"/>
              <w:spacing w:after="0"/>
              <w:rPr>
                <w:sz w:val="20"/>
                <w:szCs w:val="20"/>
                <w:color w:val="auto"/>
              </w:rPr>
            </w:pPr>
            <w:r>
              <w:rPr>
                <w:rFonts w:ascii="Arial" w:cs="Arial" w:eastAsia="Arial" w:hAnsi="Arial"/>
                <w:sz w:val="18"/>
                <w:szCs w:val="18"/>
                <w:color w:val="auto"/>
              </w:rPr>
              <w:t>330,261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341,552</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109,644</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investments[2]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237,386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442,602</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942,367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400,432</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792,877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345,377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9"/>
              <w:spacing w:after="0"/>
              <w:rPr>
                <w:sz w:val="20"/>
                <w:szCs w:val="20"/>
                <w:color w:val="auto"/>
              </w:rPr>
            </w:pPr>
            <w:r>
              <w:rPr>
                <w:rFonts w:ascii="Arial" w:cs="Arial" w:eastAsia="Arial" w:hAnsi="Arial"/>
                <w:sz w:val="18"/>
                <w:szCs w:val="18"/>
                <w:color w:val="auto"/>
              </w:rPr>
              <w:t>286,570</w:t>
            </w:r>
          </w:p>
        </w:tc>
        <w:tc>
          <w:tcPr>
            <w:tcW w:w="1480" w:type="dxa"/>
            <w:vAlign w:val="bottom"/>
            <w:gridSpan w:val="4"/>
          </w:tcPr>
          <w:p>
            <w:pPr>
              <w:jc w:val="right"/>
              <w:ind w:right="232"/>
              <w:spacing w:after="0"/>
              <w:rPr>
                <w:sz w:val="20"/>
                <w:szCs w:val="20"/>
                <w:color w:val="auto"/>
              </w:rPr>
            </w:pPr>
            <w:r>
              <w:rPr>
                <w:rFonts w:ascii="Arial" w:cs="Arial" w:eastAsia="Arial" w:hAnsi="Arial"/>
                <w:sz w:val="18"/>
                <w:szCs w:val="18"/>
                <w:color w:val="auto"/>
              </w:rPr>
              <w:t>$ 1,499,284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570,988</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90,189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4,660,180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89"/>
              </w:rPr>
              <w:t>3,945,283</w:t>
            </w:r>
          </w:p>
        </w:tc>
        <w:tc>
          <w:tcPr>
            <w:tcW w:w="148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$ 3,464,413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1,733,323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1,398,601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long-term obligations[3]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2,419,992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9"/>
              <w:spacing w:after="0"/>
              <w:rPr>
                <w:sz w:val="20"/>
                <w:szCs w:val="20"/>
                <w:color w:val="auto"/>
              </w:rPr>
            </w:pPr>
            <w:r>
              <w:rPr>
                <w:rFonts w:ascii="Arial" w:cs="Arial" w:eastAsia="Arial" w:hAnsi="Arial"/>
                <w:sz w:val="18"/>
                <w:szCs w:val="18"/>
                <w:color w:val="auto"/>
                <w:w w:val="89"/>
              </w:rPr>
              <w:t>2,137,082</w:t>
            </w:r>
          </w:p>
        </w:tc>
        <w:tc>
          <w:tcPr>
            <w:tcW w:w="1480" w:type="dxa"/>
            <w:vAlign w:val="bottom"/>
            <w:gridSpan w:val="4"/>
          </w:tcPr>
          <w:p>
            <w:pPr>
              <w:jc w:val="right"/>
              <w:ind w:right="232"/>
              <w:spacing w:after="0"/>
              <w:rPr>
                <w:sz w:val="20"/>
                <w:szCs w:val="20"/>
                <w:color w:val="auto"/>
              </w:rPr>
            </w:pPr>
            <w:r>
              <w:rPr>
                <w:rFonts w:ascii="Arial" w:cs="Arial" w:eastAsia="Arial" w:hAnsi="Arial"/>
                <w:sz w:val="18"/>
                <w:szCs w:val="18"/>
                <w:color w:val="auto"/>
              </w:rPr>
              <w:t>$ 1,660,169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659,319</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382,697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1,645,585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89"/>
              </w:rPr>
              <w:t>1,562,895</w:t>
            </w:r>
          </w:p>
        </w:tc>
        <w:tc>
          <w:tcPr>
            <w:tcW w:w="148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$ 1,644,492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1,001,815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991,613</w:t>
            </w: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Cash distribution declared per common share</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32"/>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for 2006 includes a pre-tax gain on sale of subconcession right of $899.4 million.</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Restricted cash and investments primarily reflects the proceeds of our debt and equity financings that are restricted for the construction of Encore, Wynn Las Vegas and Wynn Macau.</w:t>
      </w:r>
    </w:p>
    <w:p>
      <w:pPr>
        <w:spacing w:after="0" w:line="50"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the current portion of long-term debt amounting to approximately $6.1 million, $15.5 million, $718,000, $41,000, and $38,000 as of December 31, 2006, 2005, 2004, 2003, and 2002, respectively. December 31, 2006, 2005 and 2004 also includes approximately $7.4 million, $9 million and $9.5 million, respectively, for the current portion of the required contract premium payments under our land concession contract relating to Wynn Macau.</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(“Macau”), which opened on September 6, 2006. In addition, on April 28, 2006, we commenced construction of Encore at Wynn Las Vegas (“Encore”), a hotel casino resort which, when completed, will be fully integrated with Wynn Las Vegas. We are also currently expanding Wynn Macau and in November 2006, announced “Wynn Diamond Suites” an additional hotel tower for Wynn Macau. Until the opening of Wynn Las Vegas in 2005, we were solely a development stage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February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4"/>
                <w:szCs w:val="14"/>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Table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960" w:type="dxa"/>
            <w:vAlign w:val="bottom"/>
          </w:tcPr>
          <w:p>
            <w:pPr>
              <w:spacing w:after="0"/>
              <w:rPr>
                <w:sz w:val="15"/>
                <w:szCs w:val="15"/>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6"/>
              </w:rPr>
              <w:t>Square Footage</w:t>
            </w:r>
          </w:p>
        </w:tc>
        <w:tc>
          <w:tcPr>
            <w:tcW w:w="820" w:type="dxa"/>
            <w:vAlign w:val="bottom"/>
          </w:tcPr>
          <w:p>
            <w:pPr>
              <w:spacing w:after="0"/>
              <w:rPr>
                <w:sz w:val="15"/>
                <w:szCs w:val="15"/>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Games</w:t>
            </w:r>
          </w:p>
        </w:tc>
        <w:tc>
          <w:tcPr>
            <w:tcW w:w="8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5"/>
                <w:szCs w:val="15"/>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111,000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Wynn Macau</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820" w:type="dxa"/>
            <w:vAlign w:val="bottom"/>
            <w:gridSpan w:val="3"/>
          </w:tcPr>
          <w:p>
            <w:pPr>
              <w:jc w:val="right"/>
              <w:ind w:right="820"/>
              <w:spacing w:after="0"/>
              <w:rPr>
                <w:sz w:val="20"/>
                <w:szCs w:val="20"/>
                <w:color w:val="auto"/>
              </w:rPr>
            </w:pPr>
            <w:r>
              <w:rPr>
                <w:rFonts w:ascii="Arial" w:cs="Arial" w:eastAsia="Arial" w:hAnsi="Arial"/>
                <w:sz w:val="18"/>
                <w:szCs w:val="18"/>
                <w:color w:val="auto"/>
              </w:rPr>
              <w:t>110,000</w:t>
            </w: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780" w:right="34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22 food and beverage outlets featuring signature chefs, including the AAA Five Diamond and Mobil Five Star award-winning restaurant, </w:t>
      </w:r>
      <w:r>
        <w:rPr>
          <w:rFonts w:ascii="Arial" w:cs="Arial" w:eastAsia="Arial" w:hAnsi="Arial"/>
          <w:sz w:val="16"/>
          <w:szCs w:val="16"/>
          <w:i w:val="1"/>
          <w:iCs w:val="1"/>
          <w:color w:val="auto"/>
        </w:rPr>
        <w:t>Alex</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Louis Vuitton, Jean-Paul Gaultier and Manolo Blahnik;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Showroom, nightclub and lounge entertainment.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utilizes approximately 18 additional acres across Sands Avenue for employee parking.</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2006. During the year ended December 31, 2006, we remodeled the six North Fairway Villas, several areas of the retail promenade, a portion of the baccarat area to feature a casino bar and improved public baccarat space along with private baccarat salons, converted the Keno lounge to a retail outlet for womens’ accessories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and our ladies shoe boutique in the retail esplanade. In March 2007, we intend to remodel the Le Reve Theatre, decreasing the seat count from 2,087 to 1,606 and further enhancing the guest experience. We expect the remodel effort to last approximately 30 days during which there will be no performances of Le Reve.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$2.0 billion for Encore and approximately $100 million for an employee parking garage on our Koval property, an associated pedestrian bridge and costs incurred in connection with the theatre remodeling and production of “Monty Python’s Spamalot” at Wynn Las Vegas. The budget has increased from the previously announced $1.74 billion due to refinements in scope and market conditions for construction materials. The project budget will be funded from our existing credit facilities, remaining proceeds from the first mortgage notes and operating cash flow from Wynn Las Vegas. To the extent additional funds are required, we will provide these amounts with additional debt and equity contributions by Wynn Resorts. On March 31, 2006, Wynn Resorts delivered an equity commitment to its bank lenders under which Wynn Resorts is obligated to pay project costs if Wynn Las Vegas is unable to. As of August 2006, Wynn Resorts’ obligation under the equity commitment was $70 million.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is located on 11 acres of a total site area of 16 acres of land and features:</w:t>
      </w:r>
    </w:p>
    <w:p>
      <w:pPr>
        <w:spacing w:after="0" w:line="90" w:lineRule="exact"/>
        <w:rPr>
          <w:sz w:val="20"/>
          <w:szCs w:val="20"/>
          <w:color w:val="auto"/>
        </w:rPr>
      </w:pPr>
    </w:p>
    <w:p>
      <w:pPr>
        <w:ind w:left="780" w:right="8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 approximately 256 table games and approximately 477 slot machines;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Chanel, Louis Vuitton, Prada, Dior, Fendi, Giorgio Armani, Tiffany, Bulgari, Piaget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Entertainment lounges and meeting facilities.</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Construction and development continues on the second phase. This phase includes approximately 123,000 square feet of additional gaming space, a dramatic front feature attraction, a theater showroom and additional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food, beverage and retail amenities, which we expect to open in the third quarter of 2007. After the completion of the expansion, Wynn Macau is expected to have a total of approximately 420 table games and 1,280 slot machines.</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addition, we continue to develop the plans and budget for the further expansion of Wynn Macau, which was first announced in November 2006. This further expansion will add a second self-contained, fully-integrated resort hotel named “Wynn Diamond Suites,” as well as gaming areas, food and beverage, retail and entertainment amenities. We continue to work on a budget and final design for Wynn Diamond Suites.</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operate Wynn Macau under a 20-year casino concession agreement granted by the Macau government in June 2002. In September 2006, we sold the right to a subconcession to operate games of chance in Macau, to Publishing &amp; Broadcasting, Ltd. (“PBL”) for $900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Development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submitted an application to the Macau government for a concession of land in Cotai. We recently reconfigured our site plan for 52 acres and are awaiting final approval.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for the periods presented are not comparable for the following reasons:</w:t>
      </w:r>
    </w:p>
    <w:p>
      <w:pPr>
        <w:spacing w:after="0" w:line="90"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September 11, 2006, Wynn Macau completed the sale of a Macau subconcession right and received a cash payment of $900 million.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September 6, 2006, we opened Wynn Macau and began generating operating cash flow from this project;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April 28, 2005, we opened Wynn Las Vegas and began generating operating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April 28, 2005, we were solely a development stage company;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Accordingly, our results of operations for the year ended December 31, 2006 include a full period of operations for Wynn Las Vegas and 117 days of operations for Wynn Macau. In contrast, the year ended December 31, 2005 includes 248 days of Wynn Las Vegas operations only. The table below displays our net revenues for the years ended December 31, 2006 and 2005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8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r>
      <w:tr>
        <w:trPr>
          <w:trHeight w:val="142"/>
        </w:trPr>
        <w:tc>
          <w:tcPr>
            <w:tcW w:w="8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1,138,549</w:t>
            </w:r>
          </w:p>
        </w:tc>
        <w:tc>
          <w:tcPr>
            <w:tcW w:w="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721,981</w:t>
            </w: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293,708</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280" w:type="dxa"/>
            <w:vAlign w:val="bottom"/>
          </w:tcPr>
          <w:p>
            <w:pPr>
              <w:ind w:left="880"/>
              <w:spacing w:after="0"/>
              <w:rPr>
                <w:sz w:val="20"/>
                <w:szCs w:val="20"/>
                <w:color w:val="auto"/>
              </w:rPr>
            </w:pPr>
            <w:r>
              <w:rPr>
                <w:rFonts w:ascii="Arial" w:cs="Arial" w:eastAsia="Arial" w:hAnsi="Arial"/>
                <w:sz w:val="18"/>
                <w:szCs w:val="18"/>
                <w:color w:val="auto"/>
              </w:rPr>
              <w:t>Total Net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1,432,257</w:t>
            </w:r>
          </w:p>
        </w:tc>
        <w:tc>
          <w:tcPr>
            <w:tcW w:w="5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721,981</w:t>
            </w: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reliance on our operating cash flow from only two properties exposes us to certain risks that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presented. Casinos generally record win as a percentage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either drop or turnover. In our casino operations at Wynn Las Vegas, table games win is recorded as a percentage of drop. However, in our casino operations at Wynn Macau, we separate table play into two distinct segments. Our Macau VIP casino segment records table games win as a percentage of turnover, whereas our general casino records win as a percentage of drop.</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“Drop” is the amount of cash or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“Turnover” is the sum of all losing wagers within our Wynn Macau VIP program.</w:t>
      </w:r>
    </w:p>
    <w:p>
      <w:pPr>
        <w:spacing w:after="0" w:line="9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Wynn Las Vegas or Wynn Macau and is recorded as casino revenue.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2006 compared to financial results for the year ended December 31, 2005.</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Net revenues for the year ended December 31, 2006 are comprised of $800.6 million in casino revenues (55.9% of total net revenues) and $631.7 million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net non-casino revenues (44.1% of total net revenues). Net revenues for the 248 days of operations for the year ended December 31, 2005 were comprised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$353.7 million in net casino revenues (49.0% of total net revenues) and $368.3 million of net non-gaming revenues (51.0% of total net revenues). The quality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resorts’ non-gaming amenities, combined with providing guests an unparalleled total resort experience, has driven a premium in the two properties’ ADR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non-gaming revenues.</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2006 were approximately $800.6 million, which represents approximately a $446.9 million (or 126.4%) increase from the casino revenues of $353.7 million for the year ended December 31, 2005. The increase in casino revenues is driven primarily by the opening of Wynn Macau in September 2006 and Wynn Las Vegas being open for all of 2006 as opposed to only 248 days in 2005. At Wynn Las Vegas, the average table games win percentage (before discounts) of 22.1% was within the expected range of 20% to 23% for the year ended December 31, 2006 compared to 21.5% in the prior year. Slot handle at Wynn Las Vegas for 2006 increased as compared to 2005, however the slot win percentage for 2006 was slightly below the expected range of 5% to 6%. Wynn Macau’s win percentage for the VIP casino segment of 2.4% of turnover was below the expected range of 2.5% to 2.8%. However, turnover, the leading volume indicator in the VIP casino, met management’s expectations. The average table games win percentage at the general casino at Wynn Macau of 17.1% of drop was at the lower end of the expected range of 17% to 19%, and the volume of table game play was as expected. We believe that the results of operations for the first 117 days of operations for Wynn Macau are not indicative of results to be expected in the future. We expect that over time hold percentages will normalize and that operating efficiencies will emerge.</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year ended December 31, 2006, room revenues were approximately $283.1 million, which represents a $112.8 million (or 66.2%) increase over the $170.3 million generated in the 248 days of operations for the year ended December 31, 2005. The increase is primarily driven by Wynn Las Vegas being open for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full year as opposed to 248 days of operations in 2005, as well as Wynn Macau’s 117 days of operations in 2006. See the table below for key operating measures related to room revenue.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5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2006</w:t>
            </w: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$ 287</w:t>
            </w: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Occupancy</w:t>
            </w:r>
          </w:p>
        </w:tc>
        <w:tc>
          <w:tcPr>
            <w:tcW w:w="3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476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92.1%</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4760" w:type="dxa"/>
            <w:vAlign w:val="bottom"/>
            <w:gridSpan w:val="3"/>
          </w:tcPr>
          <w:p>
            <w:pPr>
              <w:jc w:val="right"/>
              <w:ind w:right="6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$ 271</w:t>
            </w: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non-casino revenues for the year ended December 31, 2006 included food and beverage revenues of approximately $309.8 million, retail revenues of approximately $87.7 million, entertainment revenues of approximately $66.3 million, and other revenues from outlets, including the spa and salon, of approximately $51.2 million. Other non-casino revenues for the 248 days of operations for the year ended December 31, 2005 included food and beverage revenues of approximately $173.7 million, retail revenues of approximately $51.2 million, entertainment revenues of approximately $41.8 million, and other revenues from outlets, including the spa and salon, of approximately $32.2 million. The additional revenue earned in Wynn Macau’s 117 days of operations during 2006 contributed to the increase in the food and beverage and retail revenues. In addition, food and beverage revenues in 2006 benefited significantly from increased revenues from the nightclub located in Wynn Las Vegas as compared to the 2005 food and beverage revenues.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year ended December 31, 2006, departmental expenses included casino expenses of $439.9 million, rooms expenses of $73.9 million, food and beverage expenses of $194.4 million, and entertainment, retail and other expenses of $134.5 million. Also included are general and administrative expenses of approximately $231.5 million and approximately $21.2 million charged as a provision for doubtful accounts receivable. During the year ended December 31, 2005, departmental expenses included casino expenses of $155.1 million, room expenses of $44.2 million, food and beverage expenses of $118.7 million, and entertainment, retail and other expenses of $80.2 million. Also included are general and administrative expenses of approximately $119.0 million and approximately $16.2 million charged as a provision for doubtful accounts receivable. The increase in expenses is due primarily to the inclusion of 117 days of the operations of Wynn Macau and increases in Wynn Las Vegas expenses commensurate with the increase in revenues.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on January 1, 2006, we adopted Statement of Accounting Standard (“SFAS”) No. 123R, “Share-Based Payments”, using the modified prospective method. For the year ended December 31, 2006, we recorded $15.4 million of share based compensation expense which is included in the department of the recipient of the stock based award. Prior to January 1, 2006, we did not recognize expense for employee stock options that were granted at the market price. See our Consolidated Financial Statements Note 15 for more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Pre-opening costs for the year ended December 31, 2006 were $62.7 million compared to $96.9 million for the prior year. Wynn Macau, which opened on September 6, 2006, accounted for $60.5 million of the current year pre-opening costs while the balance relates primarily to Encore. Pre-opening costs during the year ended December 31, 2005 related primarily to Wynn Las Vegas which opened on April 28, 2005 and Wynn Macau.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expect that Wynn Macau’s pre-opening expenses will continue during 2007, although at lesser amounts, as construction and development of the second phase continues toward the expected completion in the third quarter of 2007. In addition, as Encore progresses, pre-opening expenses related to this project will increase as the opening approaches.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2006 of $175.5 million increased by $72.1 million compared to the year ended December 31, 2005 primarily due to including a full year for Wynn Las Vegas and an additional 117 days of operations of Wynn Macau. Wynn Las Vegas only recorded 248 days of depreciation in 2005.</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2029, respectively. Consequently, depreciation for long-lived assets related to Wynn Macau is charged generally over shorter useful lives when compared to Wynn Las Vegas.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Theatre at the end of May 2006. To terminate the contract, we paid a termination fee of $5 million. This fee was recorded in the first quarter of 2006. We have remodeled the Broadway Theater and adjacent areas in anticipation of commencing performances of “Monty Python’s Spamalot” in the first quarter of 2007.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 ended December 31, 2006 of $25.1 million increased by $10.8 million compared to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2006. Costs relating to assets retired as a result of these enhancements and remodel efforts for the year ended December 31, 2006 of $14.4 million have been expensed as property charges. During the year ended December 31, 2006, we remodeled the six North Fairway Villas, several areas of the retail promenade, a portion of the baccarat area to feature a casino bar, improved public baccarat space and private baccarat salons, converted the Keno lounge to a retail outlet for womens’ accessories, and remodeled our ladies’ shoe boutique in the retail esplanade. In March 2007, we intend to remodel the Le Reve Theatre, decreasing the seat count from 2,087 to 1,606 and further enhancing the guest experience. We expect the remodel effort to last approximately 30 days during which time there will be no performances of Le Reve.</w:t>
      </w:r>
    </w:p>
    <w:p>
      <w:pPr>
        <w:spacing w:after="0" w:line="118"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Although Wynn Las Vegas’ property charges have decreased in recent quarters, we expect that enhancements and refinements to Wynn Macau will take place in response to reactions from our customers in that market. Accordingly, we expect that Company property charges may increase in future periods.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December 2006, Wynn Macau donated an early Ming dynasty vase to the Macau Museum. We purchased the vase in May 2006 for approximately $10.1 million. The vase had been on public display at Wynn Macau</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prior to its donation to the museum. The $10.1 million expense for the donation of the Ming Vase is included in Property charges and other for the year ended December 31, 2006.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Interest and other income of $46.8 million for the year ended December 31, 2006 increased by $18.5 million from the year ended December 31, 2005. This increase is primarily due to higher interest rates earned on cash balances compared to 2005, as well as interest earned on the PBL proceeds.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expense, net of capitalized interest of $29.5 million was $148.0 million for the year ended December 31, 2006 compared to $102.7 million, net of capitalized interest of $50.0 million for the same period in 2005. This increase is due to the increase in our borrowings in Macau, slightly higher interest rates and the $20.5 million decrease in interest capitalized once Wynn Las Vegas and Wynn Macau opened.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interest rate swaps are accounted for in accordance with Statement of Financial Accounting Standards No. 133, Accounting for Derivative Instruments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Hedging Activities, as amended (“SFAS 133”). On August 15, 2006, concurrent with the refinancing of Wynn Las Vegas, LLC’s senior credit facilities (See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“Liquidity and Capital Resources—Financing Activities”), we terminated a $200 million notional amount interest rate swap relating to Wynn Las Vegas, LLC’s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credit facilities. The fair value of our interest rate swaps are recorded as either assets or liabilities. Changes in the fair value of our interest rate swaps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as non-operating income or expense in each period. We recorded approximately $1.2 million of interest rate swap income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2006 resulting from the increase in the fair value of our interest rate swaps from December 31, 2005 to December 31, 2006 (December 31, 2005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August 15, 2006 in the case of the terminated swap). During the year ended December 31, 2005 we recorded a gain of $8.2 million resulting from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interest rate swaps between December 31, 2004 and December 31, 2005. For further information on our interest rate swaps, see Part II- Item 7A.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Loss from extinguishment of debt totaled $12.5 million for the year ended December 31, 2006. On August 15, 2006 we refinanced our Wynn Las Vegas senior credit facilities as discussed in further detail below (See “Liquidity and Capital Resources—Financing Activities”). As a result of the refinancing and resulting modification of the Term Loan, we recorded a loss from extinguishment of debt for the year ended December 31, 2006 of approximately $10.8 million to reflect the write-off of the previous Term Loan’s unamortized deferred financing costs. In addition, on November 1, 2006, we redeemed the remaining approximate $10.1 million of our Second Mortgage Notes and incurred a $1.7 million redemption premium which is also included as loss from extinguishment of debt.</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November 13, 2006, the Company’s Board of Directors declared a special one-time cash distribution of $6.00 per share on its outstanding common stock. This special one-time distribution was paid on December 4, 2006, to stockholders of record as of November 23, 2006. As part of this distribution, the Company made a special payment to the holders of its Debentures so that they participated in the special distribution as if they had converted their Debentures to common stock prior to the record date. The Company paid holders of the Debentures a cash amount equal to $260.87 per $1,000 principal amount, or $58.5 million in total. In accordance with the indenture governing the Debentures, as a result of the payment, no adjustment was made to the conversion price as a result of the special cash distribution. The payment was recorded as a distribution to convertible debenture holders in the accompanying Consolidated Statements of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 on sale of subconcession right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March 4, 2006, we entered into an agreement with PBL pursuant to which we agreed to sell to PBL for $900 million, the right to negotiate with the government of Macau for a subconcession to allow PBL to operate casinos in Macau.</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8, 2006, the government of Macau approved the subconcession and on September 11, 2006, PBL paid $900 million in cash to Wynn Macau, S.A. for the subconcession right. As a result of the sale and the subconcession awarded to PBL by the government of Macau, we have no continuing rights or obligations with respect to the subconcession. All rights and obligations under the subconcession are between PBL and the government of Macau. The proceeds from this sale, net of related costs, are recorded as gain on sale of subconcession right, net in our Consolidated Statement of Operations for the year ended December 31, 2006.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year ended December 31, 2006, our effective tax rate was approximately 21.3%. This rate was lower than the federal statutory rate due to the reduction of our valuation allowance in connection with the sale of the PBL subconcession right and a reduced effective tax rate on our foreign operations (see footnote 17 Income Taxes). Their were no comparable items in 2004 and 2005 as we had not yet reached a conclusion that it was more likely than not that our net deferred tax assets were realizable.</w:t>
      </w:r>
    </w:p>
    <w:p>
      <w:pPr>
        <w:spacing w:after="0" w:line="14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Effective September 6, 2006, we received a 5-year exemption from Macau’s 12% Complementary Tax on casino gaming profits. Accordingly, we were exempted from the payment of approximately $4.7 million in such taxes. Wynn Macau’s non-gaming profits remain subject to the Macau Complementary Tax and Wynn Macau’s casino winnings remain subject to the Macau Special Gaming tax and other levies in accordance with its concession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2005 compared to financial results for the year ended December 31, 2004.</w:t>
      </w:r>
    </w:p>
    <w:p>
      <w:pPr>
        <w:spacing w:after="0" w:line="171"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248 days of operations at Wynn Las Vegas during the year ended December 31, 2005 have no comparisons to 2004 as we were solely a development stage company prior to the opening of Wynn Las Vegas on April 28, 2005.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Wynn Las Vegas’ net gaming revenues were $353.7 million for the 248 days of operations during the year ended December 31, 2005. During that period, the average table games win percentage (before discounts) of 21.5% was within the expected range of 18% to 22%, and the slot win percentage was within the expected range of 5% to 6% of handle.</w:t>
      </w:r>
    </w:p>
    <w:p>
      <w:pPr>
        <w:spacing w:after="0" w:line="140"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For the 248 days of operations in 2005, Wynn Las Vegas’ gross room revenues were approximately $170.3 million. ADR and occupancy for that period were $274 and 92.1%, respectively, generating REVPAR of $253. Other non-gaming revenues included food and beverage revenues of approximately $173.7 million, retail revenues of approximately $51.2 million, entertainment revenues of approximately $41.8 million, and other revenues from outlets, including the spa and salon, of approximately $32.2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year ended December 31, 2005, departmental expenses included casino expenses of $155.1 million, rooms expenses of $44.2 million, food and beverage expenses of $118.7 million, and entertainment, retail and other expenses of $80.2 million. Also included are general and administrative expenses of approximately $119.0 million and approximately $16.2 million charged as a provision for doubtful accounts receivable. At opening, Wynn Las Vegas employed approximately 9,200 persons to accommodate increased opening needs. Natural staffing attrition reduced the number of employees at the end of 2005 to approximately 8,900 persons.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Pre-opening costs were $96.9 million for the year ended December 31, 2005 compared with $81.3 million for the year ended December 31, 2004. Pre-opening costs related to our Wynn Las Vegas project were $67.5</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million and $41.1 million for the years ended December 31, 2005 and 2004, respectively. The large amount of pre-opening costs incurred in 2005 was due primarily to the substantial increase in staffing preceding the opening of Wynn Las Vegas on April 28, 2005. Pre-opening costs related to our Wynn Macau project were $20.4 million and $16.0 million for the years ended December 31, 2005 and 2004, respectively. Wynn Macau’s pre-opening costs continued to increase through the opening in the third quarter of 2006.</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Included in pre-opening costs are corporate costs of $9.1 million and $24.3 million for the years ended December 31, 2005 and 2004, respectively. After Wynn Las Vegas opened on April 28, 2005, such corporate expenses were charged to general and administrative expense instead of pre-opening. Corporate staffing and related costs did not increase significantly immediately before or after opening of Wynn Las Vegas; instead, the decrease in corporate expenses is due primarily to having a 117-day pre-opening period in 2005, compared with a 365-day pre-opening period in 2004.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Depreciation and amortization expense was $103.3 million for the year ended December 31, 2005, compared to $7.0 million for the year ended December 31, 2004. This increase is primarily due to the opening of Wynn Las Vegas on April 28, 2005. During the construction of Wynn Las Vegas, costs incurred in the construction of the buildings, improvements to land and the purchases of assets for use in operations were capitalized. Once Wynn Las Vegas opened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response to our evaluation of the finished product and in response to the reactions of our guests, we began to make enhancements and refinements to Wynn Las Vegas in the third quarter of 2005. Included in the total $14.3 million for Wynn Las Vegas’ property charges and other for 2005 are approximately $9.4 million of costs relating to assets retired as a result of the remodel efforts at Wynn Las Vegas, and approximately $3.1 million of expenses relating to the abandonment of improvements made to the temporary offices utilized during part of the construction and development of the resort. Once we decided to remodel the Broadway Theater to present Spamalot, we also wrote off approximately $1.6 million of costs incurred in 2005 in connection with the preliminary design and development of a third theater originally planned to house “Monty Python’s Spamalot,” and later abandoned. There were no comparable Wynn Las Vegas property charges incurred during 2004. Property charges in 2004 instead reflect net losses on ordinary asset sales, including an aircraft sold in 2004 at a loss of approximately $550,000.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Interest and other income increased by $19.6 million for 2005 compared to 2004. This increase is due primarily to the significant increase in the amount of average cash balances available and invested from the remaining proceeds of our 6-5/8% First Mortgage Notes due 2014 (the “First Mortgage Notes”) and borrowings under the Wynn Las Vegas, LLC credit facilities that were invested during 2005, compared to 2004.</w:t>
      </w:r>
    </w:p>
    <w:p>
      <w:pPr>
        <w:spacing w:after="0" w:line="107"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Interest expense, net, increased by $100.0 million for 2005 compared to 2004, due primarily to the significant decrease in the amount of interest capitalized once Wynn Las Vegas opened, plus the increase in the long-term debt resulting from our December 2004 refinancing and credit facility borrowings during 2005.</w:t>
      </w:r>
    </w:p>
    <w:p>
      <w:pPr>
        <w:spacing w:after="0" w:line="6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seek to manage the interest rate risk associated with our variable rate borrowings, through balancing fixed-rate and variable-rate borrowings supplemented by the use of derivative financial instruments as required or considered necessary. We were required to, and did obtain through interest rate swap arrangements, interest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rate protection for portions of our borrowings under our credit facilities. These interest rate swaps are accounted for in accordance with SFAS 133. During the year ended December 31, 2005, we recorded an increase in swap fair value of approximately $8.2 million resulting from the increase in the fair value of our interest rate swaps from December 31, 2004 to December 31, 2005.</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during 2004, we recorded a $122.8 million loss from extinguishment of debt related to the early retirement of the majority of the original $370.0 million of 12% Second Mortgage Notes due 2010 (the “Second Mortgage Notes”). This loss resulted from the write-off of associated deferred financing costs and original issue discount, as well as a 12% redemption premium, on the Second Mortgage Notes. We repurchased the remaining principal amount of the Second Mortgage Notes totaling approximately $10.1 million on November 1, 2006 (the first available call date), at which time an additional loss of $1.7 million was recorded to reflect the redemption premium and write-off of the remaining financing costs.</w:t>
      </w:r>
    </w:p>
    <w:p>
      <w:pPr>
        <w:spacing w:after="0" w:line="191"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and Wynn Macau, interest paid, and non-cash charges included in operating income. Net cash from operations for the year ended December 31, 2006 was $240.8 million compared to $48.5 million provided by operations for the year ended December 31, 2005. Prior to the opening of Wynn Las Vegas on April 28, 2005, we were solely a development stage company and did not generate operational cash flow.</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require a certain amount of cash on hand for operations. Our cash balances at December 31, 2006, were higher than in prior periods due to the opening of Wynn Macau and approximately $517 million remaining from the $900 million cash received from PBL on September 11, 2006. At December 31, 2006, we had approximately $789.4 million of cash and cash equivalents available for new development activities, general corporate purposes, enhancements to Wynn Las Vegas and Wynn Macau, and to support the development and construction of Encore and the second phase of Wynn Macau. Of this amount, approximately $54.7 million is held by Wynn Resorts, Limited, which is not a guarantor of the debt of its subsidiaries, including Wynn Las Vegas, LLC and Wynn Macau, S.A. However, Wynn Resorts, Limited has provided an equity commitment agreement to Wynn Las Vegas, LLC’s secured lenders, which obligates Wynn Resorts, Limited to contribute up to $70 million for Encore project costs if Wynn Las Vegas, LLC is unable to pay such costs.</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December 31, 2006, we had approximately $237.4 million in cash and investments from the proceeds of our debt and equity financings, which is restricted for the following:</w:t>
      </w:r>
    </w:p>
    <w:p>
      <w:pPr>
        <w:spacing w:after="0" w:line="51"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Encore;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the second phase of Wynn Macau;</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Remaining costs to be paid in relation to Wynn Macau’s first phase;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$30 million of contingent equity restricted for Wynn Macau;</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$80 million restricted for the Wynn Las Vegas liquidity reserve and completion guarantee ($30 million of which must be retained for Encore);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Remaining costs for completion of Wynn Las Vegas, estimated to be approximately $3.2 million.</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28, 2006, we commenced construction on Encore. We expect to open Encore to the public in early 2009.</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Design and construction is progressing as expected at Encore. Current construction activities in the various project sections since groundbreaking include the following:</w:t>
      </w:r>
    </w:p>
    <w:p>
      <w:pPr>
        <w:spacing w:after="0" w:line="51" w:lineRule="exact"/>
        <w:rPr>
          <w:sz w:val="20"/>
          <w:szCs w:val="20"/>
          <w:color w:val="auto"/>
        </w:rPr>
      </w:pPr>
    </w:p>
    <w:p>
      <w:pPr>
        <w:ind w:left="780" w:right="40" w:hanging="326"/>
        <w:spacing w:after="0" w:line="250"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high-rise concrete pours have been completed through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deck. The installation of the reinforcing rebar for the shear walls and columns for the 16</w:t>
      </w:r>
      <w:r>
        <w:rPr>
          <w:rFonts w:ascii="Arial" w:cs="Arial" w:eastAsia="Arial" w:hAnsi="Arial"/>
          <w:sz w:val="22"/>
          <w:szCs w:val="22"/>
          <w:color w:val="auto"/>
          <w:vertAlign w:val="superscript"/>
        </w:rPr>
        <w:t>h</w:t>
      </w:r>
      <w:r>
        <w:rPr>
          <w:rFonts w:ascii="Arial" w:cs="Arial" w:eastAsia="Arial" w:hAnsi="Arial"/>
          <w:sz w:val="18"/>
          <w:szCs w:val="18"/>
          <w:color w:val="auto"/>
        </w:rPr>
        <w:t xml:space="preserve"> floor is underway.</w:t>
      </w: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Construction of the guest self-park garage has reached level 6 with beams and deck forms installed.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Low-rise excavation is complete with the exception of the pool deck which has just begun. The footings for the main casino area are 95% complete.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employee parking garage located on our Koval property is complete and in use.</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$2.0 billion for Encore and approximately $100 million for an employee parking garage on our Koval property, an associated pedestrian bridge and costs incurred in connection with the theatre remodeling and production of “Monty Python’s Spamalot” at Wynn Las Vegas. The budget has increased from the previously announced $1.74 billion due to refinements in scope and market conditions for construction materials. The project budget will be funded from our existing credit facilities, remaining proceeds from the first mortgage notes and operating cash flow from Wynn Las Vegas. To the extent additional funds are required, we will provide these amounts with additional debt and equity contributions by Wynn Resorts. On March 31, 2006, Wynn Resorts delivered an equity commitment to its bank lenders under which Wynn Resorts is obligated to pay project costs if Wynn Las Vegas is unable to. As of August 2006, Wynn Resorts’ obligation under the equity commitment was $70 million.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of December 31, 2006, we incurred approximately $277.6 million of project costs related to the development and construction of Encore and related capital improvements. These costs, net of approximately $8.1 million of retention, have been funded from the Wynn Las Vegas credit facilities, the remaining funds from the First Mortgage Notes and cash flow from the operations of Wynn Las Vegas. Prior to signing a guaranteed maximum price construction contract, we are permitted to spend up to $300 million of the proceeds of the First Mortgage Notes and the credit facilities on Encore project costs. As of December 31, 2006, we have spent or committed approximately $206.3 million using these debt proceeds. The remaining $63.2 million has been funded from cash flows from operations.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First, by using agreed amounts of excess cash flow from the operations of Wynn Las Vegas and any equity contributions from Wynn Resorts;</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5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Second, by using any proceeds from the First Mortgage Notes (including any additional First Mortgage Notes that may be issued in the future), and the proceeds of borrowings under the Wynn Las Vegas credit facilities, until exhaustion of the First Mortgage Notes proceeds, with amounts funded 66.67% from notes proceeds and 33.33% from the Wynn Las Vegas Credit Facilities;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Wynn Las Vegas Credit Facilities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third quarter of 2005, we began to make certain enhancements and refinements to Wynn Las Vegas. As a result, we have incurred and will continue to incur capital expenditures relating to these enhancements and refinements. Under the terms of the Wynn Las Vegas credit facilities, we were permitted to make up to $100 million of capital expenditures in 2006, of which we have expended approximately $52.8 million. For 2007, we will be permitted to spend $172.2 million including $47.2 million which is carried forward from 2006. The spending limit will be increased to the extent funds are contributed to Wynn Las Vegas by Wynn Resorts, Limited.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 Reve Production Rights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May 31, 2006, we entered into an agreement to acquire substantially all intellectual property rights related to “Le Reve,” which were previously only licensed to us. We paid $15.9 million to acquire substantially all of the rights in and to “Le Reve,” and to repay approximately $1.4 million of production costs, which were reimbursable to the executive producer of “Le Reve”. The rights acquired enable us to produce, present, enhance, or alter the performance of “Le Reve” after May 31, 2006.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first phase of Wynn Macau was completed, and the casino resort opened, on September 6, 2006. The construction of the second phase is progressing and is scheduled to open in the third quarter of 2007. The overall Wynn Macau project remains within budget and the second phase is progressing according to the expected timeframe. Significant construction accomplishments for the second phase include:</w:t>
      </w:r>
    </w:p>
    <w:p>
      <w:pPr>
        <w:spacing w:after="0" w:line="59"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Completion of the building sub-structure (i.e. below ground pilings and footings) and above ground super structure;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Completion of the external walls and roof;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Steady progress of the interior fit out and mechanical, plumbing, and electrical systems;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Occupation by Permit for certain portions of the ground floor public space.</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current total project budget for Wynn Macau (excluding the developing budget for Wynn Diamond Suites and related amenities) is approximately $1.2 billion, including contingencies, but excluding up to $20.5 million of post-opening land concession payments anticipated to be funded from operating cash flows. Under the Amended and Restated Construction Contract, the general contractor is responsible for both the construction and design of the project (other than certain limited portions to be designed by one of our subsidiaries) based on an existing scope of work and design specifications for both the first phase and the expansion as provided by us, for a guaranteed maximum price of approximately $484 million (including the contractors’ fee and contingency).</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June 22, 2006, Wynn Macau, S.A. received consent from its lending syndicate permitting Wynn Macau, S.A. to enter into three change orders to its guaranteed maximum price construction contract. The three change orders implement a series of amendments to the Construction Contract including, providing for the completion of the majority of the first floor of the Wynn Macau expansion as additional gaming space, a series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enhancements and upgrades to the overall project, and adding an electronic marquee sign at the entrance to Wynn Macau. The change orders increased the guaranteed maximum price under the Construction Contract from $457 million to approximately $484 million.</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As of December 31, 2006, the Company has incurred approximately $877.1 million of the total project budget (excluding Wynn Diamond Suites) of approximately $1.2 billion.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jc w:val="both"/>
        <w:ind w:right="200" w:firstLine="456"/>
        <w:spacing w:after="0" w:line="268" w:lineRule="auto"/>
        <w:rPr>
          <w:sz w:val="20"/>
          <w:szCs w:val="20"/>
          <w:color w:val="auto"/>
        </w:rPr>
      </w:pPr>
      <w:r>
        <w:rPr>
          <w:rFonts w:ascii="Arial" w:cs="Arial" w:eastAsia="Arial" w:hAnsi="Arial"/>
          <w:sz w:val="18"/>
          <w:szCs w:val="18"/>
          <w:color w:val="auto"/>
        </w:rPr>
        <w:t>On August 15, 2006, we refinanced our Revolving Credit Facility (the “Revolver”) and our Delay Draw Term Loan Facility (the “Term Loan”)(together, the “Wynn Las Vegas Credit Facilities”).</w:t>
      </w:r>
    </w:p>
    <w:p>
      <w:pPr>
        <w:spacing w:after="0" w:line="132"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5"/>
          <w:szCs w:val="15"/>
          <w:color w:val="auto"/>
        </w:rPr>
        <w:t>On August 15, 2006, we entered into an Amended and Restated Credit Agreement (the “Amended and Restated Credit Agreement”) which, among other things, (i) increased the Wynn Las Vegas Credit Facilities from $1.0 billion to $1.125 billion by increasing the Revolver from $600 million to $900 million and reducing the Term Loan from $400 million to $225 million; (ii) reduced the borrowing margins on London Interbank Offered Rate (“LIBOR”)-based Revolver and Term Loan to 1.625% and 1.875%, respectively; (iii) extended the maturity dates for the Revolver and the Term Loans to 2011 and 2013, respectively; and</w:t>
      </w:r>
    </w:p>
    <w:p>
      <w:pPr>
        <w:spacing w:after="0" w:line="3" w:lineRule="exact"/>
        <w:rPr>
          <w:sz w:val="20"/>
          <w:szCs w:val="20"/>
          <w:color w:val="auto"/>
        </w:rPr>
      </w:pPr>
    </w:p>
    <w:p>
      <w:pPr>
        <w:ind w:firstLine="8"/>
        <w:spacing w:after="0" w:line="292" w:lineRule="auto"/>
        <w:tabs>
          <w:tab w:leader="none" w:pos="297"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reduced the consolidated interest coverage ratio requirement for quarterly periods on or prior to December 31, 2007 to 2.00:1. The Amended and Restated Credit Agreement also: (i) reduced the range of the Revolver’s annual LIBOR borrowing margin after the opening of Encore from a range of 1.25% to 2.50% to a range of 1.00% to 1.75%, depending on our leverage ratio; and (ii) simplified the procedures for and conditions to obtaining advances and reduced the reporting obligations under the Amended and Restated Credit Agreement upon the satisfaction of certain conditions, including fully utilizing all previously funded amounts under the First Mortgage Notes for payment of Encore project costs.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result of the refinancing discussed above, borrowings under the Term Loan were reduced to $225 million, under which we have elected, and expect to continue to elect, Eurodollar loans which bear interest at 1-month LIBOR and include a margin of 1.875% on that outstanding balance. We had two $200 million notional amount interest rate swaps to essentially fix the interest on the $400 million of former Term Loan. When we completed the refinancing on August 15, 2006, we terminated one of the two swaps and received approximately $6.6 million in the transaction. We elected to retain the other swap and therefore it effectively fixes the interest rate on $200 million out of the total $225 million of current Term Loan (for further information, see Item 7A. Quantitative and Qualitative Discussions about Market Risk).</w:t>
      </w:r>
    </w:p>
    <w:p>
      <w:pPr>
        <w:spacing w:after="0" w:line="14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of December 31, 2006, a total of $88.9 million was outstanding under the Revolver, primarily for the construction of Encore. Consequently, $811.1 million remains available under the Revolver for future borrowings for the construction of Encore or for other uses as necessary. For borrowings under the Revolver, we have elected, and expect to continue to elect, Eurodollar loans, which bear interest at 1-month LIBOR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new $900 million Revolver will terminate and be payable in full on August 15, 2011, $112.5 million of the $225 million Term Loan will be payable on September 30, 2012 and the remaining $112.5 million will be payable on August 15, 2013.</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Wynn Las Vegas Credit Facilities are obligations of Wynn Las Vegas, LLC and are guaranteed by and secured by substantially all of the assets (except the corporate aircraft) of each of its subsidiaries (other than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31, 2006, Wynn Resorts delivered an equity commitment agreement to the lenders under the Wynn Las Vegas Credit Facilities. Under that agreement, Wynn Resorts had committed to pay up to $215.3 million of Encore project costs if the Company was unable to do so. The refinancing discussed above increased the aggregate amount available under the Wynn Las Vegas Credit Facilities from $1.0 billion to $1.125 billion. As a result of this increase and with other funds becoming available to pay for Encore project costs, Wynn Resorts’ maximum commitment to pay Encore project costs was reduced from $215.3 million to $70 million in August 2006.</w:t>
      </w:r>
    </w:p>
    <w:p>
      <w:pPr>
        <w:spacing w:after="0" w:line="143"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We also have outstanding at December 31, 2006 approximately $38.5 million of an original $44.75 million borrowing secured by our corporate aircraft. This loan matures on March 31, 2010. Principal and interest are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 subject to a minimum prepayment of $10 million.</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November 1, 2006, we redeemed the approximately $10.1 million of the Second Mortgage Notes that remained outstanding. Funds to repay the Second Mortgage Notes and interest had been placed in an escrow account in December 2004, specifically for this purpose.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Financing for Wynn Macau’s design, development, construction and pre-opening expenses has been provided by a combination of cash on hand in the form of intercompany loans totaling $230 million, subordinated loan financing from Wynn Resorts totaling $80 million, a senior secured credit facility and cash flow from operations since opening. On October 31, 2006, Wynn Macau, S.A. repaid to Wynn Resorts the intercompany loan and the subordinated loan and interest using proceeds from the PBL transaction. Wynn Macau, S.A.’s senior secured credit facility of $764 million includes $729.7 million of senior term loan facilities, a HK$117 million revolving credit facility (approximately US$15 million), and an additional term loan facility of HK$156 million (approximately US$20 million). As of December 31, 2006, we had borrowed approximately $496.7 million under the Wynn Macau, S.A. senior secured credit facility.</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term loan facilities mature in September 2011, and the revolving credit facility matures in September 2007. The principal amount of the term loans is required to be repaid in quarterly installments, commencing on March 14, 2008. The term loans bear interest at LIBOR or the Hong Kong Interbank Offered Rate (“HIBOR”) plus a margin of 2.75%. The senior bank facility also provides for further reductions in the margin on the term loans if Wynn Macau, S.A. satisfies certain prescribed leverage ratio tests. Loans under the revolving credit facility will bear interest at HIBOR plus a margin of 2.5%.</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June 22, 2006, Wynn Macau, S.A. received consent from its lending syndicate allowing Wynn Macau, S.A. to amend certain provisions of its credit agreement to permit Wynn Macau to fund the additional $68.4 million in costs associated with three change orders to its guaranteed maximum price construction contract and other increases in Wynn Macau’s project budget entirely from its existing $764 million senior secured credit facilities. The additional costs are to be incurred in connection with preparatory work for additional gaming space located in the expansion of Wynn Macau’s second phase, a series of enhancements and upgrades to the overall project, and an electronic marquee sign at the entrance to Wynn Macau.</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Wynn Macau will fund $60.5 million of costs from its existing $72 million contingent debt facility which is included in the $729 million senior term loan facility, and $7.9 million of costs from its existing $20 million credit facility with Banco Nacional Ultramarino, S.A.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Collateral for the Wynn Macau senior bank facility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began to draw under the senior bank facility in October 2005, after expenditure of the intercompany loans and subordinated funding. Through December 31, 2006, we incurred approximately $877.1 million of the total $1.2 billion of budgeted project costs (excluding costs for Wynn Diamond Suites). Total budgeted project costs include construction and design costs (including construction contingencies) land acquisition costs related to the additional casino expansion and capitalized interest, pre-opening expenses, financing fees and other costs.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the above financing sources, we have $30 million of long-term restricted cash reserved as contingent equity. We have entered into interest rate swap agreements to hedge a portion of the underlying interest rate risk on borrowings under the Wynn Macau, S.A. credit facilities. See Part II-Item 7A. “Quantitative and Qualitative Disclosures About Market Risk.”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Special Cash Distribution</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November 13, 2006, our Board of Directors declared a special cash distribution of $6.00 per share on our outstanding common stock. This special distribution was paid on December 4, 2006, to stockholders of record as of November 23, 2006. As part of this distribution, we made a special payment to the holders of its Debentures so that they participated in the special distribution to the same extent as if they had converted their Debentures to common stock. We paid holders of the Debentures a cash amount equal to $260.87 per $1,000 principal amount. In accordance with the indenture governing the Debentures, as a result of the payment, no adjustment was made to the conversion price as a result of the special cash distribution. The total amount of the special cash distribution was $669.8 million. This special distribution was paid using a portion of the proceeds from the sale of our subconcession in Macau as discussed above and corporate cash.</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December 31, 2006, we had outstanding letters of credit totaling $4.4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2006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342"/>
              <w:spacing w:after="0"/>
              <w:rPr>
                <w:sz w:val="20"/>
                <w:szCs w:val="20"/>
                <w:color w:val="auto"/>
              </w:rPr>
            </w:pPr>
            <w:r>
              <w:rPr>
                <w:rFonts w:ascii="Arial" w:cs="Arial" w:eastAsia="Arial" w:hAnsi="Arial"/>
                <w:sz w:val="14"/>
                <w:szCs w:val="14"/>
                <w:b w:val="1"/>
                <w:bCs w:val="1"/>
                <w:color w:val="auto"/>
              </w:rPr>
              <w:t>Payments Due By Period</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8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w:t>
            </w:r>
          </w:p>
        </w:tc>
        <w:tc>
          <w:tcPr>
            <w:tcW w:w="320" w:type="dxa"/>
            <w:vAlign w:val="bottom"/>
          </w:tcPr>
          <w:p>
            <w:pPr>
              <w:spacing w:after="0"/>
              <w:rPr>
                <w:sz w:val="11"/>
                <w:szCs w:val="11"/>
                <w:color w:val="auto"/>
              </w:rPr>
            </w:pPr>
          </w:p>
        </w:tc>
        <w:tc>
          <w:tcPr>
            <w:tcW w:w="500" w:type="dxa"/>
            <w:vAlign w:val="bottom"/>
          </w:tcPr>
          <w:p>
            <w:pPr>
              <w:jc w:val="right"/>
              <w:ind w:right="7"/>
              <w:spacing w:after="0" w:line="129" w:lineRule="exact"/>
              <w:rPr>
                <w:sz w:val="20"/>
                <w:szCs w:val="20"/>
                <w:color w:val="auto"/>
              </w:rPr>
            </w:pPr>
            <w:r>
              <w:rPr>
                <w:rFonts w:ascii="Arial" w:cs="Arial" w:eastAsia="Arial" w:hAnsi="Arial"/>
                <w:sz w:val="14"/>
                <w:szCs w:val="14"/>
                <w:b w:val="1"/>
                <w:bCs w:val="1"/>
                <w:color w:val="auto"/>
              </w:rPr>
              <w:t>1 to 3</w:t>
            </w:r>
          </w:p>
        </w:tc>
        <w:tc>
          <w:tcPr>
            <w:tcW w:w="340" w:type="dxa"/>
            <w:vAlign w:val="bottom"/>
          </w:tcPr>
          <w:p>
            <w:pPr>
              <w:spacing w:after="0"/>
              <w:rPr>
                <w:sz w:val="11"/>
                <w:szCs w:val="11"/>
                <w:color w:val="auto"/>
              </w:rPr>
            </w:pPr>
          </w:p>
        </w:tc>
        <w:tc>
          <w:tcPr>
            <w:tcW w:w="5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rPr>
              <w:t>4 to 5</w:t>
            </w:r>
          </w:p>
        </w:tc>
        <w:tc>
          <w:tcPr>
            <w:tcW w:w="340" w:type="dxa"/>
            <w:vAlign w:val="bottom"/>
          </w:tcPr>
          <w:p>
            <w:pPr>
              <w:spacing w:after="0"/>
              <w:rPr>
                <w:sz w:val="11"/>
                <w:szCs w:val="11"/>
                <w:color w:val="auto"/>
              </w:rPr>
            </w:pPr>
          </w:p>
        </w:tc>
        <w:tc>
          <w:tcPr>
            <w:tcW w:w="62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After</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11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$2,386.7</w:t>
            </w:r>
          </w:p>
        </w:tc>
        <w:tc>
          <w:tcPr>
            <w:tcW w:w="20" w:type="dxa"/>
            <w:vAlign w:val="bottom"/>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800.7</w:t>
            </w:r>
          </w:p>
        </w:tc>
        <w:tc>
          <w:tcPr>
            <w:tcW w:w="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0" w:type="dxa"/>
            <w:vAlign w:val="bottom"/>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0" w:type="dxa"/>
            <w:vAlign w:val="bottom"/>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0" w:type="dxa"/>
            <w:vAlign w:val="bottom"/>
          </w:tcPr>
          <w:p>
            <w:pPr>
              <w:spacing w:after="0"/>
              <w:rPr>
                <w:sz w:val="18"/>
                <w:szCs w:val="18"/>
                <w:color w:val="auto"/>
              </w:rPr>
            </w:pPr>
          </w:p>
        </w:tc>
      </w:tr>
      <w:tr>
        <w:trPr>
          <w:trHeight w:val="222"/>
        </w:trPr>
        <w:tc>
          <w:tcPr>
            <w:tcW w:w="7240" w:type="dxa"/>
            <w:vAlign w:val="bottom"/>
            <w:gridSpan w:val="2"/>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421.2</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705.3</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683.8</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2,359.8</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4,170.1</w:t>
            </w:r>
          </w:p>
        </w:tc>
      </w:tr>
      <w:tr>
        <w:trPr>
          <w:trHeight w:val="20"/>
        </w:trPr>
        <w:tc>
          <w:tcPr>
            <w:tcW w:w="1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340" w:right="320" w:hanging="332"/>
        <w:spacing w:after="0" w:line="268"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currently existing commitments and LIBOR or HIBOR rates as of December 31, 2006.</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includes open purchase orders, commitments for aircraft purchases, land concession and fixed gaming tax payments in Macau and other contracts.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Wynn Resorts is a holding company and, as a result, its ability to pay dividends is dependent on its subsidiaries’ ability to provide funds to it. Restrictions imposed by our subsidiaries’ debt instruments significantly restrict certain key subsidiaries holding a majority of our assets, including Wynn Las Vegas, LLC and Wynn Macau, S.A., from making dividends or distributions to us.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other credit facilities of Wynn Las Vegas, LLC and Wynn Macau, S.A. contain similar restrictions; although the Wynn Macau, S.A. loan agreements permit distribution of the net proceeds of subconcession sales.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completion of Encore or the second phase of Wynn Macau is delayed, then our debt service obligations accruing prior to the actual opening will increase correspondingly. Wynn Las Vegas will fund its operations and capital requirements from operating cash flow and remaining availability under Wynn Las Vegas, LLC’s credit 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will fund Wynn Macau, S.A.’s debt service obligations with operating cash flow and remaining availability under its senior secured bank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Wynn Las Vegas and Wynn Macau, significant start-up costs were incurred and charged to pre-opening costs through the second quarter of 2005 for Wynn Las Vegas and through the third quarter of 2006 for Wynn Macau, as anticipated. Once Wynn Las Vegas and Wynn Macau opened to the public, expenses associated with the opening of the resorts were no longer charged as pre-opening costs. However, start-up costs relating to Encore and the second phase of Wynn Macau will continue to be charged to pre-opening costs until such projects are completed and opened.</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construction and development stage, direct costs such as those incurred for the design and construction of Wynn Las Vegas and Wynn Macau, including applicable portions of interest, are capitalized. Accordingly, the recorded amounts of property and equipment increase significantly during construction periods. Depreciation expense related to capitalized construction costs is recognized when the related assets are put in service. Accordingly, upon the opening of Wynn Las Vegas and Wynn Macau, we began recognizing depreciation expense on the resort’s fixed assets.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leasehold interest in land in Macau under the land concession contract entered into in June 2004 is being amortized over 25 years, to reflect the initial term of the concession contract, which currently terminates in June 2029. Depreciation on the majority of the assets comprising Wynn Macau, however, commenced in September of 2006, when Wynn Macau opened. The maximum useful life of assets at Wynn Macau is the remaining life of the gaming concession, which currently expires in June 2022. Consequently, depreciation related to Wynn Macau will generally be charged over shorter periods when compared to Wynn Las Vegas.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Costs of building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Statement of Financial Accounting Standards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substantial portion of our outstanding receivables relates to casino credit play. Credit play represents a significant portion of the table games volume at Wynn Las Vegas. We maintain strict controls over the issuance of markers and aggressively pursue collection from those customers who fail to pay their marker balances timely.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2006, approximately 59% of our casino accounts receivable were owed by customers from foreign countries. The collectibility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evaluate our reserve for bad debts based on a specific review of customer accounts as well as management’s prior experience with collection trends in the casino industry and current economic and business conditions.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December 2004, the FASB issued SFAS No. 123(R). This statement is a revision of SFAS No. 123, “Accounting for Stock-Based Compensation” and supersedes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 In applying the modified prospective method, financial statements of prior periods presented do not reflect any adjusted amounts (i.e. prior periods do not include compensation cost calculated under the fair value method).</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We are subject to income taxes in the United States and other foreign jurisdictions where the Company operates. We account for income taxes in accordance with SFAS No. 109, “Accounting for Income Taxes”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(“SFAS 109”). SFAS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SFAS No. 5, “Accounting for Contingencies”. Quarterly, the Company reviews any potentially unfavorable tax outcome and when an unfavorable outcome is identified as probable and can be reasonably estimated, the Company then establishes a tax reserve for such possible unfavorable outcome. Estimating potential tax outcomes for any uncertain tax issue is highly judgmental and may not be indicative of the ultimate settlement with the tax authorities. The Company believes that it has adequately provided reasonable reserves for reasonable and foreseeable outcomes related to uncertain tax matters.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SFAS 109 requires recognition of a future tax benefit to the extent that realization of such benefit is more likely than not. Otherwise, a valuation allowance is applied. During our development stage, we accumulated significant net operating losses, which generated significant deferred tax assets. Because of the Company’s limited operating history, we had previously fully reserved these net deferred tax assets. On September 11, 2006, we recorded a gain on the sale of the subconcession right. Accordingly we determined that a substantial portion of these net deferred tax assets have become more likely than not realizable as defined by SFAS 109.</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Effective September 6, 2006, we received a 5-year exemption from Macau’s 12% Complementary Tax on casino gaming profits. Accordingly, during 2006 we were exempted from the payment of approximately $4.7 million in such taxes. Wynn Macau’s non-gaming profits remain subject to the Macau Complementary Tax and Wynn Macau’s casino winnings remain subject to the Macau Special Gaming tax and other levies in accordance with its concession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 This interpretation clarifies the accounting for uncertainty in income taxes recognized in a company’s financial statements in accordance with FASB Statement No. 109, “Accounting for Income Taxes”. The interpretation provides guidance on classification, interest and penalties, accounting in interim periods, disclosure, and translation. This interpretation is effective for fiscal years beginning after December 15, 2006. The adoption of this statement is effective January 1, 2007. We have estimated that the adoption of FIN 48 will result in up to a $5 million cumulative-effect adjustment to retained earnings in the first quarter of 2007.</w:t>
      </w:r>
    </w:p>
    <w:p>
      <w:pPr>
        <w:spacing w:after="0" w:line="11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We have not yet determined the impact this statement will have on our consolidated financial statements after it is adopted on January 1, 2008.</w:t>
      </w:r>
    </w:p>
    <w:p>
      <w:pPr>
        <w:spacing w:after="0" w:line="9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September 2006, the SEC issued SAB No. 108, “Considering the Effects of Prior Year Misstatements when Quantifying Misstatements in Current Year Financial Statements”. SAB 108 requires companies to evaluate the materiality of identified unadjusted errors on each financial statement and related financial statement disclosure using both the rollover approach and the iron curtain approach. The rollover approach quantifies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misstatements based on the amount of the error in the current year financial statement whereas the iron curtain approach quantifies misstatements based on the effects of correcting the misstatement existing in the balance sheet at the end of the current year, irrespective of the misstatement’s year(s) of origin. Financial statements would require adjustment when either approach results in quantifying a misstatement that is material. Correcting prior year financial statements for immaterial errors would not require previously filed reports to be amended. SAB 108 is effective for interim periods of the first fiscal year ending after November 15, 2006. The adoption of SAB 108 did not have an impact on our consolidated results of operations or financial position.</w:t>
      </w:r>
    </w:p>
    <w:p>
      <w:pPr>
        <w:spacing w:after="0" w:line="1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considered necessary. We cannot be sure that these risk management strategies will have the desired effect, and interest rate fluctuations could have a negative impact on our results of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2006 on our expected long-term indebtedness. However, we cannot predict the LIBOR or HIBOR rates that will be in effect in the future. Accordingly, the one-month LIBOR and HIBOR rates at December 31, 2006 of 5.3% and 3.9%, respectively are used for all calculations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2010</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r>
      <w:tr>
        <w:trPr>
          <w:trHeight w:val="20"/>
        </w:trPr>
        <w:tc>
          <w:tcPr>
            <w:tcW w:w="3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3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Fixed rate</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$0.8</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w w:val="83"/>
              </w:rPr>
              <w:t>1,524.1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1,537.5</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Variable rate</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$5.3</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114.3</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138.2</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171.9</w:t>
            </w:r>
          </w:p>
        </w:tc>
        <w:tc>
          <w:tcPr>
            <w:tcW w:w="5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194.5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225.0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849.2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of December 31, 2006, we have one interest rate swap arrangement to hedge the underlying interest rate risk on a total of $200.0 million of borrowings under the current Wynn Las Vegas, LLC term loan facility,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new term loan facility at approximately 5.7%, changes in fair value of our interest rate swaps for each reporting period are, and will continue to be, recorded as an increase/(decrease) in swap fair value as the swap does not qualify for hedge accounting.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December 31, 2006, we have two interest rate swaps to hedge a portion of the underlying interest rate risk on borrowings under Wynn Macau S.A.’s $749 million senior term loan facility. Under the first swap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agreement, we pay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we pay a fixed interest rate of 4.77% on borrowings estimated to be incurred under the senior term loan facility up to a maximum of approximately HK$1.1 billion (approximately US$140.7 million), in exchange for receipts on the same amounts at a variable interest rate based on the applicable HIBOR at the time of payment. The term of both swap agreements is from November 28, 2005 through November 28, 2008.</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These interest rate swaps are expected to be highly effective in fixing the interest rate on 50% of the US dollar and 50% of the Hong Kong dollar borrowings under the senior bank facility at approximately 7.59% and 7.52%, respectively. However, changes in the fair values of these interest rate swaps for each reporting period recorded are, and will continue to be, recognized as an increase/(decrease) in swap fair value as the swaps do not qualify for hedge accounting.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presents the historical asset or (liability) fair values (reflected in deposits and other assets or in other long-term liabilities as appropriate) at December 31, 2006 and 2005 (amounts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4"/>
                <w:szCs w:val="14"/>
                <w:b w:val="1"/>
                <w:bCs w:val="1"/>
                <w:color w:val="auto"/>
                <w:w w:val="86"/>
              </w:rPr>
              <w:t>Total Interest</w:t>
            </w:r>
          </w:p>
        </w:tc>
      </w:tr>
      <w:tr>
        <w:trPr>
          <w:trHeight w:val="149"/>
        </w:trPr>
        <w:tc>
          <w:tcPr>
            <w:tcW w:w="3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Rate Swap Asset</w:t>
            </w:r>
          </w:p>
        </w:tc>
      </w:tr>
      <w:tr>
        <w:trPr>
          <w:trHeight w:val="161"/>
        </w:trPr>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Wynn Las Vegas</w:t>
            </w:r>
          </w:p>
        </w:tc>
        <w:tc>
          <w:tcPr>
            <w:tcW w:w="48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100" w:type="dxa"/>
            <w:vAlign w:val="bottom"/>
          </w:tcPr>
          <w:p>
            <w:pPr>
              <w:spacing w:after="0"/>
              <w:rPr>
                <w:sz w:val="14"/>
                <w:szCs w:val="14"/>
                <w:color w:val="auto"/>
              </w:rPr>
            </w:pP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w w:val="99"/>
              </w:rPr>
              <w:t>/ (Liability)</w:t>
            </w:r>
          </w:p>
        </w:tc>
      </w:tr>
      <w:tr>
        <w:trPr>
          <w:trHeight w:val="201"/>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Asset / (liability) fair value:</w:t>
            </w:r>
          </w:p>
        </w:tc>
        <w:tc>
          <w:tcPr>
            <w:tcW w:w="15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3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(amounts in thousands)</w:t>
            </w:r>
          </w:p>
        </w:tc>
        <w:tc>
          <w:tcPr>
            <w:tcW w:w="1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6"/>
        </w:trPr>
        <w:tc>
          <w:tcPr>
            <w:tcW w:w="3500" w:type="dxa"/>
            <w:vAlign w:val="bottom"/>
          </w:tcPr>
          <w:p>
            <w:pPr>
              <w:ind w:left="440"/>
              <w:spacing w:after="0"/>
              <w:rPr>
                <w:sz w:val="20"/>
                <w:szCs w:val="20"/>
                <w:color w:val="auto"/>
              </w:rPr>
            </w:pPr>
            <w:r>
              <w:rPr>
                <w:rFonts w:ascii="Arial" w:cs="Arial" w:eastAsia="Arial" w:hAnsi="Arial"/>
                <w:sz w:val="18"/>
                <w:szCs w:val="18"/>
                <w:color w:val="auto"/>
              </w:rPr>
              <w:t>at December 31, 2006</w:t>
            </w:r>
          </w:p>
        </w:tc>
        <w:tc>
          <w:tcPr>
            <w:tcW w:w="18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4,789</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3,322</w:t>
            </w: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at December 31, 2005</w:t>
            </w:r>
          </w:p>
        </w:tc>
        <w:tc>
          <w:tcPr>
            <w:tcW w:w="18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10,523</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our interest rate swaps, by contractual maturity dates, as of December 31, 2006 and using estimated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LIBOR and HIBOR rates based upon implied forward rates in the yield curve: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4"/>
              </w:rPr>
              <w:t>Expected Averages as of December 31,</w:t>
            </w: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42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4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42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tcPr>
          <w:p>
            <w:pPr>
              <w:jc w:val="center"/>
              <w:ind w:left="13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Average pay rate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2006, approximately 87% of our long-term debt was based on fixed rates, including the notional amounts related to interest rate swaps.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December 31, 2006, an assumed 1% change in variable rates would cause our annual interest cost to change by $3.1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FINANCIALSTATEMENTS AND SUPPLEMENTARY DATA</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gridSpan w:val="8"/>
            <w:vMerge w:val="restart"/>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Report of Independent Registered Public Accounting Firm on Internal Controls Over Financial Reporting</w:t>
              </w:r>
            </w:hyperlink>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20" w:type="dxa"/>
            <w:vAlign w:val="bottom"/>
            <w:gridSpan w:val="8"/>
            <w:vMerge w:val="continue"/>
          </w:tcPr>
          <w:p>
            <w:pPr>
              <w:spacing w:after="0"/>
              <w:rPr>
                <w:sz w:val="14"/>
                <w:szCs w:val="14"/>
                <w:color w:val="auto"/>
              </w:rPr>
            </w:pPr>
          </w:p>
        </w:tc>
        <w:tc>
          <w:tcPr>
            <w:tcW w:w="600" w:type="dxa"/>
            <w:vAlign w:val="bottom"/>
          </w:tcPr>
          <w:p>
            <w:pPr>
              <w:spacing w:after="0" w:line="170"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7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Report of Independent Registered Public Accounting Firms on the Consolidated Financial Statements</w:t>
              </w:r>
            </w:hyperlink>
          </w:p>
        </w:tc>
        <w:tc>
          <w:tcPr>
            <w:tcW w:w="260" w:type="dxa"/>
            <w:vAlign w:val="bottom"/>
            <w:tcBorders>
              <w:top w:val="single" w:sz="8" w:color="0000EE"/>
            </w:tcBorders>
          </w:tcPr>
          <w:p>
            <w:pPr>
              <w:spacing w:after="0"/>
              <w:rPr>
                <w:sz w:val="24"/>
                <w:szCs w:val="24"/>
                <w:color w:val="auto"/>
              </w:rPr>
            </w:pPr>
          </w:p>
        </w:tc>
        <w:tc>
          <w:tcPr>
            <w:tcW w:w="34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304"/>
        </w:trPr>
        <w:tc>
          <w:tcPr>
            <w:tcW w:w="1082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Balance Sheets</w:t>
              </w:r>
            </w:hyperlink>
          </w:p>
        </w:tc>
        <w:tc>
          <w:tcPr>
            <w:tcW w:w="600" w:type="dxa"/>
            <w:vAlign w:val="bottom"/>
          </w:tcPr>
          <w:p>
            <w:pPr>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Consolidated Statements of Operations</w:t>
              </w:r>
            </w:hyperlink>
          </w:p>
        </w:tc>
        <w:tc>
          <w:tcPr>
            <w:tcW w:w="8060" w:type="dxa"/>
            <w:vAlign w:val="bottom"/>
            <w:gridSpan w:val="6"/>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34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Consolidated Statements of Stockholders’ Equity</w:t>
              </w:r>
            </w:hyperlink>
          </w:p>
        </w:tc>
        <w:tc>
          <w:tcPr>
            <w:tcW w:w="7340" w:type="dxa"/>
            <w:vAlign w:val="bottom"/>
            <w:gridSpan w:val="3"/>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1082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w:t>
              </w:r>
            </w:hyperlink>
          </w:p>
        </w:tc>
        <w:tc>
          <w:tcPr>
            <w:tcW w:w="600" w:type="dxa"/>
            <w:vAlign w:val="bottom"/>
          </w:tcPr>
          <w:p>
            <w:pPr>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2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Notes to Consolidated Financial Statements</w:t>
              </w:r>
            </w:hyperlink>
          </w:p>
        </w:tc>
        <w:tc>
          <w:tcPr>
            <w:tcW w:w="600" w:type="dxa"/>
            <w:vAlign w:val="bottom"/>
          </w:tcPr>
          <w:p>
            <w:pPr>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4"/>
          </w:tcPr>
          <w:p>
            <w:pPr>
              <w:spacing w:after="0"/>
              <w:rPr>
                <w:sz w:val="24"/>
                <w:szCs w:val="24"/>
                <w:color w:val="auto"/>
              </w:rPr>
            </w:pPr>
          </w:p>
        </w:tc>
        <w:tc>
          <w:tcPr>
            <w:tcW w:w="4080" w:type="dxa"/>
            <w:vAlign w:val="bottom"/>
            <w:gridSpan w:val="2"/>
          </w:tcPr>
          <w:p>
            <w:pPr>
              <w:jc w:val="right"/>
              <w:ind w:right="136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w:t>
      </w:r>
    </w:p>
    <w:p>
      <w:pPr>
        <w:spacing w:after="0" w:line="8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included in Item 9A, that Wynn Resorts, Limited and Subsidiaries (the “Company”) maintained effective internal control over financial reporting as of December 31, 2006, based on criteria established in Internal Control—Integrated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our opinion, management’s assessment that the Company maintained effective internal control over financial reporting as of December 31, 2006, is fairly stated, in all material respects, based on the COSO criteria. Also, in our opinion, the Company maintained, in all material respects, effective internal control over financial reporting as of December 31, 2006, based on the COSO criteria.</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 of the Company as of December 31, 2006, and the related consolidated statements of operations, stockholders’ equity, and cash flows for the year ended December 31, 2006 and our report dated February 27, 2007 expressed an unqualified opinion thereon.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 of Wynn Resorts, Limited and Subsidiaries (the “Company”) as of December 31, 2006, and the related consolidated statements of operations, stockholders’ equity and cash flows for the year ended December 31, 2006. Our audit also included the financial statement schedules listed in the index at Item 15(a). These financial statements and schedules are the responsibility of the Company’s management. Our responsibility is to express an opinion on these financial statements and schedules based on our audit.</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at December 31, 2006 and the consolidated results of their operations and their cash flows for the year ended December 31, 2006,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Share-Based Payments in accordance with Statement of Financial Accounting Standards No. 123 (revised 2004) on January 1, 2006.</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effectiveness of the Company’s internal control over financial reporting as of December 31, 2006,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February 27, 2007 expressed an unqualified opinion thereon.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6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 of Wynn Resorts, Limited and subsidiaries (the “Company”) as of December 31, 2005, and the related consolidated statements of operations, stockholders’ equity, and cash flows for each of the two years in the period ended December 31, 2005. Our audits also included the financial statement schedules of Condensed Financial Information of the Registrant and Valuation and Qualifying Accounts included in Item 15(a)(2). These financial statements and financial statement schedules are the responsibility of the Company’s management. Our responsibility is to express an opinion on the financial statements and financial statement schedules based on our audits.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Wynn Resorts, Limited and subsidiaries as of December 31, 2005, and the results of their operations and their cash flows for each of the two years in the period then ended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789,407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64,368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1,095,791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3,157,622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Intangibles, net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4,660,180</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3,945,283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STOCKHOLDERS’ EQUITY</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71,537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Long-term debt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2,380,537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2,090,846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3,014,595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2,382,388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8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18)</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issued and outstanding</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par value $0.01; authorized 400,000,000 shares; 101,887,031</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99,331,294 shares issued and outstanding</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2,022,408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1,972,847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Deferred compensation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(377,747)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(395,161)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1,645,585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1,562,895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4,660,180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3,945,283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Casino</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800,591</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283,084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309,771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205,213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125,230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1,598,659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822,908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(166,402)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(100,927)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2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1,432,257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721,981</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Casino</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439,902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194,403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231,515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118,980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62,726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103,344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1,363,641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747,868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70,899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(24,556)</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46,752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28,267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(148,017)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(102,699)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Distribution to Convertible Debenture Holders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(58,477)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Gain on sale of subconcession right, net</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899,409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(122,788)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vMerge w:val="continue"/>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728,330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(66,280)</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799,229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(90,836)</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(204,171)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(170,501)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gridSpan w:val="2"/>
            <w:vMerge w:val="continue"/>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628,728</w:t>
            </w: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(90,836)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(204,171)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(loss) per common share: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Diluted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Basic</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99,998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111,627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5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paid-in</w:t>
            </w: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outstanding</w:t>
            </w:r>
          </w:p>
        </w:tc>
        <w:tc>
          <w:tcPr>
            <w:tcW w:w="34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1"/>
              </w:rPr>
              <w:t>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Loss</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January 1, 2004</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81,978,761</w:t>
            </w:r>
          </w:p>
        </w:tc>
        <w:tc>
          <w:tcPr>
            <w:tcW w:w="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820</w:t>
            </w:r>
          </w:p>
        </w:tc>
        <w:tc>
          <w:tcPr>
            <w:tcW w:w="1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$ 1,110,813</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(9,664)</w:t>
            </w:r>
          </w:p>
        </w:tc>
        <w:tc>
          <w:tcPr>
            <w:tcW w:w="24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(100,154)</w:t>
            </w:r>
          </w:p>
        </w:tc>
        <w:tc>
          <w:tcPr>
            <w:tcW w:w="32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1,001,815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16,958,333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w w:val="76"/>
              </w:rPr>
              <w:t>170</w:t>
            </w:r>
          </w:p>
        </w:tc>
        <w:tc>
          <w:tcPr>
            <w:tcW w:w="180" w:type="dxa"/>
            <w:vAlign w:val="bottom"/>
          </w:tcPr>
          <w:p>
            <w:pPr>
              <w:spacing w:after="0"/>
              <w:rPr>
                <w:sz w:val="12"/>
                <w:szCs w:val="12"/>
                <w:color w:val="auto"/>
              </w:rPr>
            </w:pPr>
          </w:p>
        </w:tc>
        <w:tc>
          <w:tcPr>
            <w:tcW w:w="11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840,391</w:t>
            </w: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840,561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46,250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compensation—restricted stock</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5,585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(204,171)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(204,171)</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4"/>
                <w:szCs w:val="14"/>
                <w:color w:val="auto"/>
              </w:rPr>
              <w:t>Balances, December 31, 2004</w:t>
            </w: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98,983,344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ind w:left="100"/>
              <w:spacing w:after="0" w:line="155" w:lineRule="exact"/>
              <w:rPr>
                <w:sz w:val="20"/>
                <w:szCs w:val="20"/>
                <w:color w:val="auto"/>
              </w:rPr>
            </w:pPr>
            <w:r>
              <w:rPr>
                <w:rFonts w:ascii="Arial" w:cs="Arial" w:eastAsia="Arial" w:hAnsi="Arial"/>
                <w:sz w:val="14"/>
                <w:szCs w:val="14"/>
                <w:color w:val="auto"/>
                <w:w w:val="76"/>
              </w:rPr>
              <w:t>990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6"/>
              </w:rPr>
              <w:t>1,951,906</w:t>
            </w:r>
          </w:p>
        </w:tc>
        <w:tc>
          <w:tcPr>
            <w:tcW w:w="120" w:type="dxa"/>
            <w:vAlign w:val="bottom"/>
          </w:tcPr>
          <w:p>
            <w:pPr>
              <w:spacing w:after="0"/>
              <w:rPr>
                <w:sz w:val="13"/>
                <w:szCs w:val="13"/>
                <w:color w:val="auto"/>
              </w:rPr>
            </w:pPr>
          </w:p>
        </w:tc>
        <w:tc>
          <w:tcPr>
            <w:tcW w:w="9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(4,079)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(304,325)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9"/>
              </w:rPr>
              <w:t>1,644,492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18,532</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(18,535)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72,950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1,404</w:t>
            </w: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Acceleration of stock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Stock options issued to consultant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508</w:t>
            </w: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compensation—restricted stock</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(90,836)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(90,836)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99,331,294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993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6"/>
              </w:rPr>
              <w:t>1,972,847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(15,784)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(395,161)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1,562,895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628,728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w:t>
            </w: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628,634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deferred compensation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(15,784)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337,500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11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1,093,375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11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21,779</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18,065</w:t>
            </w: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6% sub-ordinated convertible debentures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1,124,862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11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25,504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Special cash distribution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(611,314)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(611,314)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101,887,031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1,018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u w:val="single" w:color="auto"/>
                <w:color w:val="auto"/>
                <w:w w:val="81"/>
              </w:rPr>
              <w:t>$</w:t>
            </w:r>
            <w:r>
              <w:rPr>
                <w:rFonts w:ascii="Arial" w:cs="Arial" w:eastAsia="Arial" w:hAnsi="Arial"/>
                <w:sz w:val="14"/>
                <w:szCs w:val="14"/>
                <w:color w:val="auto"/>
                <w:w w:val="81"/>
              </w:rPr>
              <w:t xml:space="preserve"> 2,022,408</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(377,747)</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1,645,585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628,728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(90,836)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Adjustments to reconcile net income (loss) to net cash provided by (used in) 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175,464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103,344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taxes—deferred and current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170,321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16,712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and writeoffs of deferred financing costs, and 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11,316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Property charges and 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25,060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14,297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income of unconsolidated affiliates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Increase in the fair value of interest rate swaps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(8,152)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subconcession right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(899,409)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Minority interest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Incidental operations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Increase (decrease) in cash from changes in: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(104,418)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80"/>
              <w:spacing w:after="0"/>
              <w:rPr>
                <w:sz w:val="20"/>
                <w:szCs w:val="20"/>
                <w:color w:val="auto"/>
              </w:rPr>
            </w:pPr>
            <w:r>
              <w:rPr>
                <w:rFonts w:ascii="Arial" w:cs="Arial" w:eastAsia="Arial" w:hAnsi="Arial"/>
                <w:sz w:val="18"/>
                <w:szCs w:val="18"/>
                <w:color w:val="auto"/>
              </w:rPr>
              <w:t>Inventories and prepaid expenses and 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(21,261)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(58,934)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164,287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159,578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240,766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48,475</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(643,360)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(877,074)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(1,007,993)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205,216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499,765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(3,739)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(40,181)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Proceeds from sale of subconcession right,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899,409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equipment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401,809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(421,120)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(1,547,090)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21,790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746,948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627,131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1,960,858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party fees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Proceeds from swap termination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(440,929)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(121,933)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(1,032,534)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Payments on long term land concession obligation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(8,921)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Special cash distribution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(608,299)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Payments for deferred financing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(21,008)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(287,457)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476,673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1,650,564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355,118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104,028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434,289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330,261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789,407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434,289</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disclosures:</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133,850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95,839</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Cash Distribution to Convertible Debenture Holders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58,477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Equipment purchases financed by debt and accrued assets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860</w:t>
            </w:r>
          </w:p>
        </w:tc>
        <w:tc>
          <w:tcPr>
            <w:tcW w:w="4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to purchase minority interest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Stock-based compensation capitalized into construction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2,651</w:t>
            </w:r>
          </w:p>
        </w:tc>
        <w:tc>
          <w:tcPr>
            <w:tcW w:w="4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 Wynn Resorts’ predecessor, Valvino Lamore, LLC (“Valvino”), was formed on April 21, 2000 as a Nevada limited liability company to purchase the Desert Inn Resort and Casino for the site of the Company’s first casino resort in Las Vegas, Nevada, hereinafter referred to as “Wynn Las Vegas.”</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currently owns and operates two casino hotel resort properties, Wynn Las Vegas, which opened on April 28, 2005 and Wynn Macau, which opened on September 6, 2006. In addition, the Company is constructing “Encore at Wynn Las Vegas” or “Encore” and continues development of the second phase of Wynn Macau. Encore will be fully integrated with Wynn Las Vegas and is being constructed on 20 acres of land immediately adjacent to Wynn Las Vegas. Encore is expected to open to the public in early 2009. The second phase of Wynn Macau will be integrated into the first phase and is being constructed on the five remaining acres of the 16 acres of land for Wynn Macau. Wynn Macau’s second phase is scheduled to open in the third quarter of 2007.</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opening of Wynn Las Vegas on April 28, 2005, the Company was solely a development stage company.</w:t>
      </w:r>
    </w:p>
    <w:p>
      <w:pPr>
        <w:spacing w:after="0" w:line="246" w:lineRule="exact"/>
        <w:rPr>
          <w:sz w:val="20"/>
          <w:szCs w:val="20"/>
          <w:color w:val="auto"/>
        </w:rPr>
      </w:pPr>
    </w:p>
    <w:p>
      <w:pPr>
        <w:ind w:left="240" w:right="7800" w:hanging="232"/>
        <w:spacing w:after="0" w:line="347" w:lineRule="auto"/>
        <w:tabs>
          <w:tab w:leader="none" w:pos="319"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Restricted cash and investments consist primarily of certain proceeds of the Company’s financing activities invested in approved money market funds. The majority of these funds are restricted by the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governing the Company’s debt instruments for the payment of certain construction and development costs relating to Wynn Las Vegas, Encore or Wynn Macau.</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classified as current are equal to current construction payables and other accruals also classified as current.</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2006 and 2005, approximately 59% and 70%, respectively, of the Company’s markers were due from customers residing outside the United States. Business or economic conditions or other significant events in these countries could affect the collectibility of such receivables.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Inventories consist of retail merchandise,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32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Land improvements</w:t>
            </w:r>
          </w:p>
        </w:tc>
        <w:tc>
          <w:tcPr>
            <w:tcW w:w="4320" w:type="dxa"/>
            <w:vAlign w:val="bottom"/>
          </w:tcPr>
          <w:p>
            <w:pPr>
              <w:ind w:left="2880"/>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432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25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Airplanes</w:t>
            </w:r>
          </w:p>
        </w:tc>
        <w:tc>
          <w:tcPr>
            <w:tcW w:w="4320" w:type="dxa"/>
            <w:vAlign w:val="bottom"/>
          </w:tcPr>
          <w:p>
            <w:pPr>
              <w:ind w:left="2880"/>
              <w:spacing w:after="0"/>
              <w:rPr>
                <w:sz w:val="20"/>
                <w:szCs w:val="20"/>
                <w:color w:val="auto"/>
              </w:rPr>
            </w:pPr>
            <w:r>
              <w:rPr>
                <w:rFonts w:ascii="Arial" w:cs="Arial" w:eastAsia="Arial" w:hAnsi="Arial"/>
                <w:sz w:val="18"/>
                <w:szCs w:val="18"/>
                <w:color w:val="auto"/>
              </w:rPr>
              <w:t>7 to 20 years</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432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3 to 20 years</w:t>
            </w:r>
          </w:p>
        </w:tc>
      </w:tr>
    </w:tbl>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the project at the Company’s weighted average cost of borrowed money. Interest of $29.5 million, $50.0 million and $115.0 million was capitalized for the years ended December 31, 2006, 2005 and 2004,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90"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overall purchase price of the Desert Inn, and trademarks. Indefinite-lived intangible assets are not amortized, but are periodically reviewed for impairment. The Company’s finite-lived intangible assets consist of a Macau gaming concession and show production rights. Finite-lived intangible assets are amortized over the shorter of their contractual terms or estimated useful lives.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is measured based on fair value compared to carrying value, with fair value typically based on a discounted cash flow model. If an asset is still under development, future cash flows include remaining construction costs.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$14.4 million, $14.0 million and $14.2 million was amortized to interest expense during the years ended December 31, 2006, 2005 and 2004,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Company accounts for derivative financial instruments in accordance with Statement of Financial Accounting Standards (“SFAS”) No. 133, “Accounting for Derivative Instruments and Hedging Activities,” as amended. The fair value of derivative financial instruments are recognized as assets or liabilities at each balance sheet date, with changes in fair value affecting net income (loss) or comprehensive income (loss) as applicable. The Company’s current interest rate swaps do not qualify for hedge accounting. Accordingly, changes in the fair value of the interest rate swaps are presented as increase in swap fair value in the accompanying Consolidated Statements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commissions and points earned in customer loyalty programs, such as the player’s club loyalty program.</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for the years ended December 31, 2006, 2005 and 2004, is primarily included in casino expenses as follows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1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4"/>
                <w:szCs w:val="14"/>
                <w:color w:val="auto"/>
              </w:rPr>
            </w:pPr>
          </w:p>
        </w:tc>
      </w:tr>
      <w:tr>
        <w:trPr>
          <w:trHeight w:val="142"/>
        </w:trPr>
        <w:tc>
          <w:tcPr>
            <w:tcW w:w="712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$17,470</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Food &amp; Beverage</w:t>
            </w:r>
          </w:p>
        </w:tc>
        <w:tc>
          <w:tcPr>
            <w:tcW w:w="580" w:type="dxa"/>
            <w:vAlign w:val="bottom"/>
          </w:tcPr>
          <w:p>
            <w:pPr>
              <w:jc w:val="right"/>
              <w:spacing w:after="0"/>
              <w:rPr>
                <w:sz w:val="20"/>
                <w:szCs w:val="20"/>
                <w:color w:val="auto"/>
              </w:rPr>
            </w:pPr>
            <w:r>
              <w:rPr>
                <w:rFonts w:ascii="Arial" w:cs="Arial" w:eastAsia="Arial" w:hAnsi="Arial"/>
                <w:sz w:val="18"/>
                <w:szCs w:val="18"/>
                <w:color w:val="auto"/>
              </w:rPr>
              <w:t>61,200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38,629</w:t>
            </w: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4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99,458</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65,035</w:t>
            </w:r>
          </w:p>
        </w:tc>
        <w:tc>
          <w:tcPr>
            <w:tcW w:w="4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2"/>
              </w:rPr>
              <w:t>$—</w:t>
            </w:r>
          </w:p>
        </w:tc>
      </w:tr>
      <w:tr>
        <w:trPr>
          <w:trHeight w:val="20"/>
        </w:trPr>
        <w:tc>
          <w:tcPr>
            <w:tcW w:w="7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$19.9 million, $18.3 million and $2.8 million, respectively, for the years ended December 31, 2006, 2005 and 2004.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Pre-opening costs consisting primarily of direct salaries and wages, legal and consulting fees, insurance, and utilities and travel, are expensed as incurred. The Company incurred pre-opening costs in connection with Wynn Las Vegas, prior to its opening on April 28, 2005 and Wynn Macau, prior to its opening on September 6, 2006 and continues to incur such costs related to Encore and the second phase of Wynn Macau.</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Company is subject to income taxes in the United States, as well as foreign jurisdictions in which it operates. The Company accounts for income taxes in accordance with SFAS No. 109, “Accounting for Income Taxes.” SFAS No. 109 requires the recognition of deferred tax assets, net of applicable reserves,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SFAS No. 109 also requires recognition of a future tax benefit to the extent that realization of such benefit is more likely than not to occur. Otherwise, a valuation allowance is provided.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SFAS No. 5, “Accounting for Contingencies”. Quarterly, the Company reviews any potentially unfavorable tax outcome and when an unfavorable outcome is identified as probable and can be reasonably estimated, the Company then establishes a tax allowance for such possible unfavorable outcome. Estimating potential tax outcomes for any uncertain tax issue is highly judgmental and may not be indicative of the ultimate settlement with the tax authorities. The Company believes that it has adequately provided reasonable reserves for reasonable and foreseeable outcomes related to uncertain tax matters.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maintains required tax reserves until such time as the underlying issue is resolved. When actual results differ from reserve estimates, the Company will adjust the income tax provision and its tax reserves in the period the issue is resolved. For tax years that are examined by taxing authorities, the Company will adjust tax reserves in the year the tax examinations are settled. For tax years that are not examined by taxing authorities, the Company will adjust tax reserves in the year that the statue of limitations expires.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Currency Translation</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accounts for currency translation in accordance with SFAS No. 52, “Foreign Currency Translation.” Gains or losses from foreign currency remeasurements are included currently in net income (loss) and have not been material to date. The results of operations and the balance sheet of Wynn Macau, S.A.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 (loss).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Earnings (loss) per share are calculated in accordance with SFAS No. 128, “Earnings Per Share.” SFAS No. 128 provides for the reporting of “basic”, or undiluted earnings per share (“EPS”), and “diluted” EPS. Basic EPS is computed by dividing net income (loss) by the weighted average number of shares outstanding during the year. Diluted EPS reflects the addition of potentially dilutive securities which for the Company includes: stock options, nonvested stock, and the 6% Convertible Subordinated Debentures due 2015 (the “Debentures”).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number of common and common equivalent shares used in the calculation of basic and diluted EPS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2005 and 2004 consisted of the following (amounts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(loss)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99,998</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98,308</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3"/>
              </w:rPr>
              <w:t>86,778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nonvested stock, and the Debentures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11,629</w:t>
            </w:r>
          </w:p>
        </w:tc>
        <w:tc>
          <w:tcPr>
            <w:tcW w:w="1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common and common equivalent shares outstanding (used in calculation of diluted earnings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111,627</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98,308</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3"/>
              </w:rPr>
              <w:t>86,778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calculation of diluted EPS for the year ended December 31, 2006 includes an addition to net income to reflect the interest expense, net of related tax effects of $9.5 million, and the distribution to convertible debenture holders of $58.5 million that would not have been incurred on the Debentures had they been converted as of the beginning of the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years ended December 31, 2005 and 2004, the Company recorded net losses. Accordingly, the assumed exercise of stock options and the potential conversion of the Debentures was anti-dilutive. As a result, basic EPS is equal to diluted EPS for those two years. Potentially dilutive securities that were excluded from the calculation of diluted EPS at December 31, 2005 because including them would have been anti-dilutive, included 3,459,800 shares under stock options, 789,169 shares under nonvested stock grants and 10,869,550 shares under the assumed conversion of the Debentures. At December 31, 2004, potentially dilutive but excluded securities included 2,271,750 shares under stock options, 1,138,338 shares under nonvested stock grants and 10,869,550 shares under the assumed conversion of the Debentures.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In December 2004, the Financial Accounting Standards Board (“FASB”) issued SFAS No. 123(R), “Share Based Payment.” This statement is a revision of SFAS No. 123, “Accounting for Stock-Based Compensation” and supercedes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 the Black-Scholes valuation model to determine the estimated fair value for each option grant issued. The Black-Scholes determined fair value net of estimated forfeitures is amortized as compensation cost on a straight line basis over the service period. In applying the modified prospective method, financial statements of prior periods presented do not reflect any adjusted amounts (i.e. prior periods do not include compensation cost calculated under the fair value method).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the Company’s share-based compensation arrangements is included in Note 15 “Benefit Plans—Share-Based Compensation”.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Instruments Issued to Consultants and Vendors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the provisions of EITF 96-18, “Accounting for 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October 21, 2002, the Company entered into an amended production services agreement with the executive producer of the water-based live theatrical attraction named “Le Reve,” which commenced upon opening Wynn Las Vegas. As additional compensation for the production services, the Company granted 189,723 restricted shares of Wynn Resorts’ common stock to the executive producer, which was scheduled to vest on June 30, 2006. In April 2006, the Company canceled the 189,723 nonvested shares of the Company’s common stock granted which were subject to certain performance criteria.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June 2006, the FASB issued Interpretation No. 48 (“FIN 48”) “Accounting for Uncertainty in Income Taxes”. This interpretation clarifies the accounting for uncertainty in income taxes recognized in a company’s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financial statements in accordance with SFAS No. 109, “Accounting for Income Taxes”. The interpretation provides guidance on classification, interest and penalties, accounting in interim periods, disclosure, and translation. This interpretation is effective for fiscal years beginning after December 15, 2006. The adoption of this statement is effective January 1, 2007. The Company has estimated that the adoption of FIN 48 will result in up to a $5 million cumulative-effect adjustment to retained earnings in the first quarter of 2007.</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Company has not yet determined the impact this statement will have on its consolidated financial statements after it is adopted on January 1, 2008.</w:t>
      </w:r>
    </w:p>
    <w:p>
      <w:pPr>
        <w:spacing w:after="0" w:line="98" w:lineRule="exact"/>
        <w:rPr>
          <w:sz w:val="20"/>
          <w:szCs w:val="20"/>
          <w:color w:val="auto"/>
        </w:rPr>
      </w:pPr>
    </w:p>
    <w:p>
      <w:pPr>
        <w:ind w:right="200" w:firstLine="456"/>
        <w:spacing w:after="0" w:line="310" w:lineRule="auto"/>
        <w:rPr>
          <w:sz w:val="20"/>
          <w:szCs w:val="20"/>
          <w:color w:val="auto"/>
        </w:rPr>
      </w:pPr>
      <w:r>
        <w:rPr>
          <w:rFonts w:ascii="Arial" w:cs="Arial" w:eastAsia="Arial" w:hAnsi="Arial"/>
          <w:sz w:val="15"/>
          <w:szCs w:val="15"/>
          <w:color w:val="auto"/>
        </w:rPr>
        <w:t>In September 2006, the SEC issued Staff Accounting Bulletin (“SAB”) No. 108, “Considering the Effects of Prior Year Misstatements when Quantifying Misstatements in Current Year Financial Statements”. SAB No. 108 requires companies to evaluate the materiality of identified unadjusted errors on each financial statement and related financial statement disclosure using both the rollover approach and the iron curtain approach. The rollover approach quantifies misstatements based on the amount of the error in the current year financial statement whereas the iron curtain approach quantifies misstatements based on the effects of correcting the misstatement existing in the balance sheet at the end of the current year, irrespective of the misstatement’s year(s) of origin. Financial statements would require adjustment when either approach results in quantifying a misstatement that is material. Correcting prior year financial statements for immaterial errors would not require previously filed reports to be amended. SAB No. 108 is effective for interim periods of the first fiscal year ending after November 15, 2006. The adoption of SAB No. 108 did not have an impact on the Company’s consolidated results of operations or financial position.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for the prior years reflect the following reclassification, which had no effect on previously reported net income/(loss), to conform to the current year presentation:</w:t>
      </w:r>
    </w:p>
    <w:p>
      <w:pPr>
        <w:spacing w:after="0" w:line="51" w:lineRule="exact"/>
        <w:rPr>
          <w:sz w:val="20"/>
          <w:szCs w:val="20"/>
          <w:color w:val="auto"/>
        </w:rPr>
      </w:pPr>
    </w:p>
    <w:p>
      <w:pPr>
        <w:ind w:left="780" w:right="80" w:hanging="326"/>
        <w:spacing w:after="0" w:line="268" w:lineRule="auto"/>
        <w:tabs>
          <w:tab w:leader="none" w:pos="7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amounts for increase in swap fair value have been presented in a separate line item in the Consolidated Statements of Operations. Previously such amounts were included in the interest and other income line item.</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Accrued gaming taxes have been presented in a separate line item in the Consolidated Balance Sheets. Previously such amount was included in Other Accrued expenses.</w:t>
      </w:r>
    </w:p>
    <w:p>
      <w:pPr>
        <w:spacing w:after="0" w:line="206"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receivables, net are as follows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$148,929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Hotel</w:t>
            </w:r>
          </w:p>
        </w:tc>
        <w:tc>
          <w:tcPr>
            <w:tcW w:w="4860" w:type="dxa"/>
            <w:vAlign w:val="bottom"/>
            <w:gridSpan w:val="3"/>
          </w:tcPr>
          <w:p>
            <w:pPr>
              <w:jc w:val="right"/>
              <w:ind w:right="340"/>
              <w:spacing w:after="0"/>
              <w:rPr>
                <w:sz w:val="20"/>
                <w:szCs w:val="20"/>
                <w:color w:val="auto"/>
              </w:rPr>
            </w:pPr>
            <w:r>
              <w:rPr>
                <w:rFonts w:ascii="Arial" w:cs="Arial" w:eastAsia="Arial" w:hAnsi="Arial"/>
                <w:sz w:val="18"/>
                <w:szCs w:val="18"/>
                <w:color w:val="auto"/>
              </w:rPr>
              <w:t>17,292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19"/>
                <w:szCs w:val="19"/>
                <w:color w:val="auto"/>
              </w:rPr>
            </w:pPr>
          </w:p>
        </w:tc>
        <w:tc>
          <w:tcPr>
            <w:tcW w:w="4860" w:type="dxa"/>
            <w:vAlign w:val="bottom"/>
            <w:gridSpan w:val="3"/>
          </w:tcPr>
          <w:p>
            <w:pPr>
              <w:jc w:val="right"/>
              <w:ind w:right="340"/>
              <w:spacing w:after="0"/>
              <w:rPr>
                <w:sz w:val="20"/>
                <w:szCs w:val="20"/>
                <w:color w:val="auto"/>
              </w:rPr>
            </w:pPr>
            <w:r>
              <w:rPr>
                <w:rFonts w:ascii="Arial" w:cs="Arial" w:eastAsia="Arial" w:hAnsi="Arial"/>
                <w:sz w:val="18"/>
                <w:szCs w:val="18"/>
                <w:color w:val="auto"/>
              </w:rPr>
              <w:t>175,759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38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(15,812)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140,232</w:t>
            </w:r>
          </w:p>
        </w:tc>
        <w:tc>
          <w:tcPr>
            <w:tcW w:w="3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840" w:type="dxa"/>
            <w:vAlign w:val="bottom"/>
            <w:vMerge w:val="restart"/>
          </w:tcPr>
          <w:p>
            <w:pPr>
              <w:jc w:val="right"/>
              <w:ind w:right="2572"/>
              <w:spacing w:after="0"/>
              <w:rPr>
                <w:sz w:val="20"/>
                <w:szCs w:val="20"/>
                <w:color w:val="auto"/>
              </w:rPr>
            </w:pPr>
            <w:r>
              <w:rPr>
                <w:rFonts w:ascii="Arial" w:cs="Arial" w:eastAsia="Arial" w:hAnsi="Arial"/>
                <w:sz w:val="18"/>
                <w:szCs w:val="18"/>
                <w:color w:val="auto"/>
              </w:rPr>
              <w:t>72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7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603,290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599,278</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1,553,447</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1,159,364</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57,582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57,582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788,375</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594,474</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67,187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67,118</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345,377</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286,570</w:t>
            </w: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3,415,258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2,764,386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(257,636)</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(100,516)</w:t>
            </w: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3,157,622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2,663,870</w:t>
            </w: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December 31, 2006, construction in progress includes interest and other costs capitalized in conjunction with the Encore project and the second phase of Wynn Macau. As of December 31, 2005, construction in progress includes interest and other costs capitalized in conjunction with Wynn Macau, which opened on September 6, 2006, and Encore.</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 of the following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Macau</w:t>
            </w:r>
          </w:p>
        </w:tc>
        <w:tc>
          <w:tcPr>
            <w:tcW w:w="120" w:type="dxa"/>
            <w:vAlign w:val="bottom"/>
          </w:tcPr>
          <w:p>
            <w:pPr>
              <w:spacing w:after="0"/>
              <w:rPr>
                <w:sz w:val="14"/>
                <w:szCs w:val="1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Show</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49"/>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9"/>
              </w:rPr>
              <w:t>Gaming</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Intangibles,</w:t>
            </w:r>
          </w:p>
        </w:tc>
      </w:tr>
      <w:tr>
        <w:trPr>
          <w:trHeight w:val="161"/>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Concession</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7"/>
              </w:rPr>
              <w:t>Rights</w:t>
            </w:r>
          </w:p>
        </w:tc>
        <w:tc>
          <w:tcPr>
            <w:tcW w:w="5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Rights</w:t>
            </w:r>
          </w:p>
        </w:tc>
        <w:tc>
          <w:tcPr>
            <w:tcW w:w="60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$ 41,700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$6,400</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54,100</w:t>
            </w:r>
          </w:p>
        </w:tc>
        <w:tc>
          <w:tcPr>
            <w:tcW w:w="6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Additions</w:t>
            </w:r>
          </w:p>
        </w:tc>
        <w:tc>
          <w:tcPr>
            <w:tcW w:w="132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10,000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10,013</w:t>
            </w:r>
          </w:p>
        </w:tc>
        <w:tc>
          <w:tcPr>
            <w:tcW w:w="6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(3,633)</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December 31, 2005</w:t>
            </w:r>
          </w:p>
        </w:tc>
        <w:tc>
          <w:tcPr>
            <w:tcW w:w="1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39,317</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13,750</w:t>
            </w:r>
          </w:p>
        </w:tc>
        <w:tc>
          <w:tcPr>
            <w:tcW w:w="5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60,480</w:t>
            </w:r>
          </w:p>
        </w:tc>
        <w:tc>
          <w:tcPr>
            <w:tcW w:w="60" w:type="dxa"/>
            <w:vAlign w:val="bottom"/>
          </w:tcPr>
          <w:p>
            <w:pPr>
              <w:spacing w:after="0"/>
              <w:rPr>
                <w:sz w:val="19"/>
                <w:szCs w:val="19"/>
                <w:color w:val="auto"/>
              </w:rPr>
            </w:pPr>
          </w:p>
        </w:tc>
      </w:tr>
      <w:tr>
        <w:trPr>
          <w:trHeight w:val="217"/>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14,497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14,497</w:t>
            </w:r>
          </w:p>
        </w:tc>
        <w:tc>
          <w:tcPr>
            <w:tcW w:w="6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Amortization</w:t>
            </w:r>
          </w:p>
        </w:tc>
        <w:tc>
          <w:tcPr>
            <w:tcW w:w="13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(4,958)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(7,342)</w:t>
            </w:r>
          </w:p>
        </w:tc>
      </w:tr>
      <w:tr>
        <w:trPr>
          <w:trHeight w:val="27"/>
        </w:trPr>
        <w:tc>
          <w:tcPr>
            <w:tcW w:w="2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$ 36,933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23,289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6,400</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67,635</w:t>
            </w:r>
          </w:p>
        </w:tc>
        <w:tc>
          <w:tcPr>
            <w:tcW w:w="60" w:type="dxa"/>
            <w:vAlign w:val="bottom"/>
            <w:shd w:val="clear" w:color="auto" w:fill="CCEEFF"/>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Total intangible assets as of December 31, 2006 were $67.6 million, net of $11.6 million of accumulated amortization. Water rights reflect the fair value allocation determined in the purchase of the Desert Inn in April 2000. The value of the trademarks primarily represents the costs to acquire the “Le Reve” name. The water rights and trademarks are indefinite-lived assets and, accordingly, not amortized. Show production rights represents the amounts paid to purchase the rights to “Avenue Q” , “Monty Python’s Spamalot” and the “Le Reve” production show. On May 31, 2006, the Company entered into an agreement to acquire substantially all intellectual property rights related to “Le Reve” which were previously only licensed to the Company. The Company paid $14.5 million to acquire substantially all of the rights in and to “Le Reve”. The rights acquired enable the Company to produce, present, enhance, or alter the performance of “Le Reve” after May 31, 2006. The Company expects that amortization of show production rights will be approximately $3.3 million in 2007, approximately $3.5 million for each of the years 2008 through 2012, approximately $2.3 million in 2013 and approximately $0.2 million in 2014.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September 2004, the Company acquired all of the 17.5% indirect ownership interests in Wynn Macau, S.A. held by third parties, in exchange for 1,333,333 shares of Wynn Resorts’ common stock. Mr. Wong Chi Seng, one of the third parties, retained a direct 10% voting interest in Wynn Macau, S.A. and agreed to continue to serve as Executive Director. Mr. Wong’s shares provide in the aggregate a nominal preferential annual dividend and capital distribution rights of up to one Macau pataca (US$0.12). As a result of the acquisition, Wynn Macau, S.A. effectively became a wholly-owned indirect subsidiary of Wynn Resorts.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average price of Wynn Resorts’ common stock around August 31, 2004 (the deemed effective date of the acquisition), was $38.69 per share. The excess of the purchase price of the minority interests over the net liabilities assumed plus the value of the stock exchanged, less the costs to register the shares, was approximately $51.4 million. Upon obtaining third party appraisals of the land and gaming concessions, the purchase price was allocated to the assets acquired: $42.3 million was allocated to the gaming concession; and the remaining $9.1 million was allocated to increase the book value of the leasehold interest in land. The gaming concession intangible is being amortized over the 20-year life of the concession. The Company expects that amortization of the gaming concession will be approximately $2.4 million each year from 2007 through 2021, and approximately $1.2 million in 2022.</w:t>
      </w:r>
    </w:p>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Deposits and Other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$30,057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$ 33,697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Base Stock</w:t>
            </w:r>
          </w:p>
        </w:tc>
        <w:tc>
          <w:tcPr>
            <w:tcW w:w="5520" w:type="dxa"/>
            <w:vAlign w:val="bottom"/>
            <w:gridSpan w:val="3"/>
          </w:tcPr>
          <w:p>
            <w:pPr>
              <w:jc w:val="right"/>
              <w:ind w:right="560"/>
              <w:spacing w:after="0"/>
              <w:rPr>
                <w:sz w:val="20"/>
                <w:szCs w:val="20"/>
                <w:color w:val="auto"/>
              </w:rPr>
            </w:pPr>
            <w:r>
              <w:rPr>
                <w:rFonts w:ascii="Arial" w:cs="Arial" w:eastAsia="Arial" w:hAnsi="Arial"/>
                <w:sz w:val="18"/>
                <w:szCs w:val="18"/>
                <w:color w:val="auto"/>
              </w:rPr>
              <w:t>21,155</w:t>
            </w:r>
          </w:p>
        </w:tc>
        <w:tc>
          <w:tcPr>
            <w:tcW w:w="600" w:type="dxa"/>
            <w:vAlign w:val="bottom"/>
          </w:tcPr>
          <w:p>
            <w:pPr>
              <w:jc w:val="right"/>
              <w:spacing w:after="0"/>
              <w:rPr>
                <w:sz w:val="20"/>
                <w:szCs w:val="20"/>
                <w:color w:val="auto"/>
              </w:rPr>
            </w:pPr>
            <w:r>
              <w:rPr>
                <w:rFonts w:ascii="Arial" w:cs="Arial" w:eastAsia="Arial" w:hAnsi="Arial"/>
                <w:sz w:val="18"/>
                <w:szCs w:val="18"/>
                <w:color w:val="auto"/>
              </w:rPr>
              <w:t>23,335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19,741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Interest rate swaps</w:t>
            </w:r>
          </w:p>
        </w:tc>
        <w:tc>
          <w:tcPr>
            <w:tcW w:w="5520" w:type="dxa"/>
            <w:vAlign w:val="bottom"/>
            <w:gridSpan w:val="3"/>
          </w:tcPr>
          <w:p>
            <w:pPr>
              <w:jc w:val="right"/>
              <w:ind w:right="560"/>
              <w:spacing w:after="0"/>
              <w:rPr>
                <w:sz w:val="20"/>
                <w:szCs w:val="20"/>
                <w:color w:val="auto"/>
              </w:rPr>
            </w:pPr>
            <w:r>
              <w:rPr>
                <w:rFonts w:ascii="Arial" w:cs="Arial" w:eastAsia="Arial" w:hAnsi="Arial"/>
                <w:sz w:val="18"/>
                <w:szCs w:val="18"/>
                <w:color w:val="auto"/>
              </w:rPr>
              <w:t>4,789</w:t>
            </w:r>
          </w:p>
        </w:tc>
        <w:tc>
          <w:tcPr>
            <w:tcW w:w="600" w:type="dxa"/>
            <w:vAlign w:val="bottom"/>
          </w:tcPr>
          <w:p>
            <w:pPr>
              <w:jc w:val="right"/>
              <w:spacing w:after="0"/>
              <w:rPr>
                <w:sz w:val="20"/>
                <w:szCs w:val="20"/>
                <w:color w:val="auto"/>
              </w:rPr>
            </w:pPr>
            <w:r>
              <w:rPr>
                <w:rFonts w:ascii="Arial" w:cs="Arial" w:eastAsia="Arial" w:hAnsi="Arial"/>
                <w:sz w:val="18"/>
                <w:szCs w:val="18"/>
                <w:color w:val="auto"/>
              </w:rPr>
              <w:t>10,523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Golf memberships</w:t>
            </w:r>
          </w:p>
        </w:tc>
        <w:tc>
          <w:tcPr>
            <w:tcW w:w="4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60" w:type="dxa"/>
            <w:vAlign w:val="bottom"/>
          </w:tcPr>
          <w:p>
            <w:pPr>
              <w:spacing w:after="0"/>
              <w:rPr>
                <w:sz w:val="19"/>
                <w:szCs w:val="19"/>
                <w:color w:val="auto"/>
              </w:rPr>
            </w:pPr>
          </w:p>
        </w:tc>
        <w:tc>
          <w:tcPr>
            <w:tcW w:w="5520" w:type="dxa"/>
            <w:vAlign w:val="bottom"/>
            <w:gridSpan w:val="3"/>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79,492</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$ 91,371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380" w:type="dxa"/>
            <w:vAlign w:val="bottom"/>
            <w:vMerge w:val="restart"/>
          </w:tcPr>
          <w:p>
            <w:pPr>
              <w:jc w:val="right"/>
              <w:ind w:right="2872"/>
              <w:spacing w:after="0"/>
              <w:rPr>
                <w:sz w:val="20"/>
                <w:szCs w:val="20"/>
                <w:color w:val="auto"/>
              </w:rPr>
            </w:pPr>
            <w:r>
              <w:rPr>
                <w:rFonts w:ascii="Arial" w:cs="Arial" w:eastAsia="Arial" w:hAnsi="Arial"/>
                <w:sz w:val="18"/>
                <w:szCs w:val="18"/>
                <w:color w:val="auto"/>
              </w:rPr>
              <w:t>74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73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6 5/8% First Mortgage Notes, due December 1, 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$1,300,000</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$1,300,000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800" w:type="dxa"/>
            <w:vAlign w:val="bottom"/>
          </w:tcPr>
          <w:p>
            <w:pPr>
              <w:jc w:val="right"/>
              <w:spacing w:after="0"/>
              <w:rPr>
                <w:sz w:val="20"/>
                <w:szCs w:val="20"/>
                <w:color w:val="auto"/>
              </w:rPr>
            </w:pPr>
            <w:r>
              <w:rPr>
                <w:rFonts w:ascii="Arial" w:cs="Arial" w:eastAsia="Arial" w:hAnsi="Arial"/>
                <w:sz w:val="18"/>
                <w:szCs w:val="18"/>
                <w:color w:val="auto"/>
              </w:rPr>
              <w:t>224,128</w:t>
            </w:r>
          </w:p>
        </w:tc>
        <w:tc>
          <w:tcPr>
            <w:tcW w:w="5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r>
      <w:tr>
        <w:trPr>
          <w:trHeight w:val="208"/>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$600.0 million Revolving Credit Facility; due December 14, 2009; interest at LIBOR plus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2.225% (approximately 6.7%)</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r>
      <w:tr>
        <w:trPr>
          <w:trHeight w:val="208"/>
        </w:trPr>
        <w:tc>
          <w:tcPr>
            <w:tcW w:w="7360" w:type="dxa"/>
            <w:vAlign w:val="bottom"/>
          </w:tcPr>
          <w:p>
            <w:pPr>
              <w:spacing w:after="0"/>
              <w:rPr>
                <w:sz w:val="20"/>
                <w:szCs w:val="20"/>
                <w:color w:val="auto"/>
              </w:rPr>
            </w:pPr>
            <w:r>
              <w:rPr>
                <w:rFonts w:ascii="Arial" w:cs="Arial" w:eastAsia="Arial" w:hAnsi="Arial"/>
                <w:sz w:val="18"/>
                <w:szCs w:val="18"/>
                <w:color w:val="auto"/>
                <w:w w:val="98"/>
              </w:rPr>
              <w:t>$400.0 million Delay Draw Term Loan Facility; due December 14, 2011 interest at LIBOR plus</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2.125% (approximately 6.5%)</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400,000</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9"/>
              </w:rPr>
              <w:t>$900.0 million Revolving Credit Facility; due August 15, 2011; interest at LIBOR plus 1.625%</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(approximately 7.0%)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88,892</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7360" w:type="dxa"/>
            <w:vAlign w:val="bottom"/>
          </w:tcPr>
          <w:p>
            <w:pPr>
              <w:spacing w:after="0"/>
              <w:rPr>
                <w:sz w:val="20"/>
                <w:szCs w:val="20"/>
                <w:color w:val="auto"/>
              </w:rPr>
            </w:pPr>
            <w:r>
              <w:rPr>
                <w:rFonts w:ascii="Arial" w:cs="Arial" w:eastAsia="Arial" w:hAnsi="Arial"/>
                <w:sz w:val="18"/>
                <w:szCs w:val="18"/>
                <w:color w:val="auto"/>
              </w:rPr>
              <w:t>$225.0 million Term Loan Facility; $112.5 million due September 30, 2012 with remaining</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$112.5 million due August 15, 2013; interest at LIBOR plus 1.875% (approximately 7.2%)</w:t>
            </w:r>
          </w:p>
        </w:tc>
        <w:tc>
          <w:tcPr>
            <w:tcW w:w="800" w:type="dxa"/>
            <w:vAlign w:val="bottom"/>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6"/>
              </w:rPr>
              <w:t>Senior Term Loan Facilities; due September 14, 2011; interest at LIBOR or HIBOR plus 2.75%,</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(approximately 8.1% and 6.7%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496,729</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78,944</w:t>
            </w:r>
          </w:p>
        </w:tc>
      </w:tr>
      <w:tr>
        <w:trPr>
          <w:trHeight w:val="208"/>
        </w:trPr>
        <w:tc>
          <w:tcPr>
            <w:tcW w:w="7360" w:type="dxa"/>
            <w:vAlign w:val="bottom"/>
          </w:tcPr>
          <w:p>
            <w:pPr>
              <w:spacing w:after="0"/>
              <w:rPr>
                <w:sz w:val="20"/>
                <w:szCs w:val="20"/>
                <w:color w:val="auto"/>
              </w:rPr>
            </w:pPr>
            <w:r>
              <w:rPr>
                <w:rFonts w:ascii="Arial" w:cs="Arial" w:eastAsia="Arial" w:hAnsi="Arial"/>
                <w:sz w:val="18"/>
                <w:szCs w:val="18"/>
                <w:color w:val="auto"/>
              </w:rPr>
              <w:t>$44.75 million note payable; due March 31, 2010; interest at LIBOR plus 2.375%</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(approximately 7.7% and 6.9% respectively)</w:t>
            </w:r>
          </w:p>
        </w:tc>
        <w:tc>
          <w:tcPr>
            <w:tcW w:w="800" w:type="dxa"/>
            <w:vAlign w:val="bottom"/>
          </w:tcPr>
          <w:p>
            <w:pPr>
              <w:jc w:val="right"/>
              <w:spacing w:after="0"/>
              <w:rPr>
                <w:sz w:val="20"/>
                <w:szCs w:val="20"/>
                <w:color w:val="auto"/>
              </w:rPr>
            </w:pPr>
            <w:r>
              <w:rPr>
                <w:rFonts w:ascii="Arial" w:cs="Arial" w:eastAsia="Arial" w:hAnsi="Arial"/>
                <w:sz w:val="18"/>
                <w:szCs w:val="18"/>
                <w:color w:val="auto"/>
              </w:rPr>
              <w:t>38,510</w:t>
            </w:r>
          </w:p>
        </w:tc>
        <w:tc>
          <w:tcPr>
            <w:tcW w:w="5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43,536</w:t>
            </w: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Note payable—Aircraft; interest at 5.67%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13,986</w:t>
            </w:r>
          </w:p>
        </w:tc>
      </w:tr>
      <w:tr>
        <w:trPr>
          <w:trHeight w:val="208"/>
        </w:trPr>
        <w:tc>
          <w:tcPr>
            <w:tcW w:w="7360" w:type="dxa"/>
            <w:vAlign w:val="bottom"/>
          </w:tcPr>
          <w:p>
            <w:pPr>
              <w:spacing w:after="0"/>
              <w:rPr>
                <w:sz w:val="20"/>
                <w:szCs w:val="20"/>
                <w:color w:val="auto"/>
              </w:rPr>
            </w:pPr>
            <w:r>
              <w:rPr>
                <w:rFonts w:ascii="Arial" w:cs="Arial" w:eastAsia="Arial" w:hAnsi="Arial"/>
                <w:sz w:val="18"/>
                <w:szCs w:val="18"/>
                <w:color w:val="auto"/>
              </w:rPr>
              <w:t>12% Second Mortgage Notes, net of original issue discount of approximately $0 and $440,</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respectively, due November 1, 2010</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9,702</w:t>
            </w: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r>
      <w:tr>
        <w:trPr>
          <w:trHeight w:val="20"/>
        </w:trPr>
        <w:tc>
          <w:tcPr>
            <w:tcW w:w="7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7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2,386,652</w:t>
            </w:r>
          </w:p>
        </w:tc>
        <w:tc>
          <w:tcPr>
            <w:tcW w:w="5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2,106,335</w:t>
            </w: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(6,115)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(15,489)</w:t>
            </w:r>
          </w:p>
        </w:tc>
      </w:tr>
      <w:tr>
        <w:trPr>
          <w:trHeight w:val="20"/>
        </w:trPr>
        <w:tc>
          <w:tcPr>
            <w:tcW w:w="7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7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2,380,537</w:t>
            </w:r>
          </w:p>
        </w:tc>
        <w:tc>
          <w:tcPr>
            <w:tcW w:w="5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2,090,846</w:t>
            </w:r>
          </w:p>
        </w:tc>
      </w:tr>
      <w:tr>
        <w:trPr>
          <w:trHeight w:val="20"/>
        </w:trPr>
        <w:tc>
          <w:tcPr>
            <w:tcW w:w="7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Mortgage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December 14, 2004, Wynn Las Vegas, LLC and Wynn Las Vegas Capital Corp. (together, the “Issuers”) issued $1.3 billion aggregate principal amount of 6 5/8% First Mortgage Notes (the “First Mortgage Notes”). The First Mortgage Notes mature on December 1, 2014 and bear interest at the rate of 6 5/8% per year. The Company pays interest on the First Mortgage Notes on December 1 and June 1 of each year. The Company may redeem up to 35% of the aggregate principal amount of the First Mortgage Notes at any time prior to December 1, 2007 at a redemption price equal to 106.625% of the principal amount redeemed (plus accrued and unpaid interest to the date of redemption) with the proceeds of one or more of the Company’s qualified equity offerings that are contributed to Wynn Las Vegas, LLC. Commencing December 1, 2009, the First Mortgage Notes are redeemable at the Company’s option at a price equal to 103.313% of the principal amount redeemed and declining ratably on December first of each year thereafter to zero on or after December 1, 2012.</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 Management believes the Company is in compliance with all such covenants as of December 31, 2006.</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 first priority security interest in a liquidity reserve account (currently $30.0 million), which may be used to meet Wynn Las Vegas, LLC’s debt service needs in connection with the operation of Wynn Las Vegas; (2) all amounts on deposit from time to time (currently $50.0 million) in a completion guarantee deposit account maintained by Wynn Completion Guarantor, LLC; (3) a first priority pledge of all of the member’s interests owned by Wynn Las Vegas, LLC in its subsidiaries (other than Wynn Completion Guarantor, LLC) and of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among other things, an aircraft beneficially owned by World Travel, LLC. The First Mortgage Notes are also secured by certain of the net proceeds from the sale of the First Mortgage Notes.</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Subordinated Debentures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July 2003, the Company sold $250.0 million aggregate principal amount of the Debentures. The Company pays interest on the Debentures on January 15 and July 15 of each year, beginning January 15, 2004. The Company contributed a total of approximately $44.0 million to a subsidiary, Wynn Resorts Funding, LLC, which purchased U.S. government securities to secure the payment of scheduled interest payments occurring in 2004, 2005 and 2006 as required by the indenture governing the Debentures.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$1,000 principal amount of the Debentures is convertible at each holder’s option into 43.4782 shares of the Company’s common stock (subject to adjustment as provided in the indenture governing the Debentures), a conversion rate equivalent to a conversion price of $23.00 per share. The Company may redeem some or all of the debentures for cash on or after July 20, 2007, at prices specified in the indenture governing the Debentures. In addition, the holders may require the Company to repurchase all or a portion of their Debentures, subject to certain exceptions, following a change of control of the Company.</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Wynn Resorts Funding, LLC, has guaranteed the Debentures and Wynn Resorts, Limited has guaranteed the obligations of Wynn Resorts Funding, LLC. As of December 31, 2006, Wynn Resorts Funding, LLC does not have any assets. The Debentures are subordinated unsecured obligations and rank junior in right of payment to all existing and future senior indebtedness of the Company, and equally with any existing and future subordinated indebtedness.</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year ended December 31, 2006, approximately $25.9 million principal amount of the Debentures were converted into 1,124,862 shares of the common stock of the Company. Accordingly, long-term debt was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reduced by approximately $25.9 million, equity was increased by approximately $25.5 million and deferred financing costs were reduced by approximately $0.4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December 14, 2004, Wynn Las Vegas, LLC entered into a credit agreement and related ancillary agreements for secured revolving credit and term loan facilities in the aggregate amount of $1.0 billion. The credit facilities consisted of a revolving credit facility (the “Revolver”) in the amount of $600 million and a term loan facility (the “Term Loan”) in the amount of $400 million. The Revolver was to terminate and be payable in full on December 14, 2009, and the Term Loan was to mature on December 14, 2011.</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August 15, 2006, the Company refinanced the above noted credit facilities and entered into an Amended and Restated Credit Agreement (the “Amended and Restated Credit Agreement”) which increased the Wynn Las Vegas credit facilities from $1.0 billion to $1.125 billion by increasing the Revolver from $600 million to $900 million and reducing the Term Loan from $400 million to $225 million. The $900 million Revolver and the $225 million Term Loan are herein referred to as the “Credit Facilities”. In August 2006, the maturity dates for the Revolver and the Term Loan were extended to August 15, 2011 and August 15, 2013, respectively. One half of the Term Loan is due on September 30, 2012 and the remaining half is due August 15, 2013.</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calculating interest, loans under the Credit Facilities will be designated, at the election of Wynn Las Vegas, LLC, as Eurodollar Loans or, in certain circumstances, Base Rate Loans. Eurodollar Loans under the Revolver and Term Loan bear interest initially at the eurodollar rate plus 1.625%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greater of (i) the rate most recently announced by Deutsche Bank as its “prime rate,” or (ii) the Federal Funds Rate plus 1/2 of 1% per annum; plus (b) a borrowing margin 0.625% or 0.875% under the Revolver and Term Loans, respectively. Interest on Base Rate Loans will be payable quarterly in arrears.</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After the opening of Encore, the applicable borrowing margins for revolving loans will be based on Wynn Las Vegas, LLC’s leverage ratio, ranging from 1.00% to 1.75% per annum for Eurodollar Loans and 0.0% to 0.75% per annum for Base Rate Loans. Until then, Wynn Las Vegas, LLC will pay, quarterly in arrears, 0.375% per annum on the daily average of unborrowed availability under the revolving credit facility. After opening Encore, the annual fee Wynn Las Vegas, LLC will be required to pay for unborrowed availability under the revolving credit facility will be based on Wynn Las Vegas, LLC’s leverage ratio, ranging from 0.25% to 0.50% per annum.</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 first priority security interest in a liquidity reserve account (currently $30 million), which may be used to meet Wynn Las Vegas, LLC’s debt service needs in connection with the operation of Wynn Las Vegas; (2) all amounts on deposit from time to time (currently $50 million) in a completion guarantee deposit account maintained by Wynn Completion Guarantor, LLC; (3) all amounts on deposit from time to time in a secured account holding the proceeds of the 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an aircraft beneficially owned by World Travel, LLC.</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their existing and future senior indebtedness, including indebtedness with respect to the First Mortgage Notes and ranks senior in right of payment to all of their existing and future subordinated indebtedness.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After opening Encore, Wynn Las Vegas, LLC will also be required to make mandatory repayments of indebtedness under the Credit Facilities from specified percentages of excess cash flow, which percentages may decrease and/or be eliminated based on Wynn Las Vegas, LLC’s leverage ratio. Wynn Las Vegas, LLC has the option to prepay all or any portion of the indebtedness under the Credit Facilities at any time without premium or penalty.</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maintaining a ratio of total debt to earnings before interest, taxes, depreciation and amortization.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2006, management believes the Company was in compliance with all covenants.</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accordance with EITF 96-19, “Debtor’s Accounting for a Modification or Exchange of Debt Instruments,” the Company recorded a loss from extinguishment of debt for the year ended December 31, 2006 of approximately $10.8 million to reflect the write-off of the previous Term Loan’s unamortized deferred financing costs and the payment of certain third-party bank fees incurred during the refinancing of the Credit Facilities.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 September 14, 2004, Wynn Macau, S.A. executed a definitive credit agreement and related ancillary agreements for a senior secured bank facility of $397 million. The senior secured bank facility consisted of term loan facilities in the amount of $382 million (in a combination of Hong Kong and US dollars) and a revolving working capital facility of HK$117 million (approximately US$15 million).</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2005, to accommodate Wynn Macau’s second phase, Wynn Macau, S.A., amended its senior bank facility to expand availability under the facility from $397 million to $764 million, including $729 million of senior term loan facilities, a HK$117 million revolving credit facility (approximately US$15 million), and an additional term loan facility of HK$156 million (approximately US$20 million). Wynn Macau, S.A. began borrowing under the senior secured credit facilities in the fourth quarter of 2005 after the proceeds from $230.0 million in intercompany loans and an $80 million subordinated loan provided by Wynn Resorts (both of which were repaid in October 2006) were expended on the Wynn Macau project, and certain other conditions precedent customary to limited recourse project finance construction were satisfied.</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June 22, 2006, Wynn Macau, S.A. received consent from its lending syndicate allowing Wynn Macau, S.A. to amend certain provisions of its credit agreement to permit Wynn Macau to fund the additional $68.4 million in costs associated with three change orders to its guaranteed maximum price construction contract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increases in Wynn Macau’s project budget entirely from its existing $764 million senior secured credit facilities. The additional costs are to be incurred in connection with preparatory work for additional gaming space located in the expansion of Wynn Macau’s second phase, a series of enhancements and upgrades to the overall project and an electronic marquee sign at the entrance to Wynn Macau. Wynn Macau will fund $60.5 million from its existing $72 million contingent debt facility, which is included in the $729 million senior term loan facility noted above, and $7.9 million of costs from its existing $20 million credit facility with Banco Nacional Ultramarino, S.A.</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term loan facilities mature in September 2011, and the revolving credit facility matures in September 2007. The principal amount of the term loans is required to be repaid in quarterly installments, commencing on March 14, 2008. The term loans bore interest at LIBOR or the Hong Kong Interbank Offer Rate (“HIBOR”) plus a margin of 3% until substantial completion of Wynn Macau, at which time the interest rate was reduced to LIBOR or HIBOR plus a margin of 2.75%. The senior bank facility also provides for further reductions in the margin on the term loans if Wynn Macau, S.A. satisfies certain prescribed leverage ratio tests. Loans under the revolving credit facility will bear interest at HIBOR plus a margin of 2.5%.</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Collateral for the senior bank facility consists of substantially all of the assets of Wynn Macau, S.A. Certain affiliates of the Company that own interests in Wynn Macau, S.A., either directly or indirectly through other subsidiaries, have executed guarantees of the loans and pledged their interests in Wynn Macau, S.A. as additional security for repayment of the loans. In addition, the senior bank facility’s governing documents contain capital spending limits and other affirmative and negative covenants. As of December 31, 2006, management believes that the Company was in compliance with all covenants.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September 2004, in connection with the initial financing of the Wynn Macau project, Wynn Macau, S.A. entered into a Bank Guarantee Reimbursement Agreement with Banco Nacional Ultramarino (“BNU”) to secure a guarantee in the amount of 700 million patacas (approximately US$87 million). This guarantee, which is for the benefit of the Macau government, assures Wynn Macau, S.A.’s performance under the casino concession agreement, including the payment of premiums, fines and indemnity for any material failure to perform under the terms of the concession agreement. To secure the guarantee, Wynn Macau, S.A. originally deposited $50 million of the $230 million base equity loans with BNU. As of December 31, 2006, as permitted by the loan documents, Wynn Macau, S.A. had funded $50 million of its project costs with these funds. The guarantee is currently secured by a second priority security interest in the senior lender collateral package. From and after repayment of all indebtedness under the senior bank facilities, Wynn Macau, S.A. is obligated to promptly, upon demand by BNU, repay any claim made on the guarantee by the Macau government. BNU will be paid an annual fee for the guarantee not to exceed approximately 12.3 million Macau patacas (approximately US$1.5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terminate and are payable in full on March 31, 2010. The term loans are guaranteed by Wynn Las Vegas, LLC and secured by a first priority security interest in one of the Company’s two aircraft. Principal and interest is payable quarterly, and interest is calculated at LIBOR plus a margin of 2.375%. In addition to scheduled amortization payments, the borrower is required to prepay the loans if certain events of loss with respect to the aircraft occur. Beginning on December 31, 2006, the borrower may prepay all or any portion of the loans subject to a minimum prepayment of $10.0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Notes Payable—Aircraft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notes require monthly payments of principal and interest totaling approximately $124,000 through June 2011, reducing to approximately $27,000 for July through September 2011. There are also balloon payments due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June and September of 2011 of approximately $7.5 million and $2.1 million, respectively. The notes are secured by liens on one of the Company’s two aircraft.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Mortgage Notes</w:t>
      </w:r>
    </w:p>
    <w:p>
      <w:pPr>
        <w:spacing w:after="0" w:line="90"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On October 30, 2002, the Issuers issued $370 million aggregate principal amount of 12% second mortgage notes (the “Second Mortgage Notes”) maturing November 1, 2010 with semi-annual interest payments beginning in May 2003.</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Second Mortgage Notes were issued for approximately $343.3 million, net of an original issue discount of approximately $26.7 million and issuance costs of approximately $14.4 million. The net proceeds were used to finance the development and construction of Wynn Las Vegas, to pay pre-opening costs and meet debt service obligations.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June 14, 2004, the Issuers redeemed approximately $122.4 million of the Second Mortgage Notes. The total price of the redemption was approximately $138.9 million, equal to 112.0% of the aggregate principal amount of the Notes redeemed, plus accrued and unpaid interest thereon. In connection with the redemption, the Company wrote off approximately $7.0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On December 14, 2004, the Issuers purchased approximately $237.4 million in aggregate principal amount of the Second Mortgage Notes and effected a discharge of the Second Mortgage Notes indenture and related collateral documents. The approximately $10.1 million principal amount of Second Mortgage Notes remaining outstanding as of December 31, 2005 had been called for redemption in accordance with the indenture on November 1, 2006, at a price of 112% of the principal amount, plus accrued and unpaid interest to the redemption date. In order to effect the satisfaction and discharge, the Issuers deposited in trust with the trustee of the Second Mortgage Notes government securities with an aggregate face value of approximately $10.1 million and approximately $3.0 million of additional funds (the amounts necessary to pay when due all interest payments and the redemption price on the redemption date), to satisfy and discharge the remaining amounts payable under the Second Mortgage Notes indenture. As a result of the satisfaction and discharge, the Issuers were not subject to any restrictive covenants under the Second Mortgage Notes indenture, and the guarantees and collateral securing the Second Mortgage Notes were released.</w:t>
      </w:r>
    </w:p>
    <w:p>
      <w:pPr>
        <w:spacing w:after="0" w:line="10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November 1, 2006, the Company redeemed the approximately $10.1 million of Second Mortgage Notes that remained outstanding with the funds that had previously been placed in an escrow account specifically for this purpose and incurred a $1.7 million redemption premium included in Loss from extinguishment of debt in the accompanying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net book value of the First Mortgage Notes and the Debentures at December 31, 2006 was approximately $1.3 billion and $224.1 million, respectively The net book value of the First Mortgage Notes and the Debentures at December 31, 2005 was approximately $1.3 billion and $250 million, respectively. The estimated fair value of the First Mortgage Notes and the Debentures based upon most recent trades at December 31, 2006 was approximately $1.3 billion and $916 million, respectively. The estimated fair value of the First Mortgage Notes and the Debentures based upon most recent trades at December 31, 2005 was approximately $1.3 billion and $596.2 million, respectively. The net book value of the Company’s other debt instruments approximates fair value.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4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8140" w:type="dxa"/>
            <w:vAlign w:val="bottom"/>
          </w:tcPr>
          <w:p>
            <w:pPr>
              <w:ind w:left="2800"/>
              <w:spacing w:after="0"/>
              <w:rPr>
                <w:sz w:val="20"/>
                <w:szCs w:val="20"/>
                <w:color w:val="auto"/>
              </w:rPr>
            </w:pPr>
            <w:r>
              <w:rPr>
                <w:rFonts w:ascii="Arial" w:cs="Arial" w:eastAsia="Arial" w:hAnsi="Arial"/>
                <w:sz w:val="18"/>
                <w:szCs w:val="18"/>
                <w:b w:val="1"/>
                <w:bCs w:val="1"/>
                <w:color w:val="auto"/>
              </w:rPr>
              <w:t>WYNN RESORTS, LIMITED AND SUBSIDIARIES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7"/>
        </w:trPr>
        <w:tc>
          <w:tcPr>
            <w:tcW w:w="680" w:type="dxa"/>
            <w:vAlign w:val="bottom"/>
          </w:tcPr>
          <w:p>
            <w:pPr>
              <w:spacing w:after="0"/>
              <w:rPr>
                <w:sz w:val="24"/>
                <w:szCs w:val="24"/>
                <w:color w:val="auto"/>
              </w:rPr>
            </w:pPr>
          </w:p>
        </w:tc>
        <w:tc>
          <w:tcPr>
            <w:tcW w:w="8140" w:type="dxa"/>
            <w:vAlign w:val="bottom"/>
          </w:tcPr>
          <w:p>
            <w:pPr>
              <w:ind w:left="196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5"/>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Scheduled Maturities of Long-Term Debt</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Scheduled maturities of long-term debt are as follows (amounts in thousands):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0"/>
        </w:trPr>
        <w:tc>
          <w:tcPr>
            <w:tcW w:w="680" w:type="dxa"/>
            <w:vAlign w:val="bottom"/>
          </w:tcPr>
          <w:p>
            <w:pPr>
              <w:spacing w:after="0"/>
              <w:rPr>
                <w:sz w:val="24"/>
                <w:szCs w:val="24"/>
                <w:color w:val="auto"/>
              </w:rPr>
            </w:pPr>
          </w:p>
        </w:tc>
        <w:tc>
          <w:tcPr>
            <w:tcW w:w="8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 December 31,</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r>
      <w:tr>
        <w:trPr>
          <w:trHeight w:val="216"/>
        </w:trPr>
        <w:tc>
          <w:tcPr>
            <w:tcW w:w="68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2008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115,122</w:t>
            </w:r>
          </w:p>
        </w:tc>
      </w:tr>
      <w:tr>
        <w:trPr>
          <w:trHeight w:val="216"/>
        </w:trPr>
        <w:tc>
          <w:tcPr>
            <w:tcW w:w="68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139,031</w:t>
            </w:r>
          </w:p>
        </w:tc>
      </w:tr>
      <w:tr>
        <w:trPr>
          <w:trHeight w:val="216"/>
        </w:trPr>
        <w:tc>
          <w:tcPr>
            <w:tcW w:w="68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172,824</w:t>
            </w:r>
          </w:p>
        </w:tc>
      </w:tr>
      <w:tr>
        <w:trPr>
          <w:trHeight w:val="216"/>
        </w:trPr>
        <w:tc>
          <w:tcPr>
            <w:tcW w:w="68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204,432</w:t>
            </w:r>
          </w:p>
        </w:tc>
      </w:tr>
      <w:tr>
        <w:trPr>
          <w:trHeight w:val="223"/>
        </w:trPr>
        <w:tc>
          <w:tcPr>
            <w:tcW w:w="68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1,749,128</w:t>
            </w:r>
          </w:p>
        </w:tc>
      </w:tr>
      <w:tr>
        <w:trPr>
          <w:trHeight w:val="216"/>
        </w:trPr>
        <w:tc>
          <w:tcPr>
            <w:tcW w:w="68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2,386,652</w:t>
            </w:r>
          </w:p>
        </w:tc>
      </w:tr>
      <w:tr>
        <w:trPr>
          <w:trHeight w:val="20"/>
        </w:trPr>
        <w:tc>
          <w:tcPr>
            <w:tcW w:w="6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Interest Rate Swaps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has entered into floating-for-fixed interest rate swap arrangements relating to several of its debt facilities. The Company accounts for its interest rate swaps in accordance with SFAS No. 133, “Accounting for Derivative Instruments and Hedging Activities,” and its related interpretations. The following table represents the historical asset (liability) fair values (reflected in deposits and other assets or in other long-term liabilities as appropriate) as of December 31, 2006 and December 31, 2005. The fair value approximates the amount the Company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Net Total</w:t>
            </w:r>
          </w:p>
        </w:tc>
      </w:tr>
      <w:tr>
        <w:trPr>
          <w:trHeight w:val="149"/>
        </w:trPr>
        <w:tc>
          <w:tcPr>
            <w:tcW w:w="4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Interest</w:t>
            </w:r>
          </w:p>
        </w:tc>
      </w:tr>
      <w:tr>
        <w:trPr>
          <w:trHeight w:val="149"/>
        </w:trPr>
        <w:tc>
          <w:tcPr>
            <w:tcW w:w="4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Rate Swap</w:t>
            </w:r>
          </w:p>
        </w:tc>
      </w:tr>
      <w:tr>
        <w:trPr>
          <w:trHeight w:val="149"/>
        </w:trPr>
        <w:tc>
          <w:tcPr>
            <w:tcW w:w="4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Wynn</w:t>
            </w:r>
          </w:p>
        </w:tc>
        <w:tc>
          <w:tcPr>
            <w:tcW w:w="32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Wynn</w:t>
            </w:r>
          </w:p>
        </w:tc>
        <w:tc>
          <w:tcPr>
            <w:tcW w:w="80" w:type="dxa"/>
            <w:vAlign w:val="bottom"/>
          </w:tcPr>
          <w:p>
            <w:pPr>
              <w:spacing w:after="0"/>
              <w:rPr>
                <w:sz w:val="12"/>
                <w:szCs w:val="12"/>
                <w:color w:val="auto"/>
              </w:rPr>
            </w:pPr>
          </w:p>
        </w:tc>
        <w:tc>
          <w:tcPr>
            <w:tcW w:w="5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2"/>
              </w:rPr>
              <w:t>Asset /</w:t>
            </w:r>
          </w:p>
        </w:tc>
      </w:tr>
      <w:tr>
        <w:trPr>
          <w:trHeight w:val="161"/>
        </w:trPr>
        <w:tc>
          <w:tcPr>
            <w:tcW w:w="4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32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Macau</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(Liability)</w:t>
            </w:r>
          </w:p>
        </w:tc>
      </w:tr>
      <w:tr>
        <w:trPr>
          <w:trHeight w:val="201"/>
        </w:trPr>
        <w:tc>
          <w:tcPr>
            <w:tcW w:w="4260" w:type="dxa"/>
            <w:vAlign w:val="bottom"/>
            <w:shd w:val="clear" w:color="auto" w:fill="CCEEFF"/>
          </w:tcPr>
          <w:p>
            <w:pPr>
              <w:jc w:val="center"/>
              <w:ind w:right="2212"/>
              <w:spacing w:after="0" w:line="201" w:lineRule="exact"/>
              <w:rPr>
                <w:sz w:val="20"/>
                <w:szCs w:val="20"/>
                <w:color w:val="auto"/>
              </w:rPr>
            </w:pPr>
            <w:r>
              <w:rPr>
                <w:rFonts w:ascii="Arial" w:cs="Arial" w:eastAsia="Arial" w:hAnsi="Arial"/>
                <w:sz w:val="18"/>
                <w:szCs w:val="18"/>
                <w:color w:val="auto"/>
                <w:w w:val="93"/>
              </w:rPr>
              <w:t>Asset / (liability) fair value:</w:t>
            </w:r>
          </w:p>
        </w:tc>
        <w:tc>
          <w:tcPr>
            <w:tcW w:w="2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38"/>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(amounts in thousands)</w:t>
            </w: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16"/>
        </w:trPr>
        <w:tc>
          <w:tcPr>
            <w:tcW w:w="4260" w:type="dxa"/>
            <w:vAlign w:val="bottom"/>
          </w:tcPr>
          <w:p>
            <w:pPr>
              <w:jc w:val="center"/>
              <w:ind w:right="2172"/>
              <w:spacing w:after="0"/>
              <w:rPr>
                <w:sz w:val="20"/>
                <w:szCs w:val="20"/>
                <w:color w:val="auto"/>
              </w:rPr>
            </w:pPr>
            <w:r>
              <w:rPr>
                <w:rFonts w:ascii="Arial" w:cs="Arial" w:eastAsia="Arial" w:hAnsi="Arial"/>
                <w:sz w:val="18"/>
                <w:szCs w:val="18"/>
                <w:color w:val="auto"/>
                <w:w w:val="87"/>
              </w:rPr>
              <w:t>at December 31, 2006</w:t>
            </w:r>
          </w:p>
        </w:tc>
        <w:tc>
          <w:tcPr>
            <w:tcW w:w="2380" w:type="dxa"/>
            <w:vAlign w:val="bottom"/>
            <w:gridSpan w:val="2"/>
          </w:tcPr>
          <w:p>
            <w:pPr>
              <w:ind w:left="23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4,789</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$(1,467)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3,322</w:t>
            </w:r>
          </w:p>
        </w:tc>
      </w:tr>
      <w:tr>
        <w:trPr>
          <w:trHeight w:val="216"/>
        </w:trPr>
        <w:tc>
          <w:tcPr>
            <w:tcW w:w="4260" w:type="dxa"/>
            <w:vAlign w:val="bottom"/>
            <w:shd w:val="clear" w:color="auto" w:fill="CCEEFF"/>
          </w:tcPr>
          <w:p>
            <w:pPr>
              <w:jc w:val="center"/>
              <w:ind w:right="2172"/>
              <w:spacing w:after="0"/>
              <w:rPr>
                <w:sz w:val="20"/>
                <w:szCs w:val="20"/>
                <w:color w:val="auto"/>
              </w:rPr>
            </w:pPr>
            <w:r>
              <w:rPr>
                <w:rFonts w:ascii="Arial" w:cs="Arial" w:eastAsia="Arial" w:hAnsi="Arial"/>
                <w:sz w:val="18"/>
                <w:szCs w:val="18"/>
                <w:color w:val="auto"/>
                <w:w w:val="87"/>
              </w:rPr>
              <w:t>at December 31, 2005</w:t>
            </w:r>
          </w:p>
        </w:tc>
        <w:tc>
          <w:tcPr>
            <w:tcW w:w="2380" w:type="dxa"/>
            <w:vAlign w:val="bottom"/>
            <w:gridSpan w:val="2"/>
            <w:shd w:val="clear" w:color="auto" w:fill="CCEEFF"/>
          </w:tcPr>
          <w:p>
            <w:pPr>
              <w:ind w:left="23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10,523</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December 14, 2004, the Company entered into two $200 million notional amount interest rate swap arrangements to fix the interest rate on the $400 million of floating-rate Term Loan borrowings outstanding prior to the August 15, 2006 refinancing of the Wynn Las Vegas Credit Facilities (See Note 7 Long-Term Debt). Under these arrangements, the Company paid 3.793% of the notional amount and received payments equal to 1-month LIBOR multiplied by the notional amount. Although these interest rate swaps essentially fixed the interest rate at approximately 5.9%, changes in the fair value of the interest rate swaps for each reporting period were recorded in the increase in swap fair value since the interest rate swaps did not qualify for hedge accounting. The remaining swap will terminate in December 2008.</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15, 2006, the Company reduced its Term Loan facility as part of the refinancing of the Wynn Las Vegas Credit Facilities, and concurrently terminated one of its two $200 million interest rate swap arrangements. The Company received approximately $6.6 million in cash from unwinding this interest rate swap. The Company elected to retain the second $200 million interest rate swap to essentially fix the interest rate on $200 million of the new $225 million of Term Loan borrowings. Because the Company continues to pay a fixed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rate of 3.793% on the $200 million notional amount and receives payments based on LIBOR, the interest rate on $200 million of the new $225 million Term Loan is fixed at approximately 5.7%. The interest rate on the remaining $25 million of Term Loan is subject to the changes in the LIBOR rates over time.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October 14, 2005, the Company entered into two interest rate swaps to hedge a portion of the underlying interest rate risk on borrowings under Wynn Macau S.A.’s $749 million senior term loan facility. Under the first swap agreement, the Company pays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the Company pays a fixed interest rate of 4.77% on borrowings estimated to be incurred under the senior term loan facility up to a maximum of approximately HK$1.1 billion (approximately US$140.7 million), in exchange for receipts on the same amounts at a variable interest rate based on the applicable HIBOR at the time of payment. The term of both swap agreements is from November 28, 2005 through November 28, 2008.</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These interest rate swaps are expected to be highly effective in fixing the interest rate on 50% of the US dollar and 50% of the Hong Kong dollar borrowings under the senior bank facility at approximately 7.59% and 7.52%, respectively. Changes in fair value of these interest rate swaps for each reporting period are recorded in the increase/(decrease) in swap fair value since the interest rate swaps did not qualify for hedge accounting.</w:t>
      </w:r>
    </w:p>
    <w:p>
      <w:pPr>
        <w:spacing w:after="0" w:line="182"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for the year ended December 31, 2006 consisted of the following (amounts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$628,728</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3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5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628,634</w:t>
            </w:r>
          </w:p>
        </w:tc>
        <w:tc>
          <w:tcPr>
            <w:tcW w:w="6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years ended December 31, 2005 and 2004, the impact of the currency translation adjustment on the financial statements of the Company was not material.</w:t>
      </w:r>
    </w:p>
    <w:p>
      <w:pPr>
        <w:spacing w:after="0" w:line="207" w:lineRule="exact"/>
        <w:rPr>
          <w:sz w:val="20"/>
          <w:szCs w:val="20"/>
          <w:color w:val="auto"/>
        </w:rPr>
      </w:pPr>
    </w:p>
    <w:p>
      <w:pPr>
        <w:ind w:left="240" w:right="8920" w:hanging="232"/>
        <w:spacing w:after="0" w:line="417" w:lineRule="auto"/>
        <w:tabs>
          <w:tab w:leader="none" w:pos="451"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the personal use of corporate aircraft and household employees, construction work and other personal services. Mr. Wynn and other officers have deposits with the Company to prepay any such items, which are replenished on an ongoing basis as needed. At December 31, 2006 and 2005, Mr. Wynn and the other officers had a credit balance with the Company of $315,000 and $412,000,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Subsequently all services for, and maintenance of, the suite are included in the rental.</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Through May 6, 2004, the Company operated an art gallery at the former Desert Inn displaying The Wynn Collection, a collection of fine art owned by Mr. and Mrs. Wynn. The art gallery in the Desert Inn was closed on May 6, 2004, and a new art gallery featuring The Wynn Collection was displayed from the opening of Wynn Las Vegas through February 2006.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Contract Termination Fee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On May 28, 2006, the Company ended a production show that had performed at Wynn Las Vegas. To terminate the contract, the Company paid a termination fee of $5 million, which was recorded in the first quarter of 2006 in accordance with the liability recognition provisions of SFAS No. 146,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Costs Associated with Exit or Disposal Activities</w:t>
      </w:r>
      <w:r>
        <w:rPr>
          <w:rFonts w:ascii="Arial" w:cs="Arial" w:eastAsia="Arial" w:hAnsi="Arial"/>
          <w:sz w:val="18"/>
          <w:szCs w:val="18"/>
          <w:color w:val="auto"/>
        </w:rPr>
        <w:t>.</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2006, 2005 and 2004, respectively, consist of the following (amounts in thousands):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Loss on assets retired for remodels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Temporary office abandonment charge</w:t>
            </w:r>
          </w:p>
        </w:tc>
        <w:tc>
          <w:tcPr>
            <w:tcW w:w="3260" w:type="dxa"/>
            <w:vAlign w:val="bottom"/>
          </w:tcPr>
          <w:p>
            <w:pPr>
              <w:spacing w:after="0"/>
              <w:rPr>
                <w:sz w:val="18"/>
                <w:szCs w:val="18"/>
                <w:color w:val="auto"/>
              </w:rPr>
            </w:pPr>
          </w:p>
        </w:tc>
        <w:tc>
          <w:tcPr>
            <w:tcW w:w="5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Grail theater abandonment charge</w:t>
            </w:r>
          </w:p>
        </w:tc>
        <w:tc>
          <w:tcPr>
            <w:tcW w:w="3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3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1,290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charges and other</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25,060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1,290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60" w:type="dxa"/>
            <w:vAlign w:val="bottom"/>
            <w:vMerge w:val="restart"/>
          </w:tcPr>
          <w:p>
            <w:pPr>
              <w:jc w:val="right"/>
              <w:ind w:right="2012"/>
              <w:spacing w:after="0"/>
              <w:rPr>
                <w:sz w:val="20"/>
                <w:szCs w:val="20"/>
                <w:color w:val="auto"/>
              </w:rPr>
            </w:pPr>
            <w:r>
              <w:rPr>
                <w:rFonts w:ascii="Arial" w:cs="Arial" w:eastAsia="Arial" w:hAnsi="Arial"/>
                <w:sz w:val="18"/>
                <w:szCs w:val="18"/>
                <w:color w:val="auto"/>
              </w:rPr>
              <w:t>83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Included in property charges and other for 2006 are approximately $14.9 million of costs relating to assets retired or abandoned. Also, in December 2006, Wynn Macau donated an early Ming dynasty vase to the Macau Museum. The Company purchased the vase in May 2006 for approximately $10.1 million. The vase had been on public display at Wynn Macau prior to its donation to the museum. This contribution is included in other in the table above. Included in property charges and other for 2005 are approximately $9.4 million of costs relating to assets retired, and approximately $3.1 million of expenses relating to the abandonment of improvements made to the temporary offices utilized during part of the construction and development of Wynn Las Vegas. The Company also wrote off approximately $1.6 million of costs incurred in 2005 in connection with the preliminary design and development of a third theater originally planned for a new show production for Wynn Las Vegas which was later abandoned.</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is authorized to issue up to 400,000,000 shares of its common stock, $0.01 par value per share (the “Common Stock”). As of December 31, 2006 and 2005, 101,887,031 shares and 99,331,294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is authorized to issue up to 40,000,000 shares of undesignated preferred stock, $0.01 par value per share (the “Preferred Stock”). As of December 31, 2006,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Special Cash Distribution</w:t>
      </w:r>
    </w:p>
    <w:p>
      <w:pPr>
        <w:spacing w:after="0" w:line="96"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On November 13, 2006, the Company’s Board of Directors declared a special one-time cash distribution of $6.00 per share on its outstanding Common Stock. This special one-time distribution was paid on December 4, 2006, to stockholders of record as of November 23, 2006. As part of this distribution, the Company made a special payment to the holders of its Debentures so that they participated in the special distribution to the same extent as if they had converted their Debentures to common stock. The Company paid holders of the Debentures a cash amount equal to $260.87 per $1,000 principal amount which equates to $58.5 million. In accordance with the indenture governing the Debentures, as a result of the payment, no adjustment was made to the conversion price. The payment was recorded as a Distribution to Convertible Debenture Holders in the accompanying Consolidated Statement of Operations for the year ended December 31, 2006. The remaining $611.3 million was recorded as a distribution in the accompanying Consolidated Statement of Stockholders’ Equity for the year ended December 31, 2006. Of this amount approximately $3 million has been recorded as a liability which will be paid to the holders of nonvested stock upon the vesting of that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Savings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an expense for matching contributions of approximately $3.4 million, $804,000 and $366,000 for the years ended December 31, 2006, 2005 and 2004, respectively.</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$4.3 million, $1.3 million and $4,000 under such plans for the years ended December 31, 2006, 2005 and 2004, respectively. Information from the plans’ sponsors is not available to permit the Company to determine its share of unfunded vested benefits, if 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established the 2002 Stock Incentive Plan (the “Stock Plan”) to provide for the grant of (i) incentive stock options, (ii) compensatory (i.e. nonqualified) stock options, and (iii) nonvested shares of Common Stock of Wynn Resorts, Limited. Employees, directors (whether employee or nonemployee) and independent contractors or consultants of the Company are eligible to participate in the Stock Plan. However, only employees of the Company are eligible to receive incentive stock options.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maximum of 9,750,000 shares of Common Stock were reserved for issuance under the Stock Plan. As of December 31, 2006, 4,390,212 shares remain available for the grant of stock options or nonvested shares of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December 31, 2006, and the changes during the year then ended is presented below:</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Weighted</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Contractual 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1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3,484,800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$ 36.62</w:t>
            </w:r>
          </w:p>
        </w:tc>
        <w:tc>
          <w:tcPr>
            <w:tcW w:w="4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153,500</w:t>
            </w:r>
          </w:p>
        </w:tc>
        <w:tc>
          <w:tcPr>
            <w:tcW w:w="28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$ 68.81</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(1,093,375)</w:t>
            </w: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$ 19.93</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440"/>
              <w:spacing w:after="0"/>
              <w:rPr>
                <w:sz w:val="20"/>
                <w:szCs w:val="20"/>
                <w:color w:val="auto"/>
              </w:rPr>
            </w:pPr>
            <w:r>
              <w:rPr>
                <w:rFonts w:ascii="Arial" w:cs="Arial" w:eastAsia="Arial" w:hAnsi="Arial"/>
                <w:sz w:val="18"/>
                <w:szCs w:val="18"/>
                <w:color w:val="auto"/>
              </w:rPr>
              <w:t>Canceled</w:t>
            </w:r>
          </w:p>
        </w:tc>
        <w:tc>
          <w:tcPr>
            <w:tcW w:w="1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(164,800)</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$ 41.36</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2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2,380,125</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$ 46.03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113,806,468</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Exercisable at December 31, 2006</w:t>
            </w:r>
          </w:p>
        </w:tc>
        <w:tc>
          <w:tcPr>
            <w:tcW w:w="1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3"/>
              </w:rPr>
              <w:t>$ 31.33</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6.91</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5"/>
              </w:rPr>
              <w:t>29,430,798</w:t>
            </w:r>
          </w:p>
        </w:tc>
        <w:tc>
          <w:tcPr>
            <w:tcW w:w="0" w:type="dxa"/>
            <w:vAlign w:val="bottom"/>
          </w:tcPr>
          <w:p>
            <w:pPr>
              <w:spacing w:after="0" w:line="20" w:lineRule="exact"/>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470,750</w:t>
            </w:r>
          </w:p>
        </w:tc>
        <w:tc>
          <w:tcPr>
            <w:tcW w:w="2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2040" w:type="dxa"/>
            <w:vAlign w:val="bottom"/>
            <w:gridSpan w:val="2"/>
          </w:tcPr>
          <w:p>
            <w:pPr>
              <w:jc w:val="right"/>
              <w:ind w:right="656"/>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2006, 2005 and 2004 was $31.01, $22.81, and $17.24, respectively. The total intrinsic value of the options exercised for the years ended December 31, 2006, 2005 and 2004 was $72.5 million, $2.9 million and $1.8 million, respectively. Net cash proceeds from the exercise of stock options were $21.8 million and $1.4 million for the years ended December 31, 2006 and 2005, respectively. No tax benefits were recognized since these benefits did not reduce taxes payable.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Stock Plan’s nonvested shares as of December 31, 2006 and changes during the year then ended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Weighted Average</w:t>
            </w:r>
          </w:p>
        </w:tc>
      </w:tr>
      <w:tr>
        <w:trPr>
          <w:trHeight w:val="175"/>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Grant Date Fair Value</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789,169</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837,500</w:t>
            </w:r>
          </w:p>
        </w:tc>
        <w:tc>
          <w:tcPr>
            <w:tcW w:w="480" w:type="dxa"/>
            <w:vAlign w:val="bottom"/>
          </w:tcPr>
          <w:p>
            <w:pPr>
              <w:spacing w:after="0"/>
              <w:rPr>
                <w:sz w:val="18"/>
                <w:szCs w:val="18"/>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(624,169)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(500,000)</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62.99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502,500</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2005, the SEC issued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pre-opening costs and construction in progress for the Company’s development projects, and the Company’s general and administrative expenses (including corporate expenses).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 Expected term represents the weighted average time between the option’s grant date and its exercise date. Since the adoption of SFAS No. 123(R), the Company uses the simplified method prescribed by SAB No. 107 for companies with a limited trading history, to estimate the expected term. Prior to the adoption of SFAS No. 123(R), the Company used its best estimate and comparisons to industry peers. The risk-free interest rate used for each period presented is based on the U.S. Treasury yield curve at the time of grant for the period equal to the expected term.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per option was estimated on the date of grant using the following weighted-average assumptions: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4"/>
              </w:rPr>
              <w:t>December 31,</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2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7"/>
              </w:rPr>
              <w:t>—</w:t>
            </w:r>
          </w:p>
        </w:tc>
        <w:tc>
          <w:tcPr>
            <w:tcW w:w="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840" w:type="dxa"/>
            <w:vAlign w:val="bottom"/>
            <w:gridSpan w:val="3"/>
          </w:tcPr>
          <w:p>
            <w:pPr>
              <w:jc w:val="right"/>
              <w:ind w:right="100"/>
              <w:spacing w:after="0"/>
              <w:rPr>
                <w:sz w:val="20"/>
                <w:szCs w:val="20"/>
                <w:color w:val="auto"/>
              </w:rPr>
            </w:pPr>
            <w:r>
              <w:rPr>
                <w:rFonts w:ascii="Arial" w:cs="Arial" w:eastAsia="Arial" w:hAnsi="Arial"/>
                <w:sz w:val="18"/>
                <w:szCs w:val="18"/>
                <w:color w:val="auto"/>
              </w:rPr>
              <w:t>32.5%</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3.9%</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4840" w:type="dxa"/>
            <w:vAlign w:val="bottom"/>
            <w:gridSpan w:val="3"/>
          </w:tcPr>
          <w:p>
            <w:pPr>
              <w:jc w:val="right"/>
              <w:ind w:right="260"/>
              <w:spacing w:after="0"/>
              <w:rPr>
                <w:sz w:val="20"/>
                <w:szCs w:val="20"/>
                <w:color w:val="auto"/>
              </w:rPr>
            </w:pPr>
            <w:r>
              <w:rPr>
                <w:rFonts w:ascii="Arial" w:cs="Arial" w:eastAsia="Arial" w:hAnsi="Arial"/>
                <w:sz w:val="18"/>
                <w:szCs w:val="18"/>
                <w:color w:val="auto"/>
              </w:rPr>
              <w:t>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r>
      <w:tr>
        <w:trPr>
          <w:trHeight w:val="356"/>
        </w:trPr>
        <w:tc>
          <w:tcPr>
            <w:tcW w:w="3980" w:type="dxa"/>
            <w:vAlign w:val="bottom"/>
          </w:tcPr>
          <w:p>
            <w:pPr>
              <w:spacing w:after="0"/>
              <w:rPr>
                <w:sz w:val="24"/>
                <w:szCs w:val="24"/>
                <w:color w:val="auto"/>
              </w:rPr>
            </w:pPr>
          </w:p>
        </w:tc>
        <w:tc>
          <w:tcPr>
            <w:tcW w:w="4280" w:type="dxa"/>
            <w:vAlign w:val="bottom"/>
          </w:tcPr>
          <w:p>
            <w:pPr>
              <w:jc w:val="right"/>
              <w:ind w:right="2832"/>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adoption of SFAS No. 123(R) and the related interpretations on January 1, 2006 resulted in the Company’s elimination of approximately $15.8 million of deferred compensation against additional paid-in capital. It also resulted in the recognition of approximately $11.6 million ($0.08 and $0.07, per basic and diluted share, respectively) of compensation expense related to stock options for the year ended December 31, 2006.</w:t>
      </w:r>
    </w:p>
    <w:p>
      <w:pPr>
        <w:spacing w:after="0" w:line="10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addition to compensation cost relating to stock options, during the year ended December 31, 2006, the Company recognized compensation expense related to nonvested shares of Common Stock of approximately $5.1 million ($0.03 per basic and diluted share). Approximately $30.3 million of unamortized compensation cost relating to nonvested shares of Common Stock at December 31, 2006, will be recognized as compensation over the vesting period of the related grants through November 2016. The total fair value of the shares vested during the years ended December 31, 2006, 2005, and 2004 was $11.2 million, $5.3 million, and $2.5 million respectively.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years ended December 31, 2005 and 2004, the Company recognized compensation expense related to the nonvested shares of Common Stock of approximately $4.7 million ($0.05 per share) and $3.4 million ($0.04 per share), respectively. In addition, approximately $2.2 million was capitalized to construction in progress each year.</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 ended December 31, 2006 is allocated as follows (amounts in thousands):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Pre-opening</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16,712</w:t>
            </w:r>
          </w:p>
        </w:tc>
      </w:tr>
      <w:tr>
        <w:trPr>
          <w:trHeight w:val="223"/>
        </w:trPr>
        <w:tc>
          <w:tcPr>
            <w:tcW w:w="8980" w:type="dxa"/>
            <w:vAlign w:val="bottom"/>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18,065</w:t>
            </w: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permitted by SFAS No. 148, “Accounting for Stock-Based Compensation – Transition and Disclosure, an amendment of SFAS No. 123,” the Company continued to apply the provisions of Accounting Principles Board (“APB”) Opinion No. 25, “Accounting for Stock Issued to Employees,” and related interpretations in accounting for its employee stock-based compensation for the years ended December 31, 2005 and 2004. Accordingly, compensation expense was recognized only to the extent that the market value at the date of grant exceeded the exercise price. The following table illustrates the effect on the net loss if the Company had applied the fair value recognition provisions of SFAS No. 123 to stock-based employee compensation (amounts in thousands):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6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(90,836)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(204,171)</w:t>
            </w: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Add: stock-based compensation recorded for acceleration of employee options</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Less: total stock-based employee compensation expenses determined under the fair-value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based method for all awards</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Proforma net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(98,698)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(208,900)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(0.92)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4700"/>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Sale of Macau Subconcession Right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4, 2006, Wynn Macau, S.A. entered into an agreement with Publishing &amp; Broadcasting, Ltd. (“PBL”) pursuant to which Wynn Macau, S.A.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agreed to sell to PBL for $900 million, the right to negotiate with the government of Macau for a subconcession to allow PBL to operate casinos in Macau.</w:t>
      </w:r>
    </w:p>
    <w:p>
      <w:pPr>
        <w:spacing w:after="0" w:line="1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September 8, 2006, the government of Macau approved the sale of the subconcession right. On September 11, 2006, Wynn Macau, S.A. completed the sale to PBL and received a cash payment of $900 million. As a result of the sale and the subconcession awarded to PBL by the government of Macau, Wynn Macau, S.A. has no continuing rights or obligations with respect to the subconcession. The proceeds from this sale, net of related costs, are recorded as gain on sale of subconcession right in the accompanying Consolidated Statements of Operations for the year ended December 31, 2006.</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income/(loss) before taxes for domestic and foreign operations is as follows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6"/>
              </w:rPr>
              <w:t>Years Ended December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5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2"/>
                <w:szCs w:val="12"/>
                <w:color w:val="auto"/>
              </w:rPr>
            </w:pPr>
          </w:p>
        </w:tc>
        <w:tc>
          <w:tcPr>
            <w:tcW w:w="7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(28,893)</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(38,641)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$(191,127)</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Foreign</w:t>
            </w:r>
          </w:p>
        </w:tc>
        <w:tc>
          <w:tcPr>
            <w:tcW w:w="28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828,122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(52,195)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(13,044)</w:t>
            </w:r>
          </w:p>
        </w:tc>
      </w:tr>
      <w:tr>
        <w:trPr>
          <w:trHeight w:val="27"/>
        </w:trPr>
        <w:tc>
          <w:tcPr>
            <w:tcW w:w="35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799,229</w:t>
            </w: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(90,836)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(204,171)</w:t>
            </w:r>
          </w:p>
        </w:tc>
      </w:tr>
      <w:tr>
        <w:trPr>
          <w:trHeight w:val="20"/>
        </w:trPr>
        <w:tc>
          <w:tcPr>
            <w:tcW w:w="3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provision for income taxes for the year ended December 31, 2006 is as follows (amounts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Federal</w:t>
            </w:r>
          </w:p>
        </w:tc>
        <w:tc>
          <w:tcPr>
            <w:tcW w:w="3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87,164</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Deferred</w:t>
            </w:r>
          </w:p>
        </w:tc>
        <w:tc>
          <w:tcPr>
            <w:tcW w:w="3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82,931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Foreign</w:t>
            </w:r>
          </w:p>
        </w:tc>
        <w:tc>
          <w:tcPr>
            <w:tcW w:w="3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170,501</w:t>
            </w:r>
          </w:p>
        </w:tc>
        <w:tc>
          <w:tcPr>
            <w:tcW w:w="0" w:type="dxa"/>
            <w:vAlign w:val="bottom"/>
          </w:tcPr>
          <w:p>
            <w:pPr>
              <w:spacing w:after="0"/>
              <w:rPr>
                <w:sz w:val="1"/>
                <w:szCs w:val="1"/>
                <w:color w:val="auto"/>
              </w:rPr>
            </w:pPr>
          </w:p>
        </w:tc>
      </w:tr>
      <w:tr>
        <w:trPr>
          <w:trHeight w:val="20"/>
        </w:trPr>
        <w:tc>
          <w:tcPr>
            <w:tcW w:w="8360" w:type="dxa"/>
            <w:vAlign w:val="bottom"/>
            <w:gridSpan w:val="5"/>
            <w:vMerge w:val="restart"/>
          </w:tcPr>
          <w:p>
            <w:pPr>
              <w:jc w:val="right"/>
              <w:ind w:right="332"/>
              <w:spacing w:after="0"/>
              <w:rPr>
                <w:sz w:val="20"/>
                <w:szCs w:val="20"/>
                <w:color w:val="auto"/>
              </w:rPr>
            </w:pPr>
            <w:r>
              <w:rPr>
                <w:rFonts w:ascii="Arial" w:cs="Arial" w:eastAsia="Arial" w:hAnsi="Arial"/>
                <w:sz w:val="18"/>
                <w:szCs w:val="18"/>
                <w:color w:val="auto"/>
                <w:w w:val="88"/>
              </w:rPr>
              <w:t>The income tax provision/benefit differs from that computed at the federal statutory corporate tax rate as follows:</w:t>
            </w: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6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700" w:type="dxa"/>
            <w:vAlign w:val="bottom"/>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416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35.0%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(35.0)%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4160" w:type="dxa"/>
            <w:vAlign w:val="bottom"/>
            <w:gridSpan w:val="3"/>
          </w:tcPr>
          <w:p>
            <w:pPr>
              <w:jc w:val="right"/>
              <w:ind w:right="432"/>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 net</w:t>
            </w:r>
          </w:p>
        </w:tc>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Distribution to debenture holders</w:t>
            </w:r>
          </w:p>
        </w:tc>
        <w:tc>
          <w:tcPr>
            <w:tcW w:w="4160" w:type="dxa"/>
            <w:vAlign w:val="bottom"/>
            <w:gridSpan w:val="3"/>
          </w:tcPr>
          <w:p>
            <w:pPr>
              <w:jc w:val="right"/>
              <w:ind w:right="472"/>
              <w:spacing w:after="0"/>
              <w:rPr>
                <w:sz w:val="20"/>
                <w:szCs w:val="20"/>
                <w:color w:val="auto"/>
              </w:rPr>
            </w:pPr>
            <w:r>
              <w:rPr>
                <w:rFonts w:ascii="Arial" w:cs="Arial" w:eastAsia="Arial" w:hAnsi="Arial"/>
                <w:sz w:val="18"/>
                <w:szCs w:val="18"/>
                <w:color w:val="auto"/>
              </w:rPr>
              <w:t>2.5%</w:t>
            </w:r>
          </w:p>
        </w:tc>
        <w:tc>
          <w:tcPr>
            <w:tcW w:w="108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 reconciliation</w:t>
            </w:r>
          </w:p>
        </w:tc>
        <w:tc>
          <w:tcPr>
            <w:tcW w:w="3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4160" w:type="dxa"/>
            <w:vAlign w:val="bottom"/>
            <w:gridSpan w:val="3"/>
          </w:tcPr>
          <w:p>
            <w:pPr>
              <w:jc w:val="right"/>
              <w:ind w:right="432"/>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5"/>
              </w:rPr>
              <w:t>(11.9)%</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740" w:type="dxa"/>
            <w:vAlign w:val="bottom"/>
            <w:vMerge w:val="restart"/>
          </w:tcPr>
          <w:p>
            <w:pPr>
              <w:ind w:left="440"/>
              <w:spacing w:after="0"/>
              <w:rPr>
                <w:sz w:val="20"/>
                <w:szCs w:val="20"/>
                <w:color w:val="auto"/>
              </w:rPr>
            </w:pPr>
            <w:r>
              <w:rPr>
                <w:rFonts w:ascii="Arial" w:cs="Arial" w:eastAsia="Arial" w:hAnsi="Arial"/>
                <w:sz w:val="18"/>
                <w:szCs w:val="18"/>
                <w:color w:val="auto"/>
              </w:rPr>
              <w:t>Effective tax rate</w:t>
            </w:r>
          </w:p>
        </w:tc>
        <w:tc>
          <w:tcPr>
            <w:tcW w:w="3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374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21.3%</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100" w:type="dxa"/>
            <w:vAlign w:val="bottom"/>
            <w:vMerge w:val="restart"/>
          </w:tcPr>
          <w:p>
            <w:pPr>
              <w:jc w:val="right"/>
              <w:ind w:right="1872"/>
              <w:spacing w:after="0"/>
              <w:rPr>
                <w:sz w:val="20"/>
                <w:szCs w:val="20"/>
                <w:color w:val="auto"/>
              </w:rPr>
            </w:pPr>
            <w:r>
              <w:rPr>
                <w:rFonts w:ascii="Arial" w:cs="Arial" w:eastAsia="Arial" w:hAnsi="Arial"/>
                <w:sz w:val="18"/>
                <w:szCs w:val="18"/>
                <w:color w:val="auto"/>
              </w:rPr>
              <w:t>88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significant temporary differences representing net deferred tax assets and liabilities are as follows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assets—US: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 inventories, accrued liabilities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153,479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49,679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58,992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Intangibles and related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Syndication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251,482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199,911</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(100,165)</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247,127</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liabilities—US: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insurance, maintenance and taxes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(179,462)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(89,264)</w:t>
            </w: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Undistributed earnings of foreign Subsidiaries</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(141,098)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 swap valuation adjustment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(330,059)</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(99,746)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assets—Foreign:</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Pre-opening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10,392</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liabilities—Foreign: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Property, equipment and other</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(10,797)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Net deferred tax liability</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(83,337)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its development stage, the Company accumulated significant net operating losses. Accordingly, at December 31, 2006, the Company has estimated available tax loss carryforwards of approximately $527 million for U.S. income tax purposes, which expire between 2022 and 2026. The Company has no foreign tax loss carryforwards as of December 31, 2006. The Company’s tax loss carryforwards include income tax deductions associated with tax benefits resulting from the exercise of nonqualified stock options and the value of vested restricted stock of $90 million and $24.4 million as of December 31, 2006 and 2005 in excess of the amounts reported for such items as compensation costs under SFAS No. 123(R) that have not yet reduced income taxes payable. The deferred tax asset for net operating loss carryforwards in the above table of temporary differences excludes amounts relating to items that have not yet reduced taxes payable. Accordingly, no deferred tax asset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has been recorded for these amounts. Subsequent recognition of income tax benefits associated with these items will be allocated to additional paid-in capital.</w:t>
      </w:r>
    </w:p>
    <w:p>
      <w:pPr>
        <w:spacing w:after="0" w:line="19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SFAS No. 5, “Accounting for Contingencies”. Quarterly, the Company reviews any potentially unfavorable tax outcome and when an unfavorable outcome is identified as probable and can be reasonably estimated, the Company then establishes a tax reserve for such possible unfavorable outcome. Estimating potential tax outcomes for any uncertain tax issue is highly judgmental and may not be indicative of the ultimate settlement with the tax authorities. The Company believes that it has adequately provided reasonable reserves for reasonable and foreseeable outcomes related to uncertain tax matters.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SFAS No. 109 requires recognition of a future tax benefit to the extent that realization of such benefit is more likely than not. Otherwise, a valuation allowance is applied. During its development stage, the Company accumulated significant net operating losses, which generated significant deferred tax assets. Because of the Company’s limited operating history, the Company had previously fully reserved these net deferred tax assets. On September 11, 2006, the Company recorded a gain on the sale of the subconcession right in Macau (See Note 16 “Sale of Macau Subconcession Right”). Accordingly the Company determined that a substantial portion of these net deferred tax assets have become more likely than not realizable as defined by SFAS No. 109. The aggregate valuation allowance for deferred tax assets decreased by $107.6 in 2006. This decrease was primarily due to the recognition of net deferred tax assets, the write off of foreign deferred tax assets considered no longer realizable, and; the write off of tax loss carryforwards attributable to tax deductions in excess of the amounts reported as stock compensation costs under SFAS 123(R) that have not yet reduced income taxes payable under SFAS 123(R). The Company maintains valuation allowances for deferred tax assets that it determines are not yet more likely than not realizable.</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has not provided deferred U.S. income taxes or foreign withholding taxes on temporary differences of approximately $297.1 million resulting from earnings of certain non-U.S. subsidiaries which are permanently reinvested outside the United States. The amount of the unrecognized deferred tax liability without regard to potential foreign tax credits associated with these temporary differences is approximately $103.9 million.</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Of the December 31, 2006 and 2005 U.S. valuation allowance, approximately $3.8 million is attributable to syndication costs. Subsequent recognition of income tax benefit associated with this item will be allocated to additional paid-in capital.</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the Company was exempted from the payment of approximately $4.7 million ($0.05 and $0.04 per basic and diluted share, respectively) in such taxes. The Company’s non-gaming profits remain subject to the Macau Complementary Tax and its casino winnings remain subject to the Macau Special Gaming tax and other levies in accordance with its concession agreement.</w:t>
      </w:r>
    </w:p>
    <w:p>
      <w:pPr>
        <w:spacing w:after="0" w:line="218" w:lineRule="exact"/>
        <w:rPr>
          <w:sz w:val="20"/>
          <w:szCs w:val="20"/>
          <w:color w:val="auto"/>
        </w:rPr>
      </w:pPr>
    </w:p>
    <w:p>
      <w:pPr>
        <w:ind w:left="240" w:right="8480" w:hanging="232"/>
        <w:spacing w:after="0" w:line="347" w:lineRule="auto"/>
        <w:tabs>
          <w:tab w:leader="none" w:pos="407"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Las Vegas</w:t>
      </w:r>
    </w:p>
    <w:p>
      <w:pPr>
        <w:spacing w:after="0" w:line="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u w:val="single" w:color="auto"/>
          <w:color w:val="auto"/>
        </w:rPr>
        <w:t>Construction and Enhancements.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made and continues to make certain enhancements and refinements to Wynn Las Vegas.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incurred and will continue to incur capital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expenditures related to these enhancements and refinements. Under the terms of the Wynn Las Vegas, LLC Credit Facilities, the Company is permitted up to $100 million of capital expenditures in 2006, of which $52.8 million was spent. In 2007, the Company will be permitted to spend $172.2 million including $47.2 million which is carried forward from 2006. These spending limits do not apply to any funds that may be contributed to Wynn Las Vegas, LLC by Wynn Resorts.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u w:val="single" w:color="auto"/>
          <w:color w:val="auto"/>
        </w:rPr>
        <w:t>Encore Construction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Encore’s current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as well as restaurants, a nightclub, swimming pools, a spa and salon and retail outlets. The Company commenced construction of Encore on April 28, 2006 and expects to open Encore to the public by early 2009.</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$2.0 billion for Encore and approximately $100 million for an employee parking garage on our Koval property, an associated pedestrian bridge and costs incurred in connection with the theatre remodeling and production of “Monty Python’s Spamalot” at Wynn Las Vegas. The budget has increased from the previously announced $1.74 billion due to refinements in scope and market conditions for construction materials. The project budget will be funded from our existing credit facilities, remaining proceeds from the first mortgage notes and operating cash flow from Wynn Las Vegas. To the extent additional funds are required, we will provide these amounts with additional debt and equity contributions by Wynn Resorts. On March 31, 2006, Wynn Resorts delivered an equity commitment to its bank lenders under which Wynn Resorts is obligated to pay project costs if Wynn Las Vegas is unable to. As of August 2006, Wynn Resorts’ obligation under the equity commitment was $70 million.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Through December 31, 2006, the Company incurred approximately $277.6 million of project costs related to the development and construction of Encore and related capital improvements. These costs, net of approximately $8.1 million of retention, have been funded from the Wynn Las Vegas Credit Facilities, the First Mortgage Notes and cash flow from the operations of Wynn Las Vegas. Prior to signing a guaranteed maximum price construction contract, the Company is permitted to spend up to $300 million of the proceeds of the First Mortgage Notes and the Wynn Las Vegas Credit Facilities on Encore project costs. As of December 31, 2006, the Company has spent or committed approximately $206.3 million using the debt proceeds. The remaining $63.2 million has been funded from cash flows from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u w:val="single" w:color="auto"/>
          <w:color w:val="auto"/>
        </w:rPr>
        <w:t>Completion Guarantee and Liquidity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As part of the Wynn Las Vegas financing, the Company contributed $50 million of the net proceeds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the Company deposited $30 million from the net proceeds of the initial public offering of the Company’s Common Stock into a liquidity reserve account to secure the completion and opening of Wynn Las Vegas.</w:t>
      </w:r>
    </w:p>
    <w:p>
      <w:pPr>
        <w:spacing w:after="0" w:line="132"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liquidity reserve is solely for use of the Wynn Las Vegas project. Upon final payment of the small remaining retention required for final completion, the liquidity reserve will be released. These funds are then expected to be applied to construction costs incurred in connection with Encore. In addition, at final completion of Wynn Las Vegas, $30 million of the $50 million completion guarantee will be retained as Encore’s completion guarantee, with the remaining $20 million used for Encore’s construction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u w:val="single" w:color="auto"/>
          <w:color w:val="auto"/>
        </w:rPr>
        <w:t>Construction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began construction on Wynn Macau in June 2004, under a guaranteed maximum price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(“the Construction Contract”) between Wynn Macau, S.A. and Leighton Contractors (Asia) Limited, China State Construction Engineering (Hong Kong) Limited and China Construction Engineering (Macau) Company Limited, acting together as general contractor. In September 2005, the Construction Contract was amended and restated to include the second phase of Wynn Macau. Wynn Macau opened to the public on September 6, 2006. Wynn Macau’s second phase is scheduled to open in the third quarter of 2007.</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amended and restated Construction Contract, the general contractor is responsible for both the construction and design of the project (other than certain limited portions to be designed by an affiliate of Wynn Macau, S.A.) based on an existing scope of work and design specifications provided by Wynn Macau, S.A. The performance of the contractors is backed by a full completion guarantee given jointly and severally by Leighton Holdings Limited and China Overseas Holdings Limited, the parent companies of the general contractor.</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On June 22, 2006, Wynn Macau, S.A. received consent from its lending syndicate permitting Wynn Macau, S.A. to enter into three change orders to its guaranteed maximum price construction contract. The three change orders implement a series of amendments to the Construction Contract, including providing for the completion of the majority of the first floor of the Wynn Macau expansion as additional gaming space, a series of enhancements and upgrades to the overall project, and adding an electronic marquee sign at the entrance to Wynn Macau. The change orders increased the guaranteed maximum price under the Construction Contract from $457 million to approximately $484 million.</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Through December 31, 2006, the Company had incurred approximately $877.1 million of the approximate total $1.2 billion of budgeted project costs for Wynn Macau. These costs have been paid from the previously funded $230 million intercompany loans from Wynn Resorts, $80 million from Wynn Las Vegas, LLC and loaned through affiliates to Wynn Macau, S.A. as subordinated debt, Wynn Macau, S.A.’s $764 million senior secured credit facility and cash flows from operations. In October 2006, Wynn Macau, S.A. repaid the intercompany loan to Wynn Resorts using proceeds from the PBL transaction.</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u w:val="single" w:color="auto"/>
          <w:color w:val="auto"/>
        </w:rPr>
        <w:t>Land Concession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Wynn Macau, S.A. has entered into a land concession contract for the Wynn Macau project site. Under the land concession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Wynn Macau, S.A. leases a parcel of approximately 16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acres from the government for an initial term of 25 years, with a right to renew for additional periods with government approval. Wynn Macau, S.A. has made five payments to the Macau government under the land concession contract totaling approximately $22.2 million and is required to make six additional semi-annual payments (including interest) totaling approximately $20.5 million for total payments of approximately $42.7 million. Wynn Macau, S.A. also paid approximately $18 million to an unrelated third party for its relinquishment of rights to a portion of the land. During the term of the land concession contract, Wynn Macau, S.A. is required to make annual lease payments of up to $400,000.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Development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submitted an application with the government of Macau for a concession of land in Cotai for future development. The Company recently reconfigured its site plans for 52 acres and is awaiting final approval.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is the lessor under several retail leases and has entered into license and distribution agreements for several additional retail outlets. The Company also is a party to joint venture agreements for the operation of one other retail outlet and the Ferrari and Maserati automobile dealership at Wynn Las Vegas.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2008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6,313</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2010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5,874</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r>
      <w:tr>
        <w:trPr>
          <w:trHeight w:val="216"/>
        </w:trPr>
        <w:tc>
          <w:tcPr>
            <w:tcW w:w="8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31,171</w:t>
            </w:r>
          </w:p>
        </w:tc>
      </w:tr>
      <w:tr>
        <w:trPr>
          <w:trHeight w:val="20"/>
        </w:trPr>
        <w:tc>
          <w:tcPr>
            <w:tcW w:w="8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Company is the lessee under several leases for office space in Las Vegas, Macau and certain other locations, warehouse facilities, the land underlying the Company’s aircraft hangar and certain office equipment.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2006, the Company was obligated under non-cancelable operating leases to make future minimum lease payments as follows (amounts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 December 31,</w:t>
            </w:r>
          </w:p>
        </w:tc>
        <w:tc>
          <w:tcPr>
            <w:tcW w:w="52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2008</w:t>
            </w:r>
          </w:p>
        </w:tc>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2010</w:t>
            </w:r>
          </w:p>
        </w:tc>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Thereafter</w:t>
            </w:r>
          </w:p>
        </w:tc>
        <w:tc>
          <w:tcPr>
            <w:tcW w:w="5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23,891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260" w:type="dxa"/>
            <w:vAlign w:val="bottom"/>
            <w:vMerge w:val="restart"/>
          </w:tcPr>
          <w:p>
            <w:pPr>
              <w:jc w:val="right"/>
              <w:ind w:right="3452"/>
              <w:spacing w:after="0"/>
              <w:rPr>
                <w:sz w:val="20"/>
                <w:szCs w:val="20"/>
                <w:color w:val="auto"/>
              </w:rPr>
            </w:pPr>
            <w:r>
              <w:rPr>
                <w:rFonts w:ascii="Arial" w:cs="Arial" w:eastAsia="Arial" w:hAnsi="Arial"/>
                <w:sz w:val="18"/>
                <w:szCs w:val="18"/>
                <w:color w:val="auto"/>
              </w:rPr>
              <w:t>93</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6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domestic subsidiaries are covered under a self-insured medical plan up to a maximum of $300,000 per year for each insured person. Amounts in excess of these thresholds are covered by the Company’s insurance programs, subject to customary policy limits. The Company’s foreign subsidiaries are fully-insured.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other than Mr. Wynn’s,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2006.</w:t>
      </w: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Segment Information</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Wynn Las Vegas and Wynn Macau. Wynn Las Vegas opened on April 28, 2005 and the first phase of Wynn Macau opened on September 6, 2006.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2006 and 2005, the Company’s total assets by segment are as follows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Wynn Las Vegas (including Encore)</w:t>
            </w:r>
          </w:p>
        </w:tc>
        <w:tc>
          <w:tcPr>
            <w:tcW w:w="3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3,037,509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3,115,814</w:t>
            </w: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Wynn Macau</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1,500,088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471,571</w:t>
            </w:r>
          </w:p>
        </w:tc>
        <w:tc>
          <w:tcPr>
            <w:tcW w:w="20" w:type="dxa"/>
            <w:vAlign w:val="bottom"/>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Corporate and other assets</w:t>
            </w:r>
          </w:p>
        </w:tc>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122,583</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357,898</w:t>
            </w:r>
          </w:p>
        </w:tc>
        <w:tc>
          <w:tcPr>
            <w:tcW w:w="20" w:type="dxa"/>
            <w:vAlign w:val="bottom"/>
          </w:tcPr>
          <w:p>
            <w:pPr>
              <w:spacing w:after="0"/>
              <w:rPr>
                <w:sz w:val="19"/>
                <w:szCs w:val="19"/>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consolidated assets</w:t>
            </w:r>
          </w:p>
        </w:tc>
        <w:tc>
          <w:tcPr>
            <w:tcW w:w="3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4,660,180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3,945,283</w:t>
            </w:r>
          </w:p>
        </w:tc>
        <w:tc>
          <w:tcPr>
            <w:tcW w:w="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Company’s segment information on its results of operations for each of the years in the period ended December 31, 2006, is as follows (amounts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90"/>
              </w:rPr>
              <w:t>For the Year Ended December 31,</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Revenues(1)</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Wynn Las Vegas</w:t>
            </w:r>
          </w:p>
        </w:tc>
        <w:tc>
          <w:tcPr>
            <w:tcW w:w="3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1,138,549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721,981</w:t>
            </w:r>
          </w:p>
        </w:tc>
        <w:tc>
          <w:tcPr>
            <w:tcW w:w="4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$ 195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Wynn Macau</w:t>
            </w:r>
          </w:p>
        </w:tc>
        <w:tc>
          <w:tcPr>
            <w:tcW w:w="3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26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3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1,432,257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721,981</w:t>
            </w:r>
          </w:p>
        </w:tc>
        <w:tc>
          <w:tcPr>
            <w:tcW w:w="4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$ 195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340" w:type="dxa"/>
            <w:vAlign w:val="bottom"/>
            <w:vMerge w:val="restart"/>
          </w:tcPr>
          <w:p>
            <w:pPr>
              <w:jc w:val="right"/>
              <w:ind w:right="1632"/>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For the 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EBITDA(1, 2)</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Wynn Las Vegas</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$ 332,753</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212,007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Macau</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20" w:type="dxa"/>
            <w:vAlign w:val="bottom"/>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color w:val="auto"/>
              </w:rPr>
              <w:t>393,590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212,007</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Pre-opening costs</w:t>
            </w:r>
          </w:p>
        </w:tc>
        <w:tc>
          <w:tcPr>
            <w:tcW w:w="740" w:type="dxa"/>
            <w:vAlign w:val="bottom"/>
          </w:tcPr>
          <w:p>
            <w:pPr>
              <w:jc w:val="right"/>
              <w:spacing w:after="0"/>
              <w:rPr>
                <w:sz w:val="20"/>
                <w:szCs w:val="20"/>
                <w:color w:val="auto"/>
              </w:rPr>
            </w:pPr>
            <w:r>
              <w:rPr>
                <w:rFonts w:ascii="Arial" w:cs="Arial" w:eastAsia="Arial" w:hAnsi="Arial"/>
                <w:sz w:val="18"/>
                <w:szCs w:val="18"/>
                <w:color w:val="auto"/>
              </w:rPr>
              <w:t>62,726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96,940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103,344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Property charges and other</w:t>
            </w:r>
          </w:p>
        </w:tc>
        <w:tc>
          <w:tcPr>
            <w:tcW w:w="740" w:type="dxa"/>
            <w:vAlign w:val="bottom"/>
          </w:tcPr>
          <w:p>
            <w:pPr>
              <w:jc w:val="right"/>
              <w:spacing w:after="0"/>
              <w:rPr>
                <w:sz w:val="20"/>
                <w:szCs w:val="20"/>
                <w:color w:val="auto"/>
              </w:rPr>
            </w:pPr>
            <w:r>
              <w:rPr>
                <w:rFonts w:ascii="Arial" w:cs="Arial" w:eastAsia="Arial" w:hAnsi="Arial"/>
                <w:sz w:val="18"/>
                <w:szCs w:val="18"/>
                <w:color w:val="auto"/>
              </w:rPr>
              <w:t>25,060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14,297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Termination Fee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Corporate expenses and other</w:t>
            </w:r>
          </w:p>
        </w:tc>
        <w:tc>
          <w:tcPr>
            <w:tcW w:w="740" w:type="dxa"/>
            <w:vAlign w:val="bottom"/>
          </w:tcPr>
          <w:p>
            <w:pPr>
              <w:jc w:val="right"/>
              <w:spacing w:after="0"/>
              <w:rPr>
                <w:sz w:val="20"/>
                <w:szCs w:val="20"/>
                <w:color w:val="auto"/>
              </w:rPr>
            </w:pPr>
            <w:r>
              <w:rPr>
                <w:rFonts w:ascii="Arial" w:cs="Arial" w:eastAsia="Arial" w:hAnsi="Arial"/>
                <w:sz w:val="18"/>
                <w:szCs w:val="18"/>
                <w:color w:val="auto"/>
              </w:rPr>
              <w:t>54,441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21,982</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236,563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income/(loss)</w:t>
            </w: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608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70,899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(24,556)</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(89,798)</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46,752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28,267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(148,017)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(102,699)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Distribution to Convertible Debenture Holders</w:t>
            </w: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(58,477)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swap fair value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8,152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Gain on sale of subconsession right, net</w:t>
            </w:r>
          </w:p>
        </w:tc>
        <w:tc>
          <w:tcPr>
            <w:tcW w:w="740" w:type="dxa"/>
            <w:vAlign w:val="bottom"/>
          </w:tcPr>
          <w:p>
            <w:pPr>
              <w:jc w:val="right"/>
              <w:spacing w:after="0"/>
              <w:rPr>
                <w:sz w:val="20"/>
                <w:szCs w:val="20"/>
                <w:color w:val="auto"/>
              </w:rPr>
            </w:pPr>
            <w:r>
              <w:rPr>
                <w:rFonts w:ascii="Arial" w:cs="Arial" w:eastAsia="Arial" w:hAnsi="Arial"/>
                <w:sz w:val="18"/>
                <w:szCs w:val="18"/>
                <w:color w:val="auto"/>
              </w:rPr>
              <w:t>899,409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extinguishment of debt</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(12,533)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(122,788)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2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2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728,330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(66,280)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(115,427)</w:t>
            </w:r>
          </w:p>
        </w:tc>
        <w:tc>
          <w:tcPr>
            <w:tcW w:w="0" w:type="dxa"/>
            <w:vAlign w:val="bottom"/>
          </w:tcPr>
          <w:p>
            <w:pPr>
              <w:spacing w:after="0"/>
              <w:rPr>
                <w:sz w:val="1"/>
                <w:szCs w:val="1"/>
                <w:color w:val="auto"/>
              </w:rPr>
            </w:pPr>
          </w:p>
        </w:tc>
      </w:tr>
      <w:tr>
        <w:trPr>
          <w:trHeight w:val="110"/>
        </w:trPr>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Income (loss) before provision for income taxes</w:t>
            </w:r>
          </w:p>
        </w:tc>
        <w:tc>
          <w:tcPr>
            <w:tcW w:w="740" w:type="dxa"/>
            <w:vAlign w:val="bottom"/>
          </w:tcPr>
          <w:p>
            <w:pPr>
              <w:jc w:val="right"/>
              <w:spacing w:after="0"/>
              <w:rPr>
                <w:sz w:val="20"/>
                <w:szCs w:val="20"/>
                <w:color w:val="auto"/>
              </w:rPr>
            </w:pPr>
            <w:r>
              <w:rPr>
                <w:rFonts w:ascii="Arial" w:cs="Arial" w:eastAsia="Arial" w:hAnsi="Arial"/>
                <w:sz w:val="18"/>
                <w:szCs w:val="18"/>
                <w:color w:val="auto"/>
              </w:rPr>
              <w:t>799,229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(90,836)</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(204,171)</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(170,501)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608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$ 628,728</w:t>
            </w:r>
          </w:p>
        </w:tc>
        <w:tc>
          <w:tcPr>
            <w:tcW w:w="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(90,836)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(204,171)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Prior to September 6, 2006, Wynn Macau was in the development stage and therefore had no revenues or adjusted EBITDA for 2005 and 2004.</w:t>
      </w:r>
    </w:p>
    <w:p>
      <w:pPr>
        <w:spacing w:after="0" w:line="113" w:lineRule="exact"/>
        <w:rPr>
          <w:rFonts w:ascii="Arial" w:cs="Arial" w:eastAsia="Arial" w:hAnsi="Arial"/>
          <w:sz w:val="16"/>
          <w:szCs w:val="16"/>
          <w:color w:val="auto"/>
        </w:rPr>
      </w:pPr>
    </w:p>
    <w:p>
      <w:pPr>
        <w:jc w:val="both"/>
        <w:ind w:left="460" w:hanging="452"/>
        <w:spacing w:after="0" w:line="303"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“Adjusted EBITDA” is earnings before interest, taxes, depreciation, amortization, pre-opening costs, property charges and other, corporate expenses, stock based compensation, contract termination fee and other non-operating income and expenses. Adjusted EBITDA is presented exclusively as a supplemental disclosure because management believes that it is widely used to measure the performance, and as a principal basis for valuation, of gaming companies.</w:t>
      </w:r>
    </w:p>
    <w:p>
      <w:pPr>
        <w:spacing w:after="0" w:line="1" w:lineRule="exact"/>
        <w:rPr>
          <w:rFonts w:ascii="Arial" w:cs="Arial" w:eastAsia="Arial" w:hAnsi="Arial"/>
          <w:sz w:val="15"/>
          <w:szCs w:val="15"/>
          <w:color w:val="auto"/>
        </w:rPr>
      </w:pPr>
    </w:p>
    <w:p>
      <w:pPr>
        <w:ind w:left="460" w:right="40"/>
        <w:spacing w:after="0" w:line="287" w:lineRule="auto"/>
        <w:rPr>
          <w:rFonts w:ascii="Arial" w:cs="Arial" w:eastAsia="Arial" w:hAnsi="Arial"/>
          <w:sz w:val="15"/>
          <w:szCs w:val="15"/>
          <w:color w:val="auto"/>
        </w:rPr>
      </w:pPr>
      <w:r>
        <w:rPr>
          <w:rFonts w:ascii="Arial" w:cs="Arial" w:eastAsia="Arial" w:hAnsi="Arial"/>
          <w:sz w:val="16"/>
          <w:szCs w:val="16"/>
          <w:color w:val="auto"/>
        </w:rPr>
        <w:t>Management uses Adjusted EBITDA as the primary measure of the operating performance of its segments—Wynn Las Vegas and Wynn Macau—and to compare the operating performance of its properties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supplemental performance measure to generally accepted accounting principles in the United States (“GAAP”) financial measures. In order to view the operations of their casinos on a more stand-alone basis, gaming companies, including Wynn Resorts, Limited, have historically excluded preopening costs, property charges and other and corporate expenses, which do not relate to the management of specific casino properties from their EBITDA calculations. However, Adjusted EBITDA should not be considered as an alternative to operating income as an indicator of the Company’s performance, as an alternative to cash flows from operating activities as a measure of</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liquidity, or as an alternative to any other measure determined in accordance with GAAP. Unlike net income, Adjusted EBITDA does not include depreciation or interest expense and therefore does not reflect current or future capital expenditures or the cost of capital. We compensate for these limitations by using Adjusted EBITDA as only one of several comparative tools, together with the common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and taxes, which are not reflected in Adjusted EBITDA. Also, the Company’s calculation of Adjusted EBITDA may be different from the calculation methods used by other companies and, therefore, comparability may be limited.</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Subsequent Events</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 January 2007, the Company decided it would abandon the parking garage at its Wynn Macau property to make way for the Wynn Diamond Suites expansion project. This expansion project is expected to add a second self-contained fully integrated resort hotel including food and beverage, retail and entertainment amenities. In accordance with SFAS No. 144 “Accounting for the Impairment or Disposal of Long Lived Assets”, the Company will record an impairment charge related to the garage of approximately $10 million in the first quarter of 2007.</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Consolidating Financial Information of Guarantors and Issuers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consolidating financial statements present information related to Wynn Resorts (the “Parent”), which is the issuer of the Debentures, Wynn Resorts Funding, LLC (the “Convertible Debentures Guarantor”) and non-guarantor subsidiaries as of December 31, 2006 and 2005, and for the years ended December 31, 2006, 2005 and 2004.</w:t>
      </w:r>
    </w:p>
    <w:p>
      <w:pPr>
        <w:spacing w:after="0" w:line="14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The following condensed consolidating financial statements are presented in the provided form because: (i) the Convertible Debentures Guarantor is a wholly 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the Convertible Debentures Guarantor for payment of all amounts due and payable); and (iii) the guarantee is joint and several.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jc w:val="center"/>
              <w:ind w:left="972"/>
              <w:spacing w:after="0"/>
              <w:rPr>
                <w:sz w:val="20"/>
                <w:szCs w:val="20"/>
                <w:color w:val="auto"/>
              </w:rPr>
            </w:pPr>
            <w:r>
              <w:rPr>
                <w:rFonts w:ascii="Arial" w:cs="Arial" w:eastAsia="Arial" w:hAnsi="Arial"/>
                <w:sz w:val="18"/>
                <w:szCs w:val="18"/>
                <w:b w:val="1"/>
                <w:bCs w:val="1"/>
                <w:color w:val="auto"/>
                <w:w w:val="91"/>
              </w:rPr>
              <w:t>ASSETS</w:t>
            </w:r>
          </w:p>
        </w:tc>
        <w:tc>
          <w:tcPr>
            <w:tcW w:w="1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57,693</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140,232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64,368</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1,025,573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1,095,791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178,627</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178,788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3,156,831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3,157,622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Intangibles, net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67,635</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67,635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2,021,156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5,981</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(2,021,156)</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65,579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Intercompany balances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(120,342)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44,232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76,110</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1,990,569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45,137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4,645,630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(2,021,156)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4,660,180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jc w:val="center"/>
              <w:ind w:left="972"/>
              <w:spacing w:after="0"/>
              <w:rPr>
                <w:sz w:val="20"/>
                <w:szCs w:val="20"/>
                <w:color w:val="auto"/>
              </w:rPr>
            </w:pPr>
            <w:r>
              <w:rPr>
                <w:rFonts w:ascii="Arial" w:cs="Arial" w:eastAsia="Arial" w:hAnsi="Arial"/>
                <w:sz w:val="18"/>
                <w:szCs w:val="18"/>
                <w:b w:val="1"/>
                <w:bCs w:val="1"/>
                <w:color w:val="auto"/>
              </w:rPr>
              <w:t>LIABILITIES AND</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jc w:val="center"/>
              <w:ind w:left="972"/>
              <w:spacing w:after="0"/>
              <w:rPr>
                <w:sz w:val="20"/>
                <w:szCs w:val="20"/>
                <w:color w:val="auto"/>
              </w:rPr>
            </w:pPr>
            <w:r>
              <w:rPr>
                <w:rFonts w:ascii="Arial" w:cs="Arial" w:eastAsia="Arial" w:hAnsi="Arial"/>
                <w:sz w:val="18"/>
                <w:szCs w:val="18"/>
                <w:b w:val="1"/>
                <w:bCs w:val="1"/>
                <w:color w:val="auto"/>
                <w:w w:val="99"/>
              </w:rPr>
              <w:t>STOCKHOLDERS’ EQUITY</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6,115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115,612</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87,164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9,346</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56,984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46,403</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Customer deposits and other related liabilities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131,702</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489,574</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511,087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2,156,409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2,380,537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97,064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8,884</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344,984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2,669,611</w:t>
            </w: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3,014,595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1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2,022,408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44,028</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1,632,998</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(1,677,026)</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2,022,408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(377,747)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343,115</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(344,224)</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(377,747)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1,645,585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45,137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1,976,019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(2,021,156)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1,645,585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1,990,569</w:t>
            </w:r>
          </w:p>
        </w:tc>
        <w:tc>
          <w:tcPr>
            <w:tcW w:w="18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45,137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4,645,630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(2,021,156)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4,660,180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vMerge w:val="restart"/>
          </w:tcPr>
          <w:p>
            <w:pPr>
              <w:jc w:val="right"/>
              <w:ind w:right="272"/>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Debentures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guarantor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Guarantor</w:t>
            </w:r>
          </w:p>
        </w:tc>
        <w:tc>
          <w:tcPr>
            <w:tcW w:w="34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jc w:val="center"/>
              <w:ind w:left="712"/>
              <w:spacing w:after="0"/>
              <w:rPr>
                <w:sz w:val="20"/>
                <w:szCs w:val="20"/>
                <w:color w:val="auto"/>
              </w:rPr>
            </w:pPr>
            <w:r>
              <w:rPr>
                <w:rFonts w:ascii="Arial" w:cs="Arial" w:eastAsia="Arial" w:hAnsi="Arial"/>
                <w:sz w:val="18"/>
                <w:szCs w:val="18"/>
                <w:b w:val="1"/>
                <w:bCs w:val="1"/>
                <w:color w:val="auto"/>
                <w:w w:val="88"/>
              </w:rPr>
              <w:t>ASSETS</w:t>
            </w:r>
          </w:p>
        </w:tc>
        <w:tc>
          <w:tcPr>
            <w:tcW w:w="1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308,013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126,276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15,001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82,206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88,437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39,884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23,306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15,001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360,109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344,308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2,663,340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Intangibles,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60,480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88,685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1,295,256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5,070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(1,295,256)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87,917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Intercompany balances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216,454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(246,454)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1,832,083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3,363,455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(1,295,256)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3,945,283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jc w:val="center"/>
              <w:ind w:left="712"/>
              <w:spacing w:after="0"/>
              <w:rPr>
                <w:sz w:val="20"/>
                <w:szCs w:val="20"/>
                <w:color w:val="auto"/>
              </w:rPr>
            </w:pPr>
            <w:r>
              <w:rPr>
                <w:rFonts w:ascii="Arial" w:cs="Arial" w:eastAsia="Arial" w:hAnsi="Arial"/>
                <w:sz w:val="18"/>
                <w:szCs w:val="18"/>
                <w:b w:val="1"/>
                <w:bCs w:val="1"/>
                <w:color w:val="auto"/>
              </w:rPr>
              <w:t>LIABILITIES AND</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jc w:val="center"/>
              <w:ind w:left="692"/>
              <w:spacing w:after="0"/>
              <w:rPr>
                <w:sz w:val="20"/>
                <w:szCs w:val="20"/>
                <w:color w:val="auto"/>
              </w:rPr>
            </w:pPr>
            <w:r>
              <w:rPr>
                <w:rFonts w:ascii="Arial" w:cs="Arial" w:eastAsia="Arial" w:hAnsi="Arial"/>
                <w:sz w:val="18"/>
                <w:szCs w:val="18"/>
                <w:b w:val="1"/>
                <w:bCs w:val="1"/>
                <w:color w:val="auto"/>
                <w:w w:val="99"/>
              </w:rPr>
              <w:t>STOCKHOLDERS’ EQUITY</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15,489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79,727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6,591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7,826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Customer deposits and other related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66,120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250,591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269,779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1,840,846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2,090,846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19,218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2,113,200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2,382,388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1,972,847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44,028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1,623,218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(1,667,246)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1,972,847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compensation—restricted stock</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(395,161)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973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(372,006)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371,033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(395,161)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1,562,895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1,250,255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(1,295,256)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1,832,083</w:t>
            </w:r>
          </w:p>
        </w:tc>
        <w:tc>
          <w:tcPr>
            <w:tcW w:w="24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45,001</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3,363,455</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(1,295,256)</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3,945,283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2"/>
                <w:szCs w:val="12"/>
                <w:color w:val="auto"/>
              </w:rPr>
            </w:pPr>
          </w:p>
        </w:tc>
        <w:tc>
          <w:tcPr>
            <w:tcW w:w="10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6"/>
              </w:rPr>
              <w:t>Parent</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Entries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Casino</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800,591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283,084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309,771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24,712</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1,598,659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(24,712)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1,598,659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(166,402)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(166,402)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24,712</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1,432,257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(24,712)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1,432,257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Casino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439,902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73,878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194,403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134,530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16,185</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240,033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(24,712)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62,726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16,219</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1,372,125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(24,712)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1,363,641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744,529</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(744,529)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753,022</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62,415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(744,529)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37,629</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36,761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(27,783)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(20,515)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(155,285)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27,783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Distribution to Convertible Debenture Holders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(58,477)</w:t>
            </w:r>
          </w:p>
        </w:tc>
        <w:tc>
          <w:tcPr>
            <w:tcW w:w="2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Gain on sale of subconcession right,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899,409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(12,533)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(41,363)</w:t>
            </w:r>
          </w:p>
        </w:tc>
        <w:tc>
          <w:tcPr>
            <w:tcW w:w="260" w:type="dxa"/>
            <w:vAlign w:val="bottom"/>
          </w:tcPr>
          <w:p>
            <w:pPr>
              <w:spacing w:after="0"/>
              <w:rPr>
                <w:sz w:val="19"/>
                <w:szCs w:val="19"/>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769,548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711,659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831,963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(744,529)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(82,931)</w:t>
            </w:r>
          </w:p>
        </w:tc>
        <w:tc>
          <w:tcPr>
            <w:tcW w:w="2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(87,570)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(170,501)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628,728</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136</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744,393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(744,529)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53"/>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Parent</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353,663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170,315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173,700</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16,836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125,230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(16,836)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16,836</w:t>
            </w:r>
          </w:p>
        </w:tc>
        <w:tc>
          <w:tcPr>
            <w:tcW w:w="26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822,908</w:t>
            </w: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(16,836)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822,908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(100,927)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16,836</w:t>
            </w:r>
          </w:p>
        </w:tc>
        <w:tc>
          <w:tcPr>
            <w:tcW w:w="26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721,981</w:t>
            </w: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(16,836)</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721,981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155,075</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44,171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118,670</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80,185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11,542</w:t>
            </w:r>
          </w:p>
        </w:tc>
        <w:tc>
          <w:tcPr>
            <w:tcW w:w="2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124,270</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(16,836)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9,388</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87,552</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103,265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14,183</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21,025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743,675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(16,836)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747,868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(97,190)</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97,190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(101,379)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(20,363)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97,190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23,344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20,793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(16,180)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(12,801)</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(106,078)</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16,180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10,543</w:t>
            </w:r>
          </w:p>
        </w:tc>
        <w:tc>
          <w:tcPr>
            <w:tcW w:w="26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(77,133)</w:t>
            </w:r>
          </w:p>
        </w:tc>
        <w:tc>
          <w:tcPr>
            <w:tcW w:w="10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(66,280)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(90,836)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(97,496)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273"/>
              <w:spacing w:after="0"/>
              <w:rPr>
                <w:sz w:val="20"/>
                <w:szCs w:val="20"/>
                <w:color w:val="auto"/>
              </w:rPr>
            </w:pPr>
            <w:r>
              <w:rPr>
                <w:rFonts w:ascii="Arial" w:cs="Arial" w:eastAsia="Arial" w:hAnsi="Arial"/>
                <w:sz w:val="18"/>
                <w:szCs w:val="18"/>
                <w:color w:val="auto"/>
                <w:w w:val="79"/>
              </w:rPr>
              <w:t>100</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Parent</w:t>
            </w: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Casino</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217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6,000</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217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Casino</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332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28,056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59,268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28,136</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(189,067)</w:t>
            </w: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189,067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(211,203)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189,067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(89,798)</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(122,788)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(122,788)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(115,427)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Minority interest</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(204,171)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423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(189,490)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189,067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(204,171)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6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6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Entries</w:t>
            </w:r>
          </w:p>
        </w:tc>
        <w:tc>
          <w:tcPr>
            <w:tcW w:w="2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628,728</w:t>
            </w:r>
          </w:p>
        </w:tc>
        <w:tc>
          <w:tcPr>
            <w:tcW w:w="3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136</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744,393</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(744,529)</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$ 628,728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0"/>
              </w:rPr>
              <w:t>Adjustments to reconcile net income (loss) accumulated to net cash provided by (used in) operating</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activities:</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175,381</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175,464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taxes—deferred and current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82,931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87,390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170,321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10,112</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and writeoff of deferred financing costs and other</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22,419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Provision for doubtful accounts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21,212</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Loss on extinguishment of debt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11,316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Property charges and other</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25,060</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Equity in (income) loss from unconsolidated affiliates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(744,529)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(911)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744,529</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Increase in fair value of interest rate swaps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(1,196)</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 on sale of subconcession right, net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(899,409)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(899,409)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Dividends received from subsidiary</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1280"/>
              <w:spacing w:after="0" w:line="149" w:lineRule="exact"/>
              <w:rPr>
                <w:sz w:val="20"/>
                <w:szCs w:val="20"/>
                <w:color w:val="auto"/>
              </w:rPr>
            </w:pPr>
            <w:r>
              <w:rPr>
                <w:rFonts w:ascii="Arial" w:cs="Arial" w:eastAsia="Arial" w:hAnsi="Arial"/>
                <w:sz w:val="14"/>
                <w:szCs w:val="14"/>
                <w:color w:val="auto"/>
              </w:rPr>
              <w:t>Receivables, net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(73,007)</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(72,927)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Inventories and prepaid expenses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(20,741)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28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1,995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color w:val="auto"/>
              </w:rPr>
              <w:t>162,292</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164,287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Due to (from) affiliates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(24,918)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24,918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1720"/>
              <w:spacing w:after="0"/>
              <w:rPr>
                <w:sz w:val="20"/>
                <w:szCs w:val="20"/>
                <w:color w:val="auto"/>
              </w:rPr>
            </w:pPr>
            <w:r>
              <w:rPr>
                <w:rFonts w:ascii="Arial" w:cs="Arial" w:eastAsia="Arial" w:hAnsi="Arial"/>
                <w:sz w:val="14"/>
                <w:szCs w:val="14"/>
                <w:color w:val="auto"/>
              </w:rPr>
              <w:t>Net cash provided by (used in) operating activities</w:t>
            </w: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9"/>
              </w:rPr>
              <w:t>(18,599)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320"/>
              <w:spacing w:after="0" w:line="155" w:lineRule="exact"/>
              <w:rPr>
                <w:sz w:val="20"/>
                <w:szCs w:val="20"/>
                <w:color w:val="auto"/>
              </w:rPr>
            </w:pPr>
            <w:r>
              <w:rPr>
                <w:rFonts w:ascii="Arial" w:cs="Arial" w:eastAsia="Arial" w:hAnsi="Arial"/>
                <w:sz w:val="14"/>
                <w:szCs w:val="14"/>
                <w:color w:val="auto"/>
              </w:rPr>
              <w:t>136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289,229</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(30,000)</w:t>
            </w:r>
          </w:p>
        </w:tc>
        <w:tc>
          <w:tcPr>
            <w:tcW w:w="80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240,766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(643,016)</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(643,360)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14,096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190,194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Investment in unconsolidated affiliates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Intangibles and other, net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(10,459)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(48,997)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Due to (from) affiliates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14,401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(169)</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intercompany loans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347,313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(347,313)</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4"/>
                <w:szCs w:val="14"/>
                <w:color w:val="auto"/>
              </w:rPr>
              <w:t>Proceeds from sale of subconcession right, net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color w:val="auto"/>
              </w:rPr>
              <w:t>899,409</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899,409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equipment</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172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4"/>
              </w:rPr>
              <w:t>351,837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397,421</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(347,313)</w:t>
            </w:r>
          </w:p>
        </w:tc>
        <w:tc>
          <w:tcPr>
            <w:tcW w:w="80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401,809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Equity contributions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21,790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Third party fees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long-term debt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746,948</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746,948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Swap termination proceeds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6,605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Principal payments on long term debt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(440,929)</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(440,929)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Payments on long term land concession obligation.</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Repayment of intercompany loans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(347,313)</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347,313</w:t>
            </w: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distributed to Parent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30,000</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420"/>
              <w:spacing w:after="0"/>
              <w:rPr>
                <w:sz w:val="20"/>
                <w:szCs w:val="20"/>
                <w:color w:val="auto"/>
              </w:rPr>
            </w:pPr>
            <w:r>
              <w:rPr>
                <w:rFonts w:ascii="Arial" w:cs="Arial" w:eastAsia="Arial" w:hAnsi="Arial"/>
                <w:sz w:val="14"/>
                <w:szCs w:val="14"/>
                <w:color w:val="auto"/>
              </w:rPr>
              <w:t>Special cash distribution</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(608,299)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(608,299)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 deferred financing costs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(4,572)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1720"/>
              <w:spacing w:after="0"/>
              <w:rPr>
                <w:sz w:val="20"/>
                <w:szCs w:val="20"/>
                <w:color w:val="auto"/>
              </w:rPr>
            </w:pPr>
            <w:r>
              <w:rPr>
                <w:rFonts w:ascii="Arial" w:cs="Arial" w:eastAsia="Arial" w:hAnsi="Arial"/>
                <w:sz w:val="14"/>
                <w:szCs w:val="14"/>
                <w:color w:val="auto"/>
              </w:rPr>
              <w:t>Net cash used in financing activities</w:t>
            </w: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6"/>
              </w:rPr>
              <w:t>(586,509)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32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(78,261)</w:t>
            </w:r>
          </w:p>
        </w:tc>
        <w:tc>
          <w:tcPr>
            <w:tcW w:w="100" w:type="dxa"/>
            <w:vAlign w:val="bottom"/>
          </w:tcPr>
          <w:p>
            <w:pPr>
              <w:spacing w:after="0"/>
              <w:rPr>
                <w:sz w:val="14"/>
                <w:szCs w:val="14"/>
                <w:color w:val="auto"/>
              </w:rPr>
            </w:pPr>
          </w:p>
        </w:tc>
        <w:tc>
          <w:tcPr>
            <w:tcW w:w="8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377,313</w:t>
            </w:r>
          </w:p>
        </w:tc>
        <w:tc>
          <w:tcPr>
            <w:tcW w:w="8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(287,457)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6"/>
              </w:rPr>
              <w:t>(253,271)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608,389</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355,118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beginning of period</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308,013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126,276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434,289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420"/>
              <w:spacing w:after="0"/>
              <w:rPr>
                <w:sz w:val="20"/>
                <w:szCs w:val="20"/>
                <w:color w:val="auto"/>
              </w:rPr>
            </w:pPr>
            <w:r>
              <w:rPr>
                <w:rFonts w:ascii="Arial" w:cs="Arial" w:eastAsia="Arial" w:hAnsi="Arial"/>
                <w:sz w:val="14"/>
                <w:szCs w:val="14"/>
                <w:color w:val="auto"/>
              </w:rPr>
              <w:t>Balance, end of period</w:t>
            </w: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54,742</w:t>
            </w:r>
          </w:p>
        </w:tc>
        <w:tc>
          <w:tcPr>
            <w:tcW w:w="240" w:type="dxa"/>
            <w:vAlign w:val="bottom"/>
          </w:tcPr>
          <w:p>
            <w:pPr>
              <w:spacing w:after="0"/>
              <w:rPr>
                <w:sz w:val="13"/>
                <w:szCs w:val="13"/>
                <w:color w:val="auto"/>
              </w:rPr>
            </w:pPr>
          </w:p>
        </w:tc>
        <w:tc>
          <w:tcPr>
            <w:tcW w:w="36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734,665</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$ 789,407</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jc w:val="right"/>
              <w:ind w:right="132"/>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0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 (90,836)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(97,496)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97,190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Adjustments to reconcile net income (loss) accumulated to net cash</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provided by (used in) operating activities:</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103,265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860"/>
              <w:spacing w:after="0"/>
              <w:rPr>
                <w:sz w:val="20"/>
                <w:szCs w:val="20"/>
                <w:color w:val="auto"/>
              </w:rPr>
            </w:pPr>
            <w:r>
              <w:rPr>
                <w:rFonts w:ascii="Arial" w:cs="Arial" w:eastAsia="Arial" w:hAnsi="Arial"/>
                <w:sz w:val="18"/>
                <w:szCs w:val="18"/>
                <w:color w:val="auto"/>
                <w:w w:val="91"/>
              </w:rPr>
              <w:t>Amortization and write off of deferred financing costs and other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13,327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860"/>
              <w:spacing w:after="0"/>
              <w:rPr>
                <w:sz w:val="20"/>
                <w:szCs w:val="20"/>
                <w:color w:val="auto"/>
              </w:rPr>
            </w:pPr>
            <w:r>
              <w:rPr>
                <w:rFonts w:ascii="Arial" w:cs="Arial" w:eastAsia="Arial" w:hAnsi="Arial"/>
                <w:sz w:val="18"/>
                <w:szCs w:val="18"/>
                <w:color w:val="auto"/>
              </w:rPr>
              <w:t>Property charges and other</w:t>
            </w: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14,183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(income) loss from unconsolidated affiliates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(97,190)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860"/>
              <w:spacing w:after="0"/>
              <w:rPr>
                <w:sz w:val="20"/>
                <w:szCs w:val="20"/>
                <w:color w:val="auto"/>
              </w:rPr>
            </w:pPr>
            <w:r>
              <w:rPr>
                <w:rFonts w:ascii="Arial" w:cs="Arial" w:eastAsia="Arial" w:hAnsi="Arial"/>
                <w:sz w:val="18"/>
                <w:szCs w:val="18"/>
                <w:color w:val="auto"/>
              </w:rPr>
              <w:t>Increase in fair value of interest rate swaps</w:t>
            </w:r>
          </w:p>
        </w:tc>
        <w:tc>
          <w:tcPr>
            <w:tcW w:w="4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(8,152)</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cash from changes in:</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280"/>
              <w:spacing w:after="0"/>
              <w:rPr>
                <w:sz w:val="20"/>
                <w:szCs w:val="20"/>
                <w:color w:val="auto"/>
              </w:rPr>
            </w:pPr>
            <w:r>
              <w:rPr>
                <w:rFonts w:ascii="Arial" w:cs="Arial" w:eastAsia="Arial" w:hAnsi="Arial"/>
                <w:sz w:val="18"/>
                <w:szCs w:val="18"/>
                <w:color w:val="auto"/>
              </w:rPr>
              <w:t>Receivables, net</w:t>
            </w: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(104,533)</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 and prepaid expenses</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(58,900)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155,101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Due to (from) affiliates</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0"/>
                <w:szCs w:val="20"/>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51,041</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4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(877,074)</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(877,074)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14,690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485,393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499,765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4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Intangibles and other, net</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(37,651)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(from) affiliates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(14,996)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(428,033)</w:t>
            </w:r>
          </w:p>
        </w:tc>
        <w:tc>
          <w:tcPr>
            <w:tcW w:w="12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(421,120)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4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party fees</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4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627,131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627,131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 term debt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(121,933)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Payments on long term land concession obligation</w:t>
            </w:r>
          </w:p>
        </w:tc>
        <w:tc>
          <w:tcPr>
            <w:tcW w:w="4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(8,921)</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(21,008)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475,269</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476,673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5,751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98,277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302,262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27,999</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308,013</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126,276</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434,289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53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1"/>
              </w:rPr>
              <w:t>Subsidiaries</w:t>
            </w: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Entries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$(204,171)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423</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(189,490)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189,067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(204,171)</w:t>
            </w:r>
          </w:p>
        </w:tc>
      </w:tr>
      <w:tr>
        <w:trPr>
          <w:trHeight w:val="208"/>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loss accumulated to net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provided by (used in) operating activities:</w:t>
            </w: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36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6,979</w:t>
            </w: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880"/>
              <w:spacing w:after="0"/>
              <w:rPr>
                <w:sz w:val="20"/>
                <w:szCs w:val="20"/>
                <w:color w:val="auto"/>
              </w:rPr>
            </w:pPr>
            <w:r>
              <w:rPr>
                <w:rFonts w:ascii="Arial" w:cs="Arial" w:eastAsia="Arial" w:hAnsi="Arial"/>
                <w:sz w:val="18"/>
                <w:szCs w:val="18"/>
                <w:color w:val="auto"/>
              </w:rPr>
              <w:t>Amortization and writeoff of deferred financing costs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59,849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60,572</w:t>
            </w: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Provision for doubtful accounts</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ind w:left="880"/>
              <w:spacing w:after="0"/>
              <w:rPr>
                <w:sz w:val="20"/>
                <w:szCs w:val="20"/>
                <w:color w:val="auto"/>
              </w:rPr>
            </w:pPr>
            <w:r>
              <w:rPr>
                <w:rFonts w:ascii="Arial" w:cs="Arial" w:eastAsia="Arial" w:hAnsi="Arial"/>
                <w:sz w:val="18"/>
                <w:szCs w:val="18"/>
                <w:color w:val="auto"/>
              </w:rPr>
              <w:t>Property charges and other</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Equity in (income) loss from unconsolidated affiliates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189,067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(189,067)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ind w:left="880"/>
              <w:spacing w:after="0"/>
              <w:rPr>
                <w:sz w:val="20"/>
                <w:szCs w:val="20"/>
                <w:color w:val="auto"/>
              </w:rPr>
            </w:pPr>
            <w:r>
              <w:rPr>
                <w:rFonts w:ascii="Arial" w:cs="Arial" w:eastAsia="Arial" w:hAnsi="Arial"/>
                <w:sz w:val="18"/>
                <w:szCs w:val="18"/>
                <w:color w:val="auto"/>
              </w:rPr>
              <w:t>Increase in fair value of interest rate swaps</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(1,415)</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(1,415)</w:t>
            </w:r>
          </w:p>
        </w:tc>
      </w:t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Minority interest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16"/>
        </w:trPr>
        <w:tc>
          <w:tcPr>
            <w:tcW w:w="5360" w:type="dxa"/>
            <w:vAlign w:val="bottom"/>
          </w:tcPr>
          <w:p>
            <w:pPr>
              <w:ind w:left="880"/>
              <w:spacing w:after="0"/>
              <w:rPr>
                <w:sz w:val="20"/>
                <w:szCs w:val="20"/>
                <w:color w:val="auto"/>
              </w:rPr>
            </w:pPr>
            <w:r>
              <w:rPr>
                <w:rFonts w:ascii="Arial" w:cs="Arial" w:eastAsia="Arial" w:hAnsi="Arial"/>
                <w:sz w:val="18"/>
                <w:szCs w:val="18"/>
                <w:color w:val="auto"/>
              </w:rPr>
              <w:t>Incidental operations</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3,512</w:t>
            </w: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cash from changes in: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1300"/>
              <w:spacing w:after="0"/>
              <w:rPr>
                <w:sz w:val="20"/>
                <w:szCs w:val="20"/>
                <w:color w:val="auto"/>
              </w:rPr>
            </w:pPr>
            <w:r>
              <w:rPr>
                <w:rFonts w:ascii="Arial" w:cs="Arial" w:eastAsia="Arial" w:hAnsi="Arial"/>
                <w:sz w:val="18"/>
                <w:szCs w:val="18"/>
                <w:color w:val="auto"/>
              </w:rPr>
              <w:t>Receivables, net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5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Inventories and prepaid expenses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(2,089)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w:t>
            </w:r>
          </w:p>
        </w:tc>
      </w:tr>
      <w:tr>
        <w:trPr>
          <w:trHeight w:val="223"/>
        </w:trPr>
        <w:tc>
          <w:tcPr>
            <w:tcW w:w="5360" w:type="dxa"/>
            <w:vAlign w:val="bottom"/>
          </w:tcPr>
          <w:p>
            <w:pPr>
              <w:ind w:left="1300"/>
              <w:spacing w:after="0"/>
              <w:rPr>
                <w:sz w:val="20"/>
                <w:szCs w:val="20"/>
                <w:color w:val="auto"/>
              </w:rPr>
            </w:pPr>
            <w:r>
              <w:rPr>
                <w:rFonts w:ascii="Arial" w:cs="Arial" w:eastAsia="Arial" w:hAnsi="Arial"/>
                <w:sz w:val="18"/>
                <w:szCs w:val="18"/>
                <w:color w:val="auto"/>
              </w:rPr>
              <w:t>Accounts payable and accrued expenses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6,376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12,041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18,417</w:t>
            </w:r>
          </w:p>
        </w:tc>
        <w:tc>
          <w:tcPr>
            <w:tcW w:w="60" w:type="dxa"/>
            <w:vAlign w:val="bottom"/>
          </w:tcPr>
          <w:p>
            <w:pPr>
              <w:spacing w:after="0"/>
              <w:rPr>
                <w:sz w:val="19"/>
                <w:szCs w:val="19"/>
                <w:color w:val="auto"/>
              </w:rPr>
            </w:pPr>
          </w:p>
        </w:tc>
      </w:tr>
      <w:tr>
        <w:trPr>
          <w:trHeight w:val="208"/>
        </w:trPr>
        <w:tc>
          <w:tcPr>
            <w:tcW w:w="53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(used in) operating</w:t>
            </w: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3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activities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423</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(110,620)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(114,765)</w:t>
            </w: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(1,007,977)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(1,007,993)</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14,577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(555,743)</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(541,935)</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unconsolidated affiliates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(592,110)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592,110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Intangibles and other, net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(5,674)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(24,756)</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(30,430)</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balances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(213,128)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228,128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ind w:left="440"/>
              <w:spacing w:after="0"/>
              <w:rPr>
                <w:sz w:val="20"/>
                <w:szCs w:val="20"/>
                <w:color w:val="auto"/>
              </w:rPr>
            </w:pPr>
            <w:r>
              <w:rPr>
                <w:rFonts w:ascii="Arial" w:cs="Arial" w:eastAsia="Arial" w:hAnsi="Arial"/>
                <w:sz w:val="18"/>
                <w:szCs w:val="18"/>
                <w:color w:val="auto"/>
              </w:rPr>
              <w:t>Proceeds from sale of equipment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33,268</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33,268</w:t>
            </w:r>
          </w:p>
        </w:tc>
        <w:tc>
          <w:tcPr>
            <w:tcW w:w="60" w:type="dxa"/>
            <w:vAlign w:val="bottom"/>
          </w:tcPr>
          <w:p>
            <w:pPr>
              <w:spacing w:after="0"/>
              <w:rPr>
                <w:sz w:val="19"/>
                <w:szCs w:val="19"/>
                <w:color w:val="auto"/>
              </w:rPr>
            </w:pPr>
          </w:p>
        </w:tc>
      </w:tr>
      <w:tr>
        <w:trPr>
          <w:trHeight w:val="216"/>
        </w:trPr>
        <w:tc>
          <w:tcPr>
            <w:tcW w:w="53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(811,697)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(1,327,080)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592,110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(1,547,090)</w:t>
            </w: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contributions</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592,110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(592,110)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common stock</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794,295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794,295</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Third party fees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(5,134)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(5,134)</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1,960,858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1,960,858</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Principal payments on long term debt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(1,032,534)</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(1,032,534)</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of long-term land concession obligation</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Deferred financing costs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(67,542)</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(67,623)</w:t>
            </w:r>
          </w:p>
        </w:tc>
      </w:tr>
      <w:tr>
        <w:trPr>
          <w:trHeight w:val="27"/>
        </w:trPr>
        <w:tc>
          <w:tcPr>
            <w:tcW w:w="5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789,782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1,452,892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(592,110)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1,650,564</w:t>
            </w:r>
          </w:p>
        </w:tc>
        <w:tc>
          <w:tcPr>
            <w:tcW w:w="60" w:type="dxa"/>
            <w:vAlign w:val="bottom"/>
            <w:shd w:val="clear" w:color="auto" w:fill="CCEEFF"/>
          </w:tcPr>
          <w:p>
            <w:pPr>
              <w:spacing w:after="0"/>
              <w:rPr>
                <w:sz w:val="18"/>
                <w:szCs w:val="18"/>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(11,291)</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328,745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12,807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341,552</w:t>
            </w:r>
          </w:p>
        </w:tc>
        <w:tc>
          <w:tcPr>
            <w:tcW w:w="60" w:type="dxa"/>
            <w:vAlign w:val="bottom"/>
          </w:tcPr>
          <w:p>
            <w:pPr>
              <w:spacing w:after="0"/>
              <w:rPr>
                <w:sz w:val="18"/>
                <w:szCs w:val="18"/>
                <w:color w:val="auto"/>
              </w:rPr>
            </w:pPr>
          </w:p>
        </w:tc>
      </w:tr>
      <w:tr>
        <w:trPr>
          <w:trHeight w:val="27"/>
        </w:trPr>
        <w:tc>
          <w:tcPr>
            <w:tcW w:w="5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$ 302,262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330,261</w:t>
            </w:r>
          </w:p>
        </w:tc>
        <w:tc>
          <w:tcPr>
            <w:tcW w:w="6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5360" w:type="dxa"/>
            <w:vAlign w:val="bottom"/>
          </w:tcPr>
          <w:p>
            <w:pPr>
              <w:spacing w:after="0"/>
              <w:rPr>
                <w:sz w:val="24"/>
                <w:szCs w:val="24"/>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Quarterly Financial Information (Unaudited)</w:t>
      </w:r>
    </w:p>
    <w:p>
      <w:pPr>
        <w:spacing w:after="0" w:line="9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following (amounts in thousands, except per share data) presents selected interim financial information for 2006 and 2005, as previously reported. Because income(loss) per share amounts are calculated using the weighted average number of common and dilutive common equivalent shares outstanding during each quarter, the sum of the per share amounts for the four quarters may not equal the total income(loss) per share amounts for the year.</w:t>
      </w:r>
    </w:p>
    <w:p>
      <w:pPr>
        <w:spacing w:after="0" w:line="12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Year Ended December 31, 2006</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First</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6"/>
              </w:rPr>
              <w:t>Second</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Third</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4"/>
              </w:rPr>
              <w:t>Fourth</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2"/>
                <w:szCs w:val="12"/>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277,225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273,370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318,092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563,570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1,432,257</w:t>
            </w:r>
          </w:p>
        </w:tc>
        <w:tc>
          <w:tcPr>
            <w:tcW w:w="6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9,732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(18,709)</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78,193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70,899</w:t>
            </w:r>
          </w:p>
        </w:tc>
        <w:tc>
          <w:tcPr>
            <w:tcW w:w="6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(11,434)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2"/>
              </w:rPr>
              <w:t>(20,070)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715,656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(55,424)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628,728</w:t>
            </w:r>
          </w:p>
        </w:tc>
        <w:tc>
          <w:tcPr>
            <w:tcW w:w="6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Basic income (loss) per share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12"/>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7.12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r>
      <w:tr>
        <w:trPr>
          <w:trHeight w:val="365"/>
        </w:trPr>
        <w:tc>
          <w:tcPr>
            <w:tcW w:w="3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Year Ended December 31, 2005</w:t>
            </w: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First</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6"/>
              </w:rPr>
              <w:t>Second</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Third</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4"/>
              </w:rPr>
              <w:t>Fourth</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2"/>
                <w:szCs w:val="12"/>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251,441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269,420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721,981</w:t>
            </w:r>
          </w:p>
        </w:tc>
        <w:tc>
          <w:tcPr>
            <w:tcW w:w="6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(41,660)</w:t>
            </w:r>
          </w:p>
        </w:tc>
        <w:tc>
          <w:tcPr>
            <w:tcW w:w="80" w:type="dxa"/>
            <w:vAlign w:val="bottom"/>
          </w:tcPr>
          <w:p>
            <w:pPr>
              <w:spacing w:after="0"/>
              <w:rPr>
                <w:sz w:val="18"/>
                <w:szCs w:val="18"/>
                <w:color w:val="auto"/>
              </w:rPr>
            </w:pPr>
          </w:p>
        </w:tc>
        <w:tc>
          <w:tcPr>
            <w:tcW w:w="1120" w:type="dxa"/>
            <w:vAlign w:val="bottom"/>
            <w:gridSpan w:val="2"/>
          </w:tcPr>
          <w:p>
            <w:pPr>
              <w:jc w:val="right"/>
              <w:ind w:right="412"/>
              <w:spacing w:after="0"/>
              <w:rPr>
                <w:sz w:val="20"/>
                <w:szCs w:val="20"/>
                <w:color w:val="auto"/>
              </w:rPr>
            </w:pPr>
            <w:r>
              <w:rPr>
                <w:rFonts w:ascii="Arial" w:cs="Arial" w:eastAsia="Arial" w:hAnsi="Arial"/>
                <w:sz w:val="18"/>
                <w:szCs w:val="18"/>
                <w:color w:val="auto"/>
                <w:w w:val="92"/>
              </w:rPr>
              <w:t>(15,804)</w:t>
            </w: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13,278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19,630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(24,556)</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(29,927)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2"/>
              </w:rPr>
              <w:t>(41,778)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12"/>
              <w:spacing w:after="0"/>
              <w:rPr>
                <w:sz w:val="20"/>
                <w:szCs w:val="20"/>
                <w:color w:val="auto"/>
              </w:rPr>
            </w:pPr>
            <w:r>
              <w:rPr>
                <w:rFonts w:ascii="Arial" w:cs="Arial" w:eastAsia="Arial" w:hAnsi="Arial"/>
                <w:sz w:val="18"/>
                <w:szCs w:val="18"/>
                <w:color w:val="auto"/>
              </w:rPr>
              <w:t>(0.43)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(0.92)</w:t>
            </w:r>
          </w:p>
        </w:tc>
      </w:tr>
    </w:tbl>
    <w:p>
      <w:pPr>
        <w:spacing w:after="0" w:line="2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64"/>
        <w:spacing w:after="0" w:line="289"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December 31, 2006,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such reports is accumulated and communicated to the Company’s management, including the Chief Executive Officer and Chief Financial Officer as appropriate to allow timely discussions regarding required disclosure.</w:t>
      </w:r>
    </w:p>
    <w:p>
      <w:pPr>
        <w:spacing w:after="0" w:line="118" w:lineRule="exact"/>
        <w:rPr>
          <w:rFonts w:ascii="Arial" w:cs="Arial" w:eastAsia="Arial" w:hAnsi="Arial"/>
          <w:sz w:val="16"/>
          <w:szCs w:val="16"/>
          <w:color w:val="auto"/>
        </w:rPr>
      </w:pPr>
    </w:p>
    <w:p>
      <w:pPr>
        <w:ind w:right="420" w:firstLine="464"/>
        <w:spacing w:after="0" w:line="268"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2006. In making this assessment, management used the criteria set forth by the Committee of Sponsoring Organizations of the Treadway Commission (“COSO”) in Internal Control-Integrated Framework.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our assessment, management believes that, as of December 31, 2006, the Company’s internal control over financial reporting was effective.</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independent registered public accounting firm has issued an audit report on our assessment of the Company’s internal control over financial reporting. This report appears under “Report of Independent Registered Public Accounting Firm on Internal Controls Over Financial Reporting” on page 59.</w:t>
      </w:r>
    </w:p>
    <w:p>
      <w:pPr>
        <w:spacing w:after="0" w:line="140" w:lineRule="exact"/>
        <w:rPr>
          <w:sz w:val="20"/>
          <w:szCs w:val="20"/>
          <w:color w:val="auto"/>
        </w:rPr>
      </w:pPr>
    </w:p>
    <w:p>
      <w:pPr>
        <w:ind w:right="20" w:firstLine="464"/>
        <w:spacing w:after="0" w:line="306"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18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7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8, 2007, to be filed with the Securities and Exchange Commission within 120 days after December 31, 2006 (the “2007 Proxy Statement”) under the captions “Directors and Executive Officers, Further Information Concerning the Board of Directors-Corporate Governance,” “Company Charitable Contributions,” “Section 16(a) Beneficial Ownership Reporting Compliance,” and “Code of Ethics”, and is incorporated herein by reference.</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2007 Proxy Statement under the caption “Directors and Executive Officer Compensation and Other Matters,” and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60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of Part II (see Notes to Financial Statements).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480" w:type="dxa"/>
            <w:vAlign w:val="bottom"/>
          </w:tcPr>
          <w:p>
            <w:pPr>
              <w:spacing w:after="0"/>
              <w:rPr>
                <w:sz w:val="12"/>
                <w:szCs w:val="12"/>
                <w:color w:val="auto"/>
              </w:rPr>
            </w:pPr>
          </w:p>
        </w:tc>
        <w:tc>
          <w:tcPr>
            <w:tcW w:w="20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Issued Upon</w:t>
            </w:r>
          </w:p>
        </w:tc>
        <w:tc>
          <w:tcPr>
            <w:tcW w:w="480" w:type="dxa"/>
            <w:vAlign w:val="bottom"/>
          </w:tcPr>
          <w:p>
            <w:pPr>
              <w:spacing w:after="0"/>
              <w:rPr>
                <w:sz w:val="12"/>
                <w:szCs w:val="12"/>
                <w:color w:val="auto"/>
              </w:rPr>
            </w:pPr>
          </w:p>
        </w:tc>
        <w:tc>
          <w:tcPr>
            <w:tcW w:w="206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4"/>
              </w:rPr>
              <w:t>Options,</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98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55"/>
        </w:trPr>
        <w:tc>
          <w:tcPr>
            <w:tcW w:w="408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58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and Rights (a)</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tcPr>
          <w:p>
            <w:pPr>
              <w:jc w:val="center"/>
              <w:ind w:right="1100"/>
              <w:spacing w:after="0" w:line="148" w:lineRule="exact"/>
              <w:rPr>
                <w:sz w:val="20"/>
                <w:szCs w:val="20"/>
                <w:color w:val="auto"/>
              </w:rPr>
            </w:pPr>
            <w:r>
              <w:rPr>
                <w:rFonts w:ascii="Arial" w:cs="Arial" w:eastAsia="Arial" w:hAnsi="Arial"/>
                <w:sz w:val="14"/>
                <w:szCs w:val="14"/>
                <w:b w:val="1"/>
                <w:bCs w:val="1"/>
                <w:color w:val="auto"/>
                <w:w w:val="85"/>
              </w:rPr>
              <w:t>Rights (b)</w:t>
            </w:r>
          </w:p>
        </w:tc>
        <w:tc>
          <w:tcPr>
            <w:tcW w:w="134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7"/>
              </w:rPr>
              <w:t>column (a)) (c)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Equity compensation plans approved by security holders</w:t>
            </w:r>
          </w:p>
        </w:tc>
        <w:tc>
          <w:tcPr>
            <w:tcW w:w="9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2,380,125</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9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7"/>
              </w:rPr>
              <w:t>Equity compensation plans not approved by security</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holders</w:t>
            </w:r>
          </w:p>
        </w:tc>
        <w:tc>
          <w:tcPr>
            <w:tcW w:w="980" w:type="dxa"/>
            <w:vAlign w:val="bottom"/>
          </w:tcPr>
          <w:p>
            <w:pPr>
              <w:spacing w:after="0"/>
              <w:rPr>
                <w:sz w:val="20"/>
                <w:szCs w:val="20"/>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32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2,380,125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46.03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color w:val="auto"/>
        </w:rPr>
        <w:t>Certain information required by this item will be contained in the 2007 Proxy Statement under the caption “Security Ownership of Certain Beneficial Owners and Management,” and is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2007 Proxy Statement under the caption “Certain Relationships and Related Transactions, and Director Independence” and is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2007 Proxy Statement under the caption “Ratification of Appointment of Independent Public Accountants,” and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1480" w:hanging="1019"/>
        <w:spacing w:after="0" w:line="268" w:lineRule="auto"/>
        <w:tabs>
          <w:tab w:leader="none" w:pos="14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of the Company are filed as part of this report under Item. 8—Financial Statements and Supplemental Data.</w:t>
      </w:r>
    </w:p>
    <w:p>
      <w:pPr>
        <w:spacing w:after="0" w:line="51" w:lineRule="exact"/>
        <w:rPr>
          <w:sz w:val="20"/>
          <w:szCs w:val="20"/>
          <w:color w:val="auto"/>
        </w:rPr>
      </w:pPr>
    </w:p>
    <w:p>
      <w:pPr>
        <w:ind w:left="1800" w:hanging="32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Firms</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Consolidated Balance Sheets as of December 31, 2006 and 2005</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2006, 2005 and 2004</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Consolidated Statements of Stockholder Equity for the years ended December 31, 2006, 2005 and 2004</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2006, 2005 and 2004</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Notes to Consolidated Financial Statement</w:t>
      </w:r>
    </w:p>
    <w:p>
      <w:pPr>
        <w:spacing w:after="0" w:line="90"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filed in Part IV of this report are listed below;</w:t>
      </w:r>
    </w:p>
    <w:p>
      <w:pPr>
        <w:spacing w:after="0" w:line="90" w:lineRule="exact"/>
        <w:rPr>
          <w:sz w:val="20"/>
          <w:szCs w:val="20"/>
          <w:color w:val="auto"/>
        </w:rPr>
      </w:pPr>
    </w:p>
    <w:p>
      <w:pPr>
        <w:ind w:left="1800" w:hanging="32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Schedule I—Condensed financial information of the registrant</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90" w:lineRule="exact"/>
        <w:rPr>
          <w:sz w:val="20"/>
          <w:szCs w:val="20"/>
          <w:color w:val="auto"/>
        </w:rPr>
      </w:pPr>
    </w:p>
    <w:p>
      <w:pPr>
        <w:ind w:left="920" w:right="40" w:firstLine="420"/>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40"/>
          </w:cols>
          <w:pgMar w:left="240" w:top="459" w:right="6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I—CONDENSED FINANCIAL INFORMATION OF THE REGISTRANT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77"/>
        </w:trPr>
        <w:tc>
          <w:tcPr>
            <w:tcW w:w="1900" w:type="dxa"/>
            <w:vAlign w:val="bottom"/>
            <w:tcBorders>
              <w:bottom w:val="single" w:sz="8" w:color="0000EE"/>
            </w:tcBorders>
          </w:tcPr>
          <w:p>
            <w:pPr>
              <w:spacing w:after="0"/>
              <w:rPr>
                <w:rFonts w:ascii="Arial" w:cs="Arial" w:eastAsia="Arial" w:hAnsi="Arial"/>
                <w:sz w:val="18"/>
                <w:szCs w:val="18"/>
                <w:color w:val="0000EE"/>
                <w:w w:val="84"/>
              </w:rPr>
            </w:pPr>
            <w:hyperlink w:anchor="page110">
              <w:r>
                <w:rPr>
                  <w:rFonts w:ascii="Arial" w:cs="Arial" w:eastAsia="Arial" w:hAnsi="Arial"/>
                  <w:sz w:val="18"/>
                  <w:szCs w:val="18"/>
                  <w:color w:val="0000EE"/>
                  <w:w w:val="84"/>
                </w:rPr>
                <w:t>Condensed Balance Sheets</w:t>
              </w:r>
            </w:hyperlink>
          </w:p>
        </w:tc>
        <w:tc>
          <w:tcPr>
            <w:tcW w:w="2560" w:type="dxa"/>
            <w:vAlign w:val="bottom"/>
            <w:gridSpan w:val="5"/>
          </w:tcPr>
          <w:p>
            <w:pPr>
              <w:spacing w:after="0"/>
              <w:rPr>
                <w:sz w:val="24"/>
                <w:szCs w:val="24"/>
                <w:color w:val="auto"/>
              </w:rPr>
            </w:pPr>
          </w:p>
        </w:tc>
        <w:tc>
          <w:tcPr>
            <w:tcW w:w="6960" w:type="dxa"/>
            <w:vAlign w:val="bottom"/>
            <w:gridSpan w:val="2"/>
          </w:tcPr>
          <w:p>
            <w:pPr>
              <w:jc w:val="right"/>
              <w:ind w:right="32"/>
              <w:spacing w:after="0"/>
              <w:rPr>
                <w:sz w:val="20"/>
                <w:szCs w:val="20"/>
                <w:color w:val="auto"/>
              </w:rPr>
            </w:pPr>
            <w:r>
              <w:rPr>
                <w:rFonts w:ascii="Arial" w:cs="Arial" w:eastAsia="Arial" w:hAnsi="Arial"/>
                <w:sz w:val="18"/>
                <w:szCs w:val="18"/>
                <w:color w:val="auto"/>
              </w:rPr>
              <w:t>110</w:t>
            </w:r>
          </w:p>
        </w:tc>
      </w:tr>
      <w:tr>
        <w:trPr>
          <w:trHeight w:val="304"/>
        </w:trPr>
        <w:tc>
          <w:tcPr>
            <w:tcW w:w="446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Condensed Statements of Operations</w:t>
              </w:r>
            </w:hyperlink>
          </w:p>
        </w:tc>
        <w:tc>
          <w:tcPr>
            <w:tcW w:w="6960" w:type="dxa"/>
            <w:vAlign w:val="bottom"/>
            <w:gridSpan w:val="2"/>
          </w:tcPr>
          <w:p>
            <w:pPr>
              <w:jc w:val="right"/>
              <w:ind w:right="52"/>
              <w:spacing w:after="0"/>
              <w:rPr>
                <w:sz w:val="20"/>
                <w:szCs w:val="20"/>
                <w:color w:val="auto"/>
              </w:rPr>
            </w:pPr>
            <w:r>
              <w:rPr>
                <w:rFonts w:ascii="Arial" w:cs="Arial" w:eastAsia="Arial" w:hAnsi="Arial"/>
                <w:sz w:val="18"/>
                <w:szCs w:val="18"/>
                <w:color w:val="auto"/>
              </w:rPr>
              <w:t>111</w:t>
            </w:r>
          </w:p>
        </w:tc>
      </w:tr>
      <w:tr>
        <w:trPr>
          <w:trHeight w:val="20"/>
        </w:trPr>
        <w:tc>
          <w:tcPr>
            <w:tcW w:w="2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r>
      <w:tr>
        <w:trPr>
          <w:trHeight w:val="304"/>
        </w:trPr>
        <w:tc>
          <w:tcPr>
            <w:tcW w:w="4460" w:type="dxa"/>
            <w:vAlign w:val="bottom"/>
            <w:gridSpan w:val="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Condensed Statements of Stockholders’ Equity</w:t>
              </w:r>
            </w:hyperlink>
          </w:p>
        </w:tc>
        <w:tc>
          <w:tcPr>
            <w:tcW w:w="6960" w:type="dxa"/>
            <w:vAlign w:val="bottom"/>
            <w:gridSpan w:val="2"/>
          </w:tcPr>
          <w:p>
            <w:pPr>
              <w:jc w:val="right"/>
              <w:ind w:right="32"/>
              <w:spacing w:after="0"/>
              <w:rPr>
                <w:sz w:val="20"/>
                <w:szCs w:val="20"/>
                <w:color w:val="auto"/>
              </w:rPr>
            </w:pPr>
            <w:r>
              <w:rPr>
                <w:rFonts w:ascii="Arial" w:cs="Arial" w:eastAsia="Arial" w:hAnsi="Arial"/>
                <w:sz w:val="18"/>
                <w:szCs w:val="18"/>
                <w:color w:val="auto"/>
              </w:rPr>
              <w:t>112</w:t>
            </w:r>
          </w:p>
        </w:tc>
      </w:tr>
      <w:tr>
        <w:trPr>
          <w:trHeight w:val="304"/>
        </w:trPr>
        <w:tc>
          <w:tcPr>
            <w:tcW w:w="3320" w:type="dxa"/>
            <w:vAlign w:val="bottom"/>
            <w:tcBorders>
              <w:top w:val="single" w:sz="8" w:color="0000EE"/>
            </w:tcBorders>
            <w:gridSpan w:val="5"/>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Condensed Statements of Cash Flows</w:t>
              </w:r>
            </w:hyperlink>
          </w:p>
        </w:tc>
        <w:tc>
          <w:tcPr>
            <w:tcW w:w="1140" w:type="dxa"/>
            <w:vAlign w:val="bottom"/>
          </w:tcPr>
          <w:p>
            <w:pPr>
              <w:spacing w:after="0"/>
              <w:rPr>
                <w:sz w:val="24"/>
                <w:szCs w:val="24"/>
                <w:color w:val="auto"/>
              </w:rPr>
            </w:pPr>
          </w:p>
        </w:tc>
        <w:tc>
          <w:tcPr>
            <w:tcW w:w="6960" w:type="dxa"/>
            <w:vAlign w:val="bottom"/>
            <w:gridSpan w:val="2"/>
          </w:tcPr>
          <w:p>
            <w:pPr>
              <w:jc w:val="right"/>
              <w:ind w:right="32"/>
              <w:spacing w:after="0"/>
              <w:rPr>
                <w:sz w:val="20"/>
                <w:szCs w:val="20"/>
                <w:color w:val="auto"/>
              </w:rPr>
            </w:pPr>
            <w:r>
              <w:rPr>
                <w:rFonts w:ascii="Arial" w:cs="Arial" w:eastAsia="Arial" w:hAnsi="Arial"/>
                <w:sz w:val="18"/>
                <w:szCs w:val="18"/>
                <w:color w:val="auto"/>
              </w:rPr>
              <w:t>113</w:t>
            </w:r>
          </w:p>
        </w:tc>
      </w:tr>
      <w:tr>
        <w:trPr>
          <w:trHeight w:val="20"/>
        </w:trPr>
        <w:tc>
          <w:tcPr>
            <w:tcW w:w="26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r>
      <w:tr>
        <w:trPr>
          <w:trHeight w:val="304"/>
        </w:trPr>
        <w:tc>
          <w:tcPr>
            <w:tcW w:w="4460" w:type="dxa"/>
            <w:vAlign w:val="bottom"/>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Notes to Condensed Financial Statements</w:t>
              </w:r>
            </w:hyperlink>
          </w:p>
        </w:tc>
        <w:tc>
          <w:tcPr>
            <w:tcW w:w="6960" w:type="dxa"/>
            <w:vAlign w:val="bottom"/>
            <w:gridSpan w:val="2"/>
          </w:tcPr>
          <w:p>
            <w:pPr>
              <w:jc w:val="right"/>
              <w:ind w:right="32"/>
              <w:spacing w:after="0"/>
              <w:rPr>
                <w:sz w:val="20"/>
                <w:szCs w:val="20"/>
                <w:color w:val="auto"/>
              </w:rPr>
            </w:pPr>
            <w:r>
              <w:rPr>
                <w:rFonts w:ascii="Arial" w:cs="Arial" w:eastAsia="Arial" w:hAnsi="Arial"/>
                <w:sz w:val="18"/>
                <w:szCs w:val="18"/>
                <w:color w:val="auto"/>
              </w:rPr>
              <w:t>114</w:t>
            </w:r>
          </w:p>
        </w:tc>
      </w:tr>
      <w:tr>
        <w:trPr>
          <w:trHeight w:val="383"/>
        </w:trPr>
        <w:tc>
          <w:tcPr>
            <w:tcW w:w="19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jc w:val="right"/>
              <w:ind w:right="5132"/>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54,742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interest—due from subsidiaries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Group Asia, Inc</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Due from subsidiaries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2,021,156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1,295,256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2,110,911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1,912,083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Accrued interest—due to subsidiaries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224,128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Wynn Las Vegas, LLC</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Due to subsidiaries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96,658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349,188</w:t>
            </w:r>
          </w:p>
        </w:tc>
        <w:tc>
          <w:tcPr>
            <w:tcW w:w="0" w:type="dxa"/>
            <w:vAlign w:val="bottom"/>
          </w:tcPr>
          <w:p>
            <w:pPr>
              <w:spacing w:after="0"/>
              <w:rPr>
                <w:sz w:val="1"/>
                <w:szCs w:val="1"/>
                <w:color w:val="auto"/>
              </w:rPr>
            </w:pPr>
          </w:p>
        </w:tc>
      </w:tr>
      <w:tr>
        <w:trPr>
          <w:trHeight w:val="329"/>
        </w:trPr>
        <w:tc>
          <w:tcPr>
            <w:tcW w:w="87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par value $0.01; authorized 400,000,000 shares; 101,887,031, and 99,331,294 shares issued and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2,022,408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1,972,847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compensation—restricted stock</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(accumulated deficit)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(377,747)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86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1,645,585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1,562,895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2,110,911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1,912,083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88"/>
              </w:rPr>
              <w:t>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Wynn Las Vegas management fee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17,091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royalty fee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7,621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vMerge w:val="continue"/>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24,712</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16,836</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16,185</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11,542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16,219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420"/>
              <w:spacing w:after="0"/>
              <w:rPr>
                <w:sz w:val="20"/>
                <w:szCs w:val="20"/>
                <w:color w:val="auto"/>
              </w:rPr>
            </w:pPr>
            <w:r>
              <w:rPr>
                <w:rFonts w:ascii="Arial" w:cs="Arial" w:eastAsia="Arial" w:hAnsi="Arial"/>
                <w:sz w:val="18"/>
                <w:szCs w:val="18"/>
                <w:color w:val="auto"/>
              </w:rPr>
              <w:t>Equity in income (loss) of subsidiaries</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w w:val="86"/>
              </w:rPr>
              <w:t>744,529</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(97,190)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(189,067)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6"/>
              </w:rPr>
              <w:t>753,022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(101,379)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(211,203)</w:t>
            </w:r>
          </w:p>
        </w:tc>
        <w:tc>
          <w:tcPr>
            <w:tcW w:w="0" w:type="dxa"/>
            <w:vAlign w:val="bottom"/>
          </w:tcPr>
          <w:p>
            <w:pPr>
              <w:spacing w:after="0"/>
              <w:rPr>
                <w:sz w:val="1"/>
                <w:szCs w:val="1"/>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37,629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23,344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(20,515)</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(12,801)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to Convertible Debenture Holders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2"/>
              </w:rPr>
              <w:t>(58,477)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(41,363)</w:t>
            </w: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10,543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6"/>
              </w:rPr>
              <w:t>711,659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(90,836)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(204,171)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(82,931)</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6"/>
              </w:rPr>
              <w:t>628,728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(204,171)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per common share:</w:t>
            </w: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gridSpan w:val="2"/>
            <w:vMerge w:val="continue"/>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60"/>
              <w:spacing w:after="0"/>
              <w:rPr>
                <w:sz w:val="20"/>
                <w:szCs w:val="20"/>
                <w:color w:val="auto"/>
              </w:rPr>
            </w:pPr>
            <w:r>
              <w:rPr>
                <w:rFonts w:ascii="Arial" w:cs="Arial" w:eastAsia="Arial" w:hAnsi="Arial"/>
                <w:sz w:val="18"/>
                <w:szCs w:val="18"/>
                <w:color w:val="auto"/>
              </w:rPr>
              <w:t>Basic</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6.29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99,998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98,308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860"/>
              <w:spacing w:after="0"/>
              <w:rPr>
                <w:sz w:val="20"/>
                <w:szCs w:val="20"/>
                <w:color w:val="auto"/>
              </w:rPr>
            </w:pPr>
            <w:r>
              <w:rPr>
                <w:rFonts w:ascii="Arial" w:cs="Arial" w:eastAsia="Arial" w:hAnsi="Arial"/>
                <w:sz w:val="18"/>
                <w:szCs w:val="18"/>
                <w:color w:val="auto"/>
              </w:rPr>
              <w:t>Diluted</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w w:val="86"/>
              </w:rPr>
              <w:t>111,627</w:t>
            </w: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98,308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gridSpan w:val="2"/>
            <w:vMerge w:val="restart"/>
          </w:tcPr>
          <w:p>
            <w:pPr>
              <w:jc w:val="center"/>
              <w:ind w:right="200"/>
              <w:spacing w:after="0" w:line="123" w:lineRule="exact"/>
              <w:rPr>
                <w:sz w:val="20"/>
                <w:szCs w:val="20"/>
                <w:color w:val="auto"/>
              </w:rPr>
            </w:pPr>
            <w:r>
              <w:rPr>
                <w:rFonts w:ascii="Arial" w:cs="Arial" w:eastAsia="Arial" w:hAnsi="Arial"/>
                <w:sz w:val="14"/>
                <w:szCs w:val="14"/>
                <w:b w:val="1"/>
                <w:bCs w:val="1"/>
                <w:color w:val="auto"/>
                <w:w w:val="87"/>
              </w:rPr>
              <w:t>Additional</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340"/>
              <w:spacing w:after="0" w:line="123" w:lineRule="exact"/>
              <w:rPr>
                <w:sz w:val="20"/>
                <w:szCs w:val="20"/>
                <w:color w:val="auto"/>
              </w:rPr>
            </w:pPr>
            <w:r>
              <w:rPr>
                <w:rFonts w:ascii="Arial" w:cs="Arial" w:eastAsia="Arial" w:hAnsi="Arial"/>
                <w:sz w:val="14"/>
                <w:szCs w:val="14"/>
                <w:b w:val="1"/>
                <w:bCs w:val="1"/>
                <w:color w:val="auto"/>
                <w:w w:val="86"/>
              </w:rPr>
              <w:t>Deferred</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restart"/>
          </w:tcPr>
          <w:p>
            <w:pPr>
              <w:jc w:val="right"/>
              <w:ind w:right="680"/>
              <w:spacing w:after="0" w:line="12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vMerge w:val="restart"/>
          </w:tcPr>
          <w:p>
            <w:pPr>
              <w:jc w:val="right"/>
              <w:ind w:right="300"/>
              <w:spacing w:after="0" w:line="12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Par</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paid-in</w:t>
            </w: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value</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restricted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Loss</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January 1, 2004</w:t>
            </w:r>
          </w:p>
        </w:tc>
        <w:tc>
          <w:tcPr>
            <w:tcW w:w="8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6"/>
              </w:rPr>
              <w:t>81,978,761</w:t>
            </w:r>
          </w:p>
        </w:tc>
        <w:tc>
          <w:tcPr>
            <w:tcW w:w="2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820</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$ 1,110,813</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(9,664)</w:t>
            </w:r>
          </w:p>
        </w:tc>
        <w:tc>
          <w:tcPr>
            <w:tcW w:w="24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(100,154)</w:t>
            </w:r>
          </w:p>
        </w:tc>
        <w:tc>
          <w:tcPr>
            <w:tcW w:w="32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1,001,815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16,958,333</w:t>
            </w:r>
          </w:p>
        </w:tc>
        <w:tc>
          <w:tcPr>
            <w:tcW w:w="24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170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840,391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840,561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46,250</w:t>
            </w: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compensation—restricted stock</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5,585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(204,171)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(204,171)</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Balances, December 31, 2004</w:t>
            </w: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gridSpan w:val="2"/>
            <w:vMerge w:val="continue"/>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98,983,344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ind w:left="100"/>
              <w:spacing w:after="0" w:line="155" w:lineRule="exact"/>
              <w:rPr>
                <w:sz w:val="20"/>
                <w:szCs w:val="20"/>
                <w:color w:val="auto"/>
              </w:rPr>
            </w:pPr>
            <w:r>
              <w:rPr>
                <w:rFonts w:ascii="Arial" w:cs="Arial" w:eastAsia="Arial" w:hAnsi="Arial"/>
                <w:sz w:val="14"/>
                <w:szCs w:val="14"/>
                <w:color w:val="auto"/>
                <w:w w:val="85"/>
              </w:rPr>
              <w:t>990</w:t>
            </w:r>
          </w:p>
        </w:tc>
        <w:tc>
          <w:tcPr>
            <w:tcW w:w="3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1,951,906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(4,079)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(304,325)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9"/>
              </w:rPr>
              <w:t>1,644,492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275,000</w:t>
            </w: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18,532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(18,535)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72,950</w:t>
            </w:r>
          </w:p>
        </w:tc>
        <w:tc>
          <w:tcPr>
            <w:tcW w:w="24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Acceleration of stock options</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Stock options issued to consultant.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compensation—restricted stock</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(90,836)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(90,836)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99,331,294</w:t>
            </w:r>
          </w:p>
        </w:tc>
        <w:tc>
          <w:tcPr>
            <w:tcW w:w="1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993</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1,972,847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(15,784)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(395,161)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1,562,895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628,728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w:t>
            </w: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628,634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deferred compensation</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(15,784)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337,500</w:t>
            </w:r>
          </w:p>
        </w:tc>
        <w:tc>
          <w:tcPr>
            <w:tcW w:w="24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1,093,375</w:t>
            </w: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21,779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18,065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6% sub-ordinated convertible debentures</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1,124,862</w:t>
            </w: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Special cash distribution</w:t>
            </w: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(611,314)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(611,314)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101,887,031</w:t>
            </w:r>
          </w:p>
        </w:tc>
        <w:tc>
          <w:tcPr>
            <w:tcW w:w="1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5"/>
              </w:rPr>
              <w:t>1,018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 xml:space="preserve"> 2,022,408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(377,747)</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1,645,585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628,728</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 (90,836)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$(204,171)</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reconcile net income (loss) to net cash provided by (used in) operating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82,931</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6,600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4,676</w:t>
            </w:r>
          </w:p>
        </w:tc>
        <w:tc>
          <w:tcPr>
            <w:tcW w:w="740" w:type="dxa"/>
            <w:vAlign w:val="bottom"/>
          </w:tcPr>
          <w:p>
            <w:pPr>
              <w:jc w:val="right"/>
              <w:spacing w:after="0"/>
              <w:rPr>
                <w:sz w:val="20"/>
                <w:szCs w:val="20"/>
                <w:color w:val="auto"/>
              </w:rPr>
            </w:pPr>
            <w:r>
              <w:rPr>
                <w:rFonts w:ascii="Arial" w:cs="Arial" w:eastAsia="Arial" w:hAnsi="Arial"/>
                <w:sz w:val="18"/>
                <w:szCs w:val="18"/>
                <w:color w:val="auto"/>
              </w:rPr>
              <w:t>3,429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financing costs and other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Provision for doubtful accounts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charges and other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Dividends received from subsidiary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30,000</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(income) loss of subsidiaries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(744,529)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97,190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Increase (decrease) in cash from changes in: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Prepaid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(520)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4,477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Due to (from) affiliates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(24,918)</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(19,273)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(18,599)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(4,568)</w:t>
            </w: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926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(769)</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(10,459)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(5,674)</w:t>
            </w: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Due to (from) subsidiaries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14,401</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9,981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(213,128)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intercompany loans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347,313</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(592,110)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equipment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351,837</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7,219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(811,697)</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21,790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1,404</w:t>
            </w:r>
          </w:p>
        </w:tc>
        <w:tc>
          <w:tcPr>
            <w:tcW w:w="74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Third party fees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(5,134)</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Special cash distribution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(608,299)</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Payments for deferred financing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(586,509)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789,782</w:t>
            </w:r>
          </w:p>
        </w:tc>
        <w:tc>
          <w:tcPr>
            <w:tcW w:w="60" w:type="dxa"/>
            <w:vAlign w:val="bottom"/>
            <w:shd w:val="clear" w:color="auto" w:fill="CCEEFF"/>
          </w:tcPr>
          <w:p>
            <w:pPr>
              <w:spacing w:after="0"/>
              <w:rPr>
                <w:sz w:val="18"/>
                <w:szCs w:val="18"/>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(253,271)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(26,483)</w:t>
            </w: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308,013</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302,262</w:t>
            </w: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54,742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308,013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$ 302,262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accompanying condensed financial statements include only the accounts of Wynn Resorts, Limited (the “Company”). Investments in the Company’s subsidiaries are accounted for under the equity method.</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Notes Receivable and Payable to Subsidiaries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Group Asia, Inc.</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August 23, 2005, the Company loaned $80.0 million to Wynn Group Asia, Inc., a wholly-owned subsidiary of the Company, to fund a portion of the construction costs for “Wynn Macau,” the casino resort facility owned and operated by Wynn Resorts (Macau), S.A., another wholly-owned indirect subsidiary of the Company, in the Macau Special Administrative Region of the People’s Republic of China (“Macau”).</w:t>
      </w:r>
    </w:p>
    <w:p>
      <w:pPr>
        <w:spacing w:after="0" w:line="14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Interest on the note accrued at 7.5% per annum and was receivable semi-annually. During the years ended December 31, 2006 and 2005 the Company recorded approximately $6.0 million and $2.3 million in interest income related to this note. Unpaid principal and interest was scheduled for repayment on August 23, 2011. However, on November 1, 2006, the Company received approximately $81.1 million, representing Wynn Resorts (Macau), S.A.’s full repayment of principal and unpaid interest at that date.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Payable to Wynn Las Vegas, LLC</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August 15, 2005, the Company borrowed $80.0 million from its wholly-owned subsidiary, Wynn Las Vegas, LLC, to fund a portion of the construction costs for Wynn Macau (see “Note Receivable from Wynn Group Asia, Inc.,” above). Interest is payable semi-annually at 7.5% per annum. Unpaid principal and interest is due at maturity on August 15, 2012. No principal amounts are due for the next 5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years ended December 31, 2006 and 2005, the Company recorded approximately $6.0 million and $2.3 million in interest expense related to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4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is a holding company and, as a result, its ability to pay dividends is dependent on its subsidiaries’ ability to provide funds to it. Restrictions imposed by Wynn Las Vegas, LLC’s (a wholly-owned indirect subsidiary of the Company) debt instruments significantly restrict certain of the Company’s key subsidiaries holding a majority of the consolidated group’s total assets, including Wynn Las Vegas, LLC, from making dividends or distributions to the Company, subject to certain exceptions for affiliated overhead expenses defined in the agreements governing Wynn Las Vegas, LLC’s debt instruments, unless certain financial and non-financial criteria have been satisfied. In addition, except for allowing the special cash distribution of the proceeds of the sale of the subconcession right (see Note 14—Special Cash Distribution, in the Company’s consolidated financial statements included elsewhere in this Form 10-K), the terms of the loan agreements of Wynn Resorts (Macau), S.A. contain similar restrictions. The Company received a cash dividend of $30 million from Wynn Group Asia in November 2006. As of December 31, 2006, the Company has provided to the secured lender of its wholly owned subsidiary Wynn Las Vegas LLC, an equity commitment to contribute up to $70 million for Encore project costs if Wynn Las Vegas is unable to pay such costs.</w:t>
      </w:r>
    </w:p>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2003, the Company sold $250 million in aggregate principal amount of 6% Convertible Subordinated Debentures. These notes mature on July 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1"/>
              </w:rPr>
              <w:t>$ 15,812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2004</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564</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380" w:type="dxa"/>
            <w:vAlign w:val="bottom"/>
          </w:tcPr>
          <w:p>
            <w:pPr>
              <w:jc w:val="right"/>
              <w:ind w:right="392"/>
              <w:spacing w:after="0"/>
              <w:rPr>
                <w:sz w:val="20"/>
                <w:szCs w:val="20"/>
                <w:color w:val="auto"/>
              </w:rPr>
            </w:pPr>
            <w:r>
              <w:rPr>
                <w:rFonts w:ascii="Arial" w:cs="Arial" w:eastAsia="Arial" w:hAnsi="Arial"/>
                <w:sz w:val="18"/>
                <w:szCs w:val="18"/>
                <w:color w:val="auto"/>
              </w:rPr>
              <w:t>115</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hanging="36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  Exhibits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tcPr>
          <w:p>
            <w:pPr>
              <w:jc w:val="right"/>
              <w:ind w:right="174"/>
              <w:spacing w:after="0" w:line="148" w:lineRule="exact"/>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Second Amended and Restated Articles of Incorporation of the Registrant.(1)</w:t>
            </w:r>
          </w:p>
        </w:tc>
        <w:tc>
          <w:tcPr>
            <w:tcW w:w="0" w:type="dxa"/>
            <w:vAlign w:val="bottom"/>
          </w:tcPr>
          <w:p>
            <w:pPr>
              <w:spacing w:after="0"/>
              <w:rPr>
                <w:sz w:val="1"/>
                <w:szCs w:val="1"/>
                <w:color w:val="auto"/>
              </w:rPr>
            </w:pPr>
          </w:p>
        </w:tc>
      </w:tr>
      <w:tr>
        <w:trPr>
          <w:trHeight w:val="316"/>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Third Amended and Restated Bylaws of the Registrant, as amended.(2)</w:t>
            </w:r>
          </w:p>
        </w:tc>
        <w:tc>
          <w:tcPr>
            <w:tcW w:w="0" w:type="dxa"/>
            <w:vAlign w:val="bottom"/>
          </w:tcPr>
          <w:p>
            <w:pPr>
              <w:spacing w:after="0"/>
              <w:rPr>
                <w:sz w:val="1"/>
                <w:szCs w:val="1"/>
                <w:color w:val="auto"/>
              </w:rPr>
            </w:pP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Amendment to Bylaws of Wynn Resorts, Limited, dated November 13, 2006(38)</w:t>
            </w:r>
          </w:p>
        </w:tc>
        <w:tc>
          <w:tcPr>
            <w:tcW w:w="0" w:type="dxa"/>
            <w:vAlign w:val="bottom"/>
          </w:tcPr>
          <w:p>
            <w:pPr>
              <w:spacing w:after="0"/>
              <w:rPr>
                <w:sz w:val="1"/>
                <w:szCs w:val="1"/>
                <w:color w:val="auto"/>
              </w:rPr>
            </w:pP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Specimen certificate for shares of Common Stock, $0.01 par value per share of the Registrant.(1)</w:t>
            </w:r>
          </w:p>
        </w:tc>
        <w:tc>
          <w:tcPr>
            <w:tcW w:w="0" w:type="dxa"/>
            <w:vAlign w:val="bottom"/>
          </w:tcPr>
          <w:p>
            <w:pPr>
              <w:spacing w:after="0"/>
              <w:rPr>
                <w:sz w:val="1"/>
                <w:szCs w:val="1"/>
                <w:color w:val="auto"/>
              </w:rPr>
            </w:pPr>
          </w:p>
        </w:tc>
      </w:tr>
      <w:tr>
        <w:trPr>
          <w:trHeight w:val="318"/>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Indenture, dated as of July 7, 2003, governing the 6% Convertible Subordinated Debentures due 2015 by and among Wynn Resorts, Limited,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1"/>
              </w:rPr>
              <w:t>obligor, Wynn Resorts Funding, LLC, as guarantor and U.S. National Bank Association, as Trustee (including the Form of 6% Convertible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Subordinated Debenture due 2015 and Form of Notation of Guarantee).(4)</w:t>
            </w:r>
          </w:p>
        </w:tc>
        <w:tc>
          <w:tcPr>
            <w:tcW w:w="0" w:type="dxa"/>
            <w:vAlign w:val="bottom"/>
          </w:tcPr>
          <w:p>
            <w:pPr>
              <w:spacing w:after="0"/>
              <w:rPr>
                <w:sz w:val="1"/>
                <w:szCs w:val="1"/>
                <w:color w:val="auto"/>
              </w:rPr>
            </w:pPr>
          </w:p>
        </w:tc>
      </w:tr>
      <w:tr>
        <w:trPr>
          <w:trHeight w:val="318"/>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U.S. Bank National Association, as trustee.(5)</w:t>
            </w:r>
          </w:p>
        </w:tc>
        <w:tc>
          <w:tcPr>
            <w:tcW w:w="0" w:type="dxa"/>
            <w:vAlign w:val="bottom"/>
          </w:tcPr>
          <w:p>
            <w:pPr>
              <w:spacing w:after="0"/>
              <w:rPr>
                <w:sz w:val="1"/>
                <w:szCs w:val="1"/>
                <w:color w:val="auto"/>
              </w:rPr>
            </w:pPr>
          </w:p>
        </w:tc>
      </w:tr>
      <w:tr>
        <w:trPr>
          <w:trHeight w:val="318"/>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therein and U.S. Bank National Association, as trustee.(23)</w:t>
            </w:r>
          </w:p>
        </w:tc>
        <w:tc>
          <w:tcPr>
            <w:tcW w:w="0" w:type="dxa"/>
            <w:vAlign w:val="bottom"/>
          </w:tcPr>
          <w:p>
            <w:pPr>
              <w:spacing w:after="0"/>
              <w:rPr>
                <w:sz w:val="1"/>
                <w:szCs w:val="1"/>
                <w:color w:val="auto"/>
              </w:rPr>
            </w:pP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Agreement between Wynn Design &amp; Development, LLC and Butler/Ashworth Architects, Inc.(1)</w:t>
            </w:r>
          </w:p>
        </w:tc>
        <w:tc>
          <w:tcPr>
            <w:tcW w:w="0" w:type="dxa"/>
            <w:vAlign w:val="bottom"/>
          </w:tcPr>
          <w:p>
            <w:pPr>
              <w:spacing w:after="0"/>
              <w:rPr>
                <w:sz w:val="1"/>
                <w:szCs w:val="1"/>
                <w:color w:val="auto"/>
              </w:rPr>
            </w:pPr>
          </w:p>
        </w:tc>
      </w:tr>
      <w:tr>
        <w:trPr>
          <w:trHeight w:val="318"/>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Agreement for Guaranteed Maximum Price Construction Services between Wynn Las Vegas, LLC and Marnell Corrao Associates, Inc. for Le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Rêve.(8)</w:t>
            </w:r>
          </w:p>
        </w:tc>
        <w:tc>
          <w:tcPr>
            <w:tcW w:w="0" w:type="dxa"/>
            <w:vAlign w:val="bottom"/>
          </w:tcPr>
          <w:p>
            <w:pPr>
              <w:spacing w:after="0"/>
              <w:rPr>
                <w:sz w:val="1"/>
                <w:szCs w:val="1"/>
                <w:color w:val="auto"/>
              </w:rPr>
            </w:pPr>
          </w:p>
        </w:tc>
      </w:tr>
      <w:tr>
        <w:trPr>
          <w:trHeight w:val="318"/>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Change Order No. 1 to Agreement for Guaranteed Maximum Price Construction Services dated as of August 12, 2002, by and between Marnell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Corrao Associates, Inc. as Contractor and Wynn Las Vegas, LLC.(9)</w:t>
            </w:r>
          </w:p>
        </w:tc>
        <w:tc>
          <w:tcPr>
            <w:tcW w:w="0" w:type="dxa"/>
            <w:vAlign w:val="bottom"/>
          </w:tcPr>
          <w:p>
            <w:pPr>
              <w:spacing w:after="0"/>
              <w:rPr>
                <w:sz w:val="1"/>
                <w:szCs w:val="1"/>
                <w:color w:val="auto"/>
              </w:rPr>
            </w:pPr>
          </w:p>
        </w:tc>
      </w:tr>
      <w:tr>
        <w:trPr>
          <w:trHeight w:val="318"/>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Change Order No. 2 to Agreement for Guarantee Maximum Price Construction Services, dated as of August 31, 2003, by and between Marnell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Corrao Associates, Inc. as Contractor and Wynn Las Vegas, LLC.(10)</w:t>
            </w:r>
          </w:p>
        </w:tc>
        <w:tc>
          <w:tcPr>
            <w:tcW w:w="0" w:type="dxa"/>
            <w:vAlign w:val="bottom"/>
          </w:tcPr>
          <w:p>
            <w:pPr>
              <w:spacing w:after="0"/>
              <w:rPr>
                <w:sz w:val="1"/>
                <w:szCs w:val="1"/>
                <w:color w:val="auto"/>
              </w:rPr>
            </w:pPr>
          </w:p>
        </w:tc>
      </w:tr>
      <w:tr>
        <w:trPr>
          <w:trHeight w:val="318"/>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Change Order No. 3 to Agreement for Guarantee Maximum Price Construction Services, dated as of March 31, 2004, by and between Marnell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Corrao Associates, Inc. as Contractor and Wynn Las Vegas.(11)</w:t>
            </w:r>
          </w:p>
        </w:tc>
        <w:tc>
          <w:tcPr>
            <w:tcW w:w="0" w:type="dxa"/>
            <w:vAlign w:val="bottom"/>
          </w:tcPr>
          <w:p>
            <w:pPr>
              <w:spacing w:after="0"/>
              <w:rPr>
                <w:sz w:val="1"/>
                <w:szCs w:val="1"/>
                <w:color w:val="auto"/>
              </w:rPr>
            </w:pPr>
          </w:p>
        </w:tc>
      </w:tr>
      <w:tr>
        <w:trPr>
          <w:trHeight w:val="277"/>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Change Order No. 4 to Agreement for Guarantee Maximum Price Construction Services, dated as of June 30, 2004, by and between Marnell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Corrao Associates, Inc. as Contractor and Wynn Las Vegas.(12)</w:t>
            </w:r>
          </w:p>
        </w:tc>
        <w:tc>
          <w:tcPr>
            <w:tcW w:w="0" w:type="dxa"/>
            <w:vAlign w:val="bottom"/>
          </w:tcPr>
          <w:p>
            <w:pPr>
              <w:spacing w:after="0"/>
              <w:rPr>
                <w:sz w:val="1"/>
                <w:szCs w:val="1"/>
                <w:color w:val="auto"/>
              </w:rPr>
            </w:pPr>
          </w:p>
        </w:tc>
      </w:tr>
      <w:tr>
        <w:trPr>
          <w:trHeight w:val="277"/>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Change Order No. 5 to Agreement for Guarantee Maximum Price Construction Services, dated as of August 30, 2004, by and between Marnell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Corrao Associates, Inc. and Wynn Las Vegas, LLC.(13)</w:t>
            </w:r>
          </w:p>
        </w:tc>
        <w:tc>
          <w:tcPr>
            <w:tcW w:w="0" w:type="dxa"/>
            <w:vAlign w:val="bottom"/>
          </w:tcPr>
          <w:p>
            <w:pPr>
              <w:spacing w:after="0"/>
              <w:rPr>
                <w:sz w:val="1"/>
                <w:szCs w:val="1"/>
                <w:color w:val="auto"/>
              </w:rPr>
            </w:pPr>
          </w:p>
        </w:tc>
      </w:tr>
      <w:tr>
        <w:trPr>
          <w:trHeight w:val="277"/>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Change Order No. 6 to Agreement for Guarantee Maximum Price Construction Services, dated as of November 30, 2004, by and between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Marnell Corrao Associates, Inc. and Wynn Las Vegas, LLC.(20)</w:t>
            </w:r>
          </w:p>
        </w:tc>
        <w:tc>
          <w:tcPr>
            <w:tcW w:w="0" w:type="dxa"/>
            <w:vAlign w:val="bottom"/>
          </w:tcPr>
          <w:p>
            <w:pPr>
              <w:spacing w:after="0"/>
              <w:rPr>
                <w:sz w:val="1"/>
                <w:szCs w:val="1"/>
                <w:color w:val="auto"/>
              </w:rPr>
            </w:pPr>
          </w:p>
        </w:tc>
      </w:tr>
      <w:tr>
        <w:trPr>
          <w:trHeight w:val="277"/>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Change Order No. 7 to Agreement for Guarantee Maximum Price Construction Services, dated as of December 30, 2004, by and between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Marnell Corrao Associates, Inc. and Wynn Las Vegas, LLC.(20)</w:t>
            </w:r>
          </w:p>
        </w:tc>
        <w:tc>
          <w:tcPr>
            <w:tcW w:w="0" w:type="dxa"/>
            <w:vAlign w:val="bottom"/>
          </w:tcPr>
          <w:p>
            <w:pPr>
              <w:spacing w:after="0"/>
              <w:rPr>
                <w:sz w:val="1"/>
                <w:szCs w:val="1"/>
                <w:color w:val="auto"/>
              </w:rPr>
            </w:pPr>
          </w:p>
        </w:tc>
      </w:tr>
      <w:tr>
        <w:trPr>
          <w:trHeight w:val="277"/>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Change Order No. 8 to Agreement for Guarantee Maximum Price Construction Services, dated as of May 31, 2005, by and between Marnell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Corrao Associates, Inc. and Wynn Las Vegas, LLC.(29)</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720" w:type="dxa"/>
            <w:vAlign w:val="bottom"/>
            <w:tcBorders>
              <w:bottom w:val="single" w:sz="8" w:color="auto"/>
            </w:tcBorders>
          </w:tcPr>
          <w:p>
            <w:pPr>
              <w:jc w:val="right"/>
              <w:ind w:right="175"/>
              <w:spacing w:after="0" w:line="148" w:lineRule="exact"/>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3"/>
                <w:szCs w:val="13"/>
                <w:color w:val="auto"/>
              </w:rPr>
            </w:pPr>
          </w:p>
        </w:tc>
        <w:tc>
          <w:tcPr>
            <w:tcW w:w="10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20" w:type="dxa"/>
            <w:vAlign w:val="bottom"/>
          </w:tcPr>
          <w:p>
            <w:pPr>
              <w:jc w:val="right"/>
              <w:ind w:right="155"/>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Change Order No. 9 to Agreement for Guarantee Maximum Price Construction Services, dated as of July 20, 2005, by and between Marnell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Corrao Associates, Inc. and Wynn Las Vegas, LLC.(29)</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Change Order No. 10 to Agreement for Guarantee Maximum Price Construction Services, dated as of July 20, 2005, by and between Marnell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Corrao Associates, Inc. and Wynn Las Vegas, LLC.(29)</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Change Order No. 11 to Agreement for Guarantee Maximum Price Construction Services, dated as of June 7, 2006, by and between Marnell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Corrao Associates, Inc. as Contractor and Wynn Las Vegas, LLC.(32)</w:t>
            </w:r>
          </w:p>
        </w:tc>
        <w:tc>
          <w:tcPr>
            <w:tcW w:w="0" w:type="dxa"/>
            <w:vAlign w:val="bottom"/>
          </w:tcPr>
          <w:p>
            <w:pPr>
              <w:spacing w:after="0"/>
              <w:rPr>
                <w:sz w:val="1"/>
                <w:szCs w:val="1"/>
                <w:color w:val="auto"/>
              </w:rPr>
            </w:pPr>
          </w:p>
        </w:tc>
      </w:tr>
      <w:tr>
        <w:trPr>
          <w:trHeight w:val="324"/>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10.14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Continuing Guaranty, dated October 22, 2002, by Austi, Inc. in favor of Wynn Las Vegas, LLC.(3)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Amended and Restated Design-Build Agreement for Guaranteed Maximum Price Architectural, Engineering and Construction Services, dated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89"/>
              </w:rPr>
              <w:t>of September 14, 2005, between Wynn Resorts (Macau), S.A. as Owner and Leighton Contractors (Asia)—Limited, China State Construction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0"/>
              </w:rPr>
              <w:t>Engineering (Hong Kong) Limited, and China Construction Engineering (Macau) Company Limited, jointly and severally, the Contractor.(25)</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10.16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Change Order No. 1 to Agreement for Guarantee Maximum Price Construction Services, dated as of May 25, 2006, by and between Leighton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4"/>
              </w:rPr>
              <w:t>Contractors (Asia) Limited, China State Construction Engineering (Hong Kong) Limited, and China Construction Engineering (Macau)</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Company Limited as Contractors and Wynn Resorts (Macau) S.A.(32)</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10.17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Change Order No. 2 to Agreement for Guarantee Maximum Price Construction Services, dated as of May 25, 2006, by and between Leighton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4"/>
              </w:rPr>
              <w:t>Contractors (Asia) Limited, China State Construction Engineering (Hong Kong) Limited, and China Construction Engineering (Macau)</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Company Limited as Contractors and Wynn Resorts (Macau) S.A.(32)</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10.18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Change Order No. 3 to Agreement for Guarantee Maximum Price Construction Services, dated as of May 25, 2006, by and between Leighton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4"/>
              </w:rPr>
              <w:t>Contractors (Asia) Limited, China State Construction Engineering (Hong Kong) Limited, and China Construction Engineering (Macau)</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Company Limited as Contractors and Wynn Resorts (Macau) S.A.(32)</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10.19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the Bank Agent, and U.S. Bank National Association, as Indenture Trustee.(20)</w:t>
            </w:r>
          </w:p>
        </w:tc>
        <w:tc>
          <w:tcPr>
            <w:tcW w:w="0" w:type="dxa"/>
            <w:vAlign w:val="bottom"/>
          </w:tcPr>
          <w:p>
            <w:pPr>
              <w:spacing w:after="0"/>
              <w:rPr>
                <w:sz w:val="1"/>
                <w:szCs w:val="1"/>
                <w:color w:val="auto"/>
              </w:rPr>
            </w:pPr>
          </w:p>
        </w:tc>
      </w:tr>
      <w:tr>
        <w:trPr>
          <w:trHeight w:val="324"/>
        </w:trPr>
        <w:tc>
          <w:tcPr>
            <w:tcW w:w="720" w:type="dxa"/>
            <w:vAlign w:val="bottom"/>
          </w:tcPr>
          <w:p>
            <w:pPr>
              <w:jc w:val="right"/>
              <w:ind w:right="135"/>
              <w:spacing w:after="0"/>
              <w:rPr>
                <w:sz w:val="20"/>
                <w:szCs w:val="20"/>
                <w:color w:val="auto"/>
              </w:rPr>
            </w:pPr>
            <w:r>
              <w:rPr>
                <w:rFonts w:ascii="Arial" w:cs="Arial" w:eastAsia="Arial" w:hAnsi="Arial"/>
                <w:sz w:val="18"/>
                <w:szCs w:val="18"/>
                <w:color w:val="auto"/>
                <w:w w:val="92"/>
              </w:rPr>
              <w:t>*10.20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 Wynn.(1)</w:t>
            </w:r>
          </w:p>
        </w:tc>
        <w:tc>
          <w:tcPr>
            <w:tcW w:w="0" w:type="dxa"/>
            <w:vAlign w:val="bottom"/>
          </w:tcPr>
          <w:p>
            <w:pPr>
              <w:spacing w:after="0"/>
              <w:rPr>
                <w:sz w:val="1"/>
                <w:szCs w:val="1"/>
                <w:color w:val="auto"/>
              </w:rPr>
            </w:pPr>
          </w:p>
        </w:tc>
      </w:tr>
      <w:tr>
        <w:trPr>
          <w:trHeight w:val="324"/>
        </w:trPr>
        <w:tc>
          <w:tcPr>
            <w:tcW w:w="720" w:type="dxa"/>
            <w:vAlign w:val="bottom"/>
          </w:tcPr>
          <w:p>
            <w:pPr>
              <w:jc w:val="right"/>
              <w:ind w:right="135"/>
              <w:spacing w:after="0"/>
              <w:rPr>
                <w:sz w:val="20"/>
                <w:szCs w:val="20"/>
                <w:color w:val="auto"/>
              </w:rPr>
            </w:pPr>
            <w:r>
              <w:rPr>
                <w:rFonts w:ascii="Arial" w:cs="Arial" w:eastAsia="Arial" w:hAnsi="Arial"/>
                <w:sz w:val="18"/>
                <w:szCs w:val="18"/>
                <w:color w:val="auto"/>
                <w:w w:val="92"/>
              </w:rPr>
              <w:t>*10.21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First Amendment to Employment Agreement, dated as of August 6, 2004, by and between Stephen A. Wynn and Wynn Resorts, Limited.(13)</w:t>
            </w:r>
          </w:p>
        </w:tc>
        <w:tc>
          <w:tcPr>
            <w:tcW w:w="0" w:type="dxa"/>
            <w:vAlign w:val="bottom"/>
          </w:tcPr>
          <w:p>
            <w:pPr>
              <w:spacing w:after="0"/>
              <w:rPr>
                <w:sz w:val="1"/>
                <w:szCs w:val="1"/>
                <w:color w:val="auto"/>
              </w:rPr>
            </w:pPr>
          </w:p>
        </w:tc>
      </w:tr>
      <w:tr>
        <w:trPr>
          <w:trHeight w:val="324"/>
        </w:trPr>
        <w:tc>
          <w:tcPr>
            <w:tcW w:w="720" w:type="dxa"/>
            <w:vAlign w:val="bottom"/>
          </w:tcPr>
          <w:p>
            <w:pPr>
              <w:jc w:val="right"/>
              <w:ind w:right="135"/>
              <w:spacing w:after="0"/>
              <w:rPr>
                <w:sz w:val="20"/>
                <w:szCs w:val="20"/>
                <w:color w:val="auto"/>
              </w:rPr>
            </w:pPr>
            <w:r>
              <w:rPr>
                <w:rFonts w:ascii="Arial" w:cs="Arial" w:eastAsia="Arial" w:hAnsi="Arial"/>
                <w:sz w:val="18"/>
                <w:szCs w:val="18"/>
                <w:color w:val="auto"/>
                <w:w w:val="92"/>
              </w:rPr>
              <w:t>*10.22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dated as of October 4, 2002, by and between Wynn Resorts, Limited and Marc D. Schorr.(16)</w:t>
            </w:r>
          </w:p>
        </w:tc>
        <w:tc>
          <w:tcPr>
            <w:tcW w:w="0" w:type="dxa"/>
            <w:vAlign w:val="bottom"/>
          </w:tcPr>
          <w:p>
            <w:pPr>
              <w:spacing w:after="0"/>
              <w:rPr>
                <w:sz w:val="1"/>
                <w:szCs w:val="1"/>
                <w:color w:val="auto"/>
              </w:rPr>
            </w:pPr>
          </w:p>
        </w:tc>
      </w:tr>
      <w:tr>
        <w:trPr>
          <w:trHeight w:val="324"/>
        </w:trPr>
        <w:tc>
          <w:tcPr>
            <w:tcW w:w="720" w:type="dxa"/>
            <w:vAlign w:val="bottom"/>
          </w:tcPr>
          <w:p>
            <w:pPr>
              <w:jc w:val="right"/>
              <w:ind w:right="135"/>
              <w:spacing w:after="0"/>
              <w:rPr>
                <w:sz w:val="20"/>
                <w:szCs w:val="20"/>
                <w:color w:val="auto"/>
              </w:rPr>
            </w:pPr>
            <w:r>
              <w:rPr>
                <w:rFonts w:ascii="Arial" w:cs="Arial" w:eastAsia="Arial" w:hAnsi="Arial"/>
                <w:sz w:val="18"/>
                <w:szCs w:val="18"/>
                <w:color w:val="auto"/>
                <w:w w:val="92"/>
              </w:rPr>
              <w:t>*10.23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dated as of April 1, 2003, by and between Wynn Resorts, Limited and Ronald J. Kramer.(14)</w:t>
            </w:r>
          </w:p>
        </w:tc>
        <w:tc>
          <w:tcPr>
            <w:tcW w:w="0" w:type="dxa"/>
            <w:vAlign w:val="bottom"/>
          </w:tcPr>
          <w:p>
            <w:pPr>
              <w:spacing w:after="0"/>
              <w:rPr>
                <w:sz w:val="1"/>
                <w:szCs w:val="1"/>
                <w:color w:val="auto"/>
              </w:rPr>
            </w:pPr>
          </w:p>
        </w:tc>
      </w:tr>
      <w:tr>
        <w:trPr>
          <w:trHeight w:val="324"/>
        </w:trPr>
        <w:tc>
          <w:tcPr>
            <w:tcW w:w="720" w:type="dxa"/>
            <w:vAlign w:val="bottom"/>
          </w:tcPr>
          <w:p>
            <w:pPr>
              <w:jc w:val="right"/>
              <w:ind w:right="135"/>
              <w:spacing w:after="0"/>
              <w:rPr>
                <w:sz w:val="20"/>
                <w:szCs w:val="20"/>
                <w:color w:val="auto"/>
              </w:rPr>
            </w:pPr>
            <w:r>
              <w:rPr>
                <w:rFonts w:ascii="Arial" w:cs="Arial" w:eastAsia="Arial" w:hAnsi="Arial"/>
                <w:sz w:val="18"/>
                <w:szCs w:val="18"/>
                <w:color w:val="auto"/>
                <w:w w:val="92"/>
              </w:rPr>
              <w:t>*10.24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dated as of July 18, 2003, by and between Wynn Resorts (Macau), S.A. and Grant Bowie.(21)</w:t>
            </w:r>
          </w:p>
        </w:tc>
        <w:tc>
          <w:tcPr>
            <w:tcW w:w="0" w:type="dxa"/>
            <w:vAlign w:val="bottom"/>
          </w:tcPr>
          <w:p>
            <w:pPr>
              <w:spacing w:after="0"/>
              <w:rPr>
                <w:sz w:val="1"/>
                <w:szCs w:val="1"/>
                <w:color w:val="auto"/>
              </w:rPr>
            </w:pPr>
          </w:p>
        </w:tc>
      </w:tr>
      <w:tr>
        <w:trPr>
          <w:trHeight w:val="324"/>
        </w:trPr>
        <w:tc>
          <w:tcPr>
            <w:tcW w:w="720" w:type="dxa"/>
            <w:vAlign w:val="bottom"/>
          </w:tcPr>
          <w:p>
            <w:pPr>
              <w:jc w:val="right"/>
              <w:ind w:right="135"/>
              <w:spacing w:after="0"/>
              <w:rPr>
                <w:sz w:val="20"/>
                <w:szCs w:val="20"/>
                <w:color w:val="auto"/>
              </w:rPr>
            </w:pPr>
            <w:r>
              <w:rPr>
                <w:rFonts w:ascii="Arial" w:cs="Arial" w:eastAsia="Arial" w:hAnsi="Arial"/>
                <w:sz w:val="18"/>
                <w:szCs w:val="18"/>
                <w:color w:val="auto"/>
                <w:w w:val="92"/>
              </w:rPr>
              <w:t>*10.25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dated as of August 31, 2005, between Wynn Resorts, Limited and John Strzemp.(26)</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720" w:type="dxa"/>
            <w:vAlign w:val="bottom"/>
            <w:tcBorders>
              <w:bottom w:val="single" w:sz="8" w:color="auto"/>
            </w:tcBorders>
          </w:tcPr>
          <w:p>
            <w:pPr>
              <w:jc w:val="right"/>
              <w:ind w:right="174"/>
              <w:spacing w:after="0" w:line="148" w:lineRule="exact"/>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3"/>
                <w:szCs w:val="13"/>
                <w:color w:val="auto"/>
              </w:rPr>
            </w:pPr>
          </w:p>
        </w:tc>
        <w:tc>
          <w:tcPr>
            <w:tcW w:w="10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10.26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Tax Indemnification Agreement, effective as of September 24, 2002, by and among Stephen A. Wynn, Aruze USA, Inc., Baron Asset Fun 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0"/>
              </w:rPr>
              <w:t>behalf of the Baron Asset Fund Series, Baron Asset Fund on behalf of the Baron Growth Fund Series, Kenneth R. Wynn Family Trust dated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February 20, 1985, Valvino Lamore, LLC and Wynn Resorts, Limited.(1)</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w w:val="92"/>
              </w:rPr>
              <w:t>*10.27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2002 Stock Incentive Plan.(3)</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w w:val="92"/>
              </w:rPr>
              <w:t>*10.28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Stock Option Agreement.(17)</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w w:val="92"/>
              </w:rPr>
              <w:t>*10.29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Stock Option Grant Notice.(16)</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w w:val="92"/>
              </w:rPr>
              <w:t>*10.30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Restricted Stock Agreement.(16)</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w w:val="92"/>
              </w:rPr>
              <w:t>*10.31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Indemnity Agreement.(16)</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10.32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Stockholders Agreement, dated as of April 11, 2002, by and among Stephen A. Wynn, Baron Asset Fund and Aruze USA, Inc.(8)</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10.33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Amendment to Stockholders Agreement as of November 8, 2006.(38)</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10.34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Amended and Restated Shareholders Agreement, dated as of September 16, 2004 by and among Wynn Resorts (Macau), Ltd., Wong Chi Seng</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and Wynn Resorts (Macau), S.A.(13)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10.35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Concession Contract for the Operation of Games of Chance or Other Games in Casinos in the Macau Special Administrative Region, dated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88"/>
              </w:rPr>
              <w:t>June 24, 2002, between the Macau Special Administrative Region and Wynn Resorts (Macau), S.A. (English translation of Portuguese version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of Concession Agreement).(9)</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10.36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Concession Contract for Operating Casino Gaming or Other Forms of Gaming in the Macao Special Administrative Region, dated June 24, 2002,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1"/>
              </w:rPr>
              <w:t>between the Macau Special Administrative Region and Wynn Resorts (Macau) S.A. (English translation of Chinese version of Concession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Agreement).(15)</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10.37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Unofficial English translation of Land Concession Contract between the Macau Special Administrative Region and Wynn Resorts (Macau) S.A.</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10.38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Agreement, dated as of June 13, 2002, by and between Stephen A. Wynn and Wynn Resorts, Limited.(9)</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10.39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Surname Rights Agreement, dated as of August 6, 2004, by and between Stephen A. Wynn and Wynn Resorts Holdings, LLC.(13)</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Rights of Publicity License, dated as of August 6, 2004, by and between Stephen A. Wynn and Wynn Resorts Holdings, LLC.(13)</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Termination Agreement, dated as of August 6, 2004, by and between Stephen A. Wynn and Valvino Lamore, LLC.(13)</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Trademark Assignment, dated as of August 6, 2004, by and between Stephen A. Wynn and Wynn Resorts Holdings, LLC.(13)</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Rights Agreement, dated October 30, 2002, by and between the Registrant and Stephen A. Wynn.(3)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Registration Rights Agreement, dated as of June 12, 2003, by and between Wynn Resorts, Limited and Societe des Bains de Mer et du Cercle des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Etrangers a Monaco.(6)</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Registration Rights Agreement, dated as of July 7, 2003, by and among Wynn Resorts, Limited, Wynn Resorts Funding, LLC, Deutsche Bank</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Securities Inc. and SG Cowen Securities Corporation.(4)</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720" w:type="dxa"/>
            <w:vAlign w:val="bottom"/>
            <w:tcBorders>
              <w:bottom w:val="single" w:sz="8" w:color="auto"/>
            </w:tcBorders>
          </w:tcPr>
          <w:p>
            <w:pPr>
              <w:jc w:val="right"/>
              <w:ind w:right="174"/>
              <w:spacing w:after="0" w:line="148" w:lineRule="exact"/>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3"/>
                <w:szCs w:val="13"/>
                <w:color w:val="auto"/>
              </w:rPr>
            </w:pPr>
          </w:p>
        </w:tc>
        <w:tc>
          <w:tcPr>
            <w:tcW w:w="10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Registration Rights Agreement, dated as of August 28, 2004, by and between S.H.W. &amp; Co. Limited and Wynn Resorts, Limited.(7)</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Registration Rights Agreement, dated as of September 1, 2004, by and between Classic Wave Limited and Wynn Resorts, Limited.(7)</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Registration Rights Agreement, dated as of September 1, 2004, by and between L’Arc de Triomphe Limited and Wynn Resorts, Limited.(7)</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10.49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Rights Agreement, dated as of September 1, 2004, by and between SKKG Limited and Wynn Resorts, Limited.(7)</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1"/>
              </w:rPr>
              <w:t>Guarantor signatories thereto and Deutsche Bank Securities Inc., Banc of America Securities LLC, Bear, Stearns &amp; Co. Inc., J.P. Morgan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Securities Inc. and SG Americas Securities, LLC.(20)</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10.51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Pledge and Security Agreement, dated as of July 7, 2003, by and between Wynn Resorts, Limited, as pledgor, and U.S. Bank National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Association, as trustee and collateral agent.(4)</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10.52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Collateral Pledge and Security Agreement, dated as of July 7, 2003, by and between Wynn Resorts Funding, LLC, as the pledgor, and U.S. Bank</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National Association, as collateral agent and trustee.(4)</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10.53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Supplement No. 1, dated as of July 30, 2003, to the Collateral Pledge and Security Agreement dated as of July 7, 2003, by and between Wynn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Resorts Funding, LLC, as pledgor and U.S. Bank National Association, as collateral agent and trustee.(4)</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10.54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Acknowledgement and Agreement, dated as of September 1, 2004, among Wynn Las Vegas, LLC, Wells Fargo Bank, National Association and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the lenders named therein.(18)</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10.55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Common Terms Agreement, dated as of September 14, 2004, among Wynn Resorts (Macau), S.A., certain financial institutions as Hotel Facility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0"/>
              </w:rPr>
              <w:t>Lenders, Project Facility Lenders and Revolving Credit Facility Lenders, Deutsche Bank AG, Hong Kong Branch and Societe Generale Asia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7"/>
              </w:rPr>
              <w:t>Limited as Global Coordinating Lead Arrangers and Societe Generale Asia Limited as Hotel Facility Agent, Project Facility Agent,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Intercreditor Agent and Security Agent.(13)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10.56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Hotel Facility Agreement, dated as of September 14, 2004, among Wynn Resorts (Macau), S.A., Societe Generale Asia Limited as Hotel Facility</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Agent and the several Hotel Facility Lenders named therein.(13)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10.57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Hotel Facility Agreement Amendment Agreement, dated as of September 14, 2005, between Wynn Resorts (Macau), S.A. as Company, Societe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Generale Asia Limited, as Hotel Facility Agent and Certain Financial Institutions as Hotel Facility Lenders.(25)</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10.58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Project Facility Agreement, dated as of September 14, 2004, among Wynn Resorts (Macau), S.A., Societe Generale Asia Limited as Project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Facility Agent and the several Project Facility Lenders named therein.(13)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10.59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Project Facility Agreement Amendment Agreement, dated as of September 14, 2005, between Wynn Resorts (Macau), S.A. as Company, Societe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Generale Asia Limited, as Project Facility Agent and Certain Financial Institutions as Project Facility Lenders.(25)</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10.60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Revolving Credit Facility Agreement, dated as of September 14, 2004, among Wynn Resorts (Macau), S.A. and the several Revolving Credit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Facility Lenders named therein.(13)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10.61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Revolving Credit Facility Agreement Amendment Agreement, dated as of September 14, 2005, between Wynn Resorts (Macau), S.A. as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Company and Certain Financial Institutions as Revolving Credit Facility Lenders.(25)</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720" w:type="dxa"/>
            <w:vAlign w:val="bottom"/>
            <w:tcBorders>
              <w:bottom w:val="single" w:sz="8" w:color="auto"/>
            </w:tcBorders>
          </w:tcPr>
          <w:p>
            <w:pPr>
              <w:jc w:val="right"/>
              <w:ind w:right="175"/>
              <w:spacing w:after="0" w:line="148" w:lineRule="exact"/>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3"/>
                <w:szCs w:val="13"/>
                <w:color w:val="auto"/>
              </w:rPr>
            </w:pPr>
          </w:p>
        </w:tc>
        <w:tc>
          <w:tcPr>
            <w:tcW w:w="10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10.62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Deed of Appointment and Priority, dated as of September 14, 2004, among Wynn Resorts (Macau), S.A., certain financial institutions as Original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4"/>
              </w:rPr>
              <w:t>First Ranking Lenders, Banco Nacional Ultramarino, S.A. as Second Ranking Finance Party, Wynn Group Asia, Inc. as Third Ranking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2"/>
              </w:rPr>
              <w:t>Finance Party, Societe Generale -Hong Kong Branch as Security Agent, Societe Generale Asia Limited as Intercreditor Agent and Hotel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Facility Agent and Project Facility Agent and others.(13)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10.63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Floating Charge (unofficial English Translation), dated September 14, 2004 between Wynn Resorts (Macau), S.A. and Societe Generale, Hong</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Kong Branch as the Security Agent.(13)</w:t>
            </w:r>
          </w:p>
        </w:tc>
        <w:tc>
          <w:tcPr>
            <w:tcW w:w="0" w:type="dxa"/>
            <w:vAlign w:val="bottom"/>
          </w:tcPr>
          <w:p>
            <w:pPr>
              <w:spacing w:after="0"/>
              <w:rPr>
                <w:sz w:val="1"/>
                <w:szCs w:val="1"/>
                <w:color w:val="auto"/>
              </w:rPr>
            </w:pPr>
          </w:p>
        </w:tc>
      </w:tr>
      <w:tr>
        <w:trPr>
          <w:trHeight w:val="324"/>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10.64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Debenture, dated September 14, 2004 between Wynn Resorts (Macau), S.A. and Societe Generale, Hong Kong Branch as the Security Agent.(13)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10.65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Wynn Resorts Support Agreement, dated September 14, 2004 between Wynn Resorts, Limited, Wynn Resorts (Macau), S.A. and Societe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Generale, Hong Kong Branch as the Security Agent.(13)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10.66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Wynn Pledgors’ Guarantee, dated September 14, 2004 between Wynn Group Asia, Inc., Wynn Resorts International, Ltd., Wynn Resorts (Macau)</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5"/>
              </w:rPr>
              <w:t>Holdings, Ltd. and Wynn Resorts (Macau), Ltd. as Guarantors; and Societe Generale, Hong Kong Branch as the Security Agent.(13)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10.67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Sponsors’ Subordination Deed, dated September 14, 2004 between Wynn Resorts (Macau), S.A., Wynn Group Asia, Inc., Wynn Resorts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1"/>
              </w:rPr>
              <w:t>International, Ltd., Wynn Resorts (Macau) Holdings, Ltd. and Wynn Resorts (Macau), Ltd. as the Wynn Companies and Societe Generale,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Hong Kong Branch as the Security Agent.(13)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10.68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Bank Guarantee Reimbursement Agreement, dated September 14, 2004, between Wynn Resorts (Macau), S.A. and Banco Nacional Ultramarino.</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10.69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Common Terms Agreement Amendment Agreement, dated as of September 14, 2005, between Wynn Resorts (Macau), S.A. as the Company,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9"/>
              </w:rPr>
              <w:t>Certain Financial Institutions as Hotel Facility Lenders, Project Facility Lenders, Revolving Credit Facility Lenders and Hedging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2"/>
              </w:rPr>
              <w:t>Counterparties, Bank of America Securities Asia Limited, Deutsche Bank AG, Hong Kong Branch and Societe Generale Asia Limited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2"/>
              </w:rPr>
              <w:t>Global Coordinating Lead Arrangers, Societe Generale Asia Limited as Hotel Facility Agent and Project Facility Agent, Societe Generale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Asia Limited as Intercreditor Agent, and Societe Generale, Hong Kong Branch as Security Agent.(25)</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10.70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Wynn Resorts Support Agreement Deed of Amendment, dated as of September 14, 2005, between Wynn Resorts (Macau), S.A. and Societe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Generale, Hong Kong Branch as Security Agent.(25)</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10.71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Deed of Appointment and Priority Deed of Amendment, dated as of September 14, 2005, between Wynn Resorts (Macau), S.A. as Company,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2"/>
              </w:rPr>
              <w:t>Certain Financial Institutions as Original First Ranking Lenders, Certain Financial Institutions as Original Hedging Counterparties, Banco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89"/>
              </w:rPr>
              <w:t>Nacional Ultramarino, S.A. as Second Ranking Finance Party, Wynn Group Asia, Inc. as Third Ranking Finance Party, Societe Generale Asia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0"/>
              </w:rPr>
              <w:t>Limited as Security Agent, Societe Generale Asia Limited as Intercreditor Agent , Societe Generale Asia Limited as Hotel Facility Agent and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Project Facility Agent, and Others.(25)</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10.72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Las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89"/>
              </w:rPr>
              <w:t>Vegas, LLC, as trustor, to Nevada Title Company, as trustee, for the benefit of Deutsche Bank Trust Company Americas, as collateral agent.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10.73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Deed of Trust, Assignment of Rents and Leases, Security Agreement and Fixture Filing, dated as of December 14, 2004, made by Wynn Sunrise,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2"/>
              </w:rPr>
              <w:t>LLC, as trustor, to Nevada Title Company, as trustee, for the benefit of Deutsche Bank Trust Company Americas, as collateral agent.(20)</w:t>
            </w:r>
          </w:p>
        </w:tc>
        <w:tc>
          <w:tcPr>
            <w:tcW w:w="0" w:type="dxa"/>
            <w:vAlign w:val="bottom"/>
          </w:tcPr>
          <w:p>
            <w:pPr>
              <w:spacing w:after="0"/>
              <w:rPr>
                <w:sz w:val="1"/>
                <w:szCs w:val="1"/>
                <w:color w:val="auto"/>
              </w:rPr>
            </w:pPr>
          </w:p>
        </w:tc>
      </w:tr>
      <w:tr>
        <w:trPr>
          <w:trHeight w:val="318"/>
        </w:trPr>
        <w:tc>
          <w:tcPr>
            <w:tcW w:w="720" w:type="dxa"/>
            <w:vAlign w:val="bottom"/>
          </w:tcPr>
          <w:p>
            <w:pPr>
              <w:jc w:val="right"/>
              <w:ind w:right="135"/>
              <w:spacing w:after="0"/>
              <w:rPr>
                <w:sz w:val="20"/>
                <w:szCs w:val="20"/>
                <w:color w:val="auto"/>
              </w:rPr>
            </w:pPr>
            <w:r>
              <w:rPr>
                <w:rFonts w:ascii="Arial" w:cs="Arial" w:eastAsia="Arial" w:hAnsi="Arial"/>
                <w:sz w:val="18"/>
                <w:szCs w:val="18"/>
                <w:color w:val="auto"/>
              </w:rPr>
              <w:t>10.74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Deed of Trust, Assignment of Rents and Leases, Security Agreement and Fixture Filing, dated as of December 14, 2004, made by Wynn Golf,</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2"/>
              </w:rPr>
              <w:t>LLC, as trustor, to Nevada Title Company, as trustee, for the benefit of Deutsche Bank Trust Company Americas, as collateral agent.(20)</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0260" w:type="dxa"/>
            <w:vAlign w:val="bottom"/>
            <w:gridSpan w:val="3"/>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720" w:type="dxa"/>
            <w:vAlign w:val="bottom"/>
            <w:tcBorders>
              <w:bottom w:val="single" w:sz="8" w:color="auto"/>
            </w:tcBorders>
          </w:tcPr>
          <w:p>
            <w:pPr>
              <w:jc w:val="right"/>
              <w:ind w:right="174"/>
              <w:spacing w:after="0" w:line="148" w:lineRule="exact"/>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3"/>
                <w:szCs w:val="13"/>
                <w:color w:val="auto"/>
              </w:rPr>
            </w:pPr>
          </w:p>
        </w:tc>
        <w:tc>
          <w:tcPr>
            <w:tcW w:w="1026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10.75</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Guarantee and Collateral Agreement, dated as of December 14, 2004, made by Wynn Resorts Holdings, LLC, Wynn Las Vegas, LLC, Wynn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1"/>
              </w:rPr>
              <w:t>Show Performers, LLC, Wynn Las Vegas Capital Corp., Wynn Golf, LLC, World Travel, LLC, Las Vegas Jet, LLC, Wynn Sunrise, LLC and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6"/>
              </w:rPr>
              <w:t>the other Grantors from time to time party thereto in favor of Deutsche Bank Trust Company Americas, as administrative agent.(20)</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10.76</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8"/>
              </w:rPr>
              <w:t>Master Disbursement Agreement, dated as of December 14, 2004, among Wynn Las Vegas, LLC, Wynn Las Vegas Capital Corp., Deutsche Bank</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Trust Company Americas and U.S. Bank National Association.(5)</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10.77</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2"/>
              </w:rPr>
              <w:t>First Amendment to Master Disbursement Agreement, dated April 26, 2005, among Wynn Las Vegas, LLC, Deutsche Bank Trust Company</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Americas, as bank agent and Deutsche Bank Trust Company Americas, as disbursement agent.(24)</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10.78</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9"/>
              </w:rPr>
              <w:t>Second Amendment to Master Disbursement Agreement, dated as of June 29, 2005, between Wynn Las Vegas, LLC and Deutsche Bank Trust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Company Americas.(23)</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10.79</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0"/>
              </w:rPr>
              <w:t>Third Amendment to Master Disbursement Agreement, dated as of March 13, 2006, between Wynn Las Vegas, LLC and Deutsche Bank Trust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Company Americas.(29)</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10.80</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0"/>
              </w:rPr>
              <w:t>Fourth Amendment to Master Disbursement Agreement, dated as of August 15, 2006, among Wynn Las Vegas, LLC and Deutsche Bank Trust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Company Americas, as bank agent and disbursement agent.(36)</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10.81</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8"/>
              </w:rPr>
              <w:t>Intercreditor Agreement, dated as of December 14, 2004, among Deutsche Bank Trust Company Americas, as bank agent, Deutsche Bank Trust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Company Americas, as collateral agent, and U.S. Bank National Association, as trustee.(5)</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10.82</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0"/>
              </w:rPr>
              <w:t>Pledge and Security Agreement, dated as of December 14, 2004, made by Wynn Resorts Holdings, LLC, Wynn Las Vegas, LLC, Wynn Show</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2"/>
              </w:rPr>
              <w:t>Performers, LLC, Wynn Las Vegas Capital Corp., Wynn Golf, LLC, World Travel, LLC, Las Vegas Jet, LLC, Wynn Sunrise, LLC and the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8"/>
              </w:rPr>
              <w:t>other Grantors from time to time party thereto in favor of Deutsche Bank Trust Company Americas, as administrative agent.(20)</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10.83</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Management Fees Subordination Agreement, dated as of December 14, 2004, by Wynn Resorts, Limited, Wynn Las Vegas, LLC, Wynn Las</w:t>
            </w:r>
          </w:p>
        </w:tc>
        <w:tc>
          <w:tcPr>
            <w:tcW w:w="0" w:type="dxa"/>
            <w:vAlign w:val="bottom"/>
          </w:tcPr>
          <w:p>
            <w:pPr>
              <w:spacing w:after="0"/>
              <w:rPr>
                <w:sz w:val="1"/>
                <w:szCs w:val="1"/>
                <w:color w:val="auto"/>
              </w:rPr>
            </w:pPr>
          </w:p>
        </w:tc>
      </w:tr>
      <w:tr>
        <w:trPr>
          <w:trHeight w:val="184"/>
        </w:trPr>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60" w:type="dxa"/>
            <w:vAlign w:val="bottom"/>
            <w:gridSpan w:val="3"/>
          </w:tcPr>
          <w:p>
            <w:pPr>
              <w:ind w:left="220"/>
              <w:spacing w:after="0" w:line="184" w:lineRule="exact"/>
              <w:rPr>
                <w:sz w:val="20"/>
                <w:szCs w:val="20"/>
                <w:color w:val="auto"/>
              </w:rPr>
            </w:pPr>
            <w:r>
              <w:rPr>
                <w:rFonts w:ascii="Arial" w:cs="Arial" w:eastAsia="Arial" w:hAnsi="Arial"/>
                <w:sz w:val="18"/>
                <w:szCs w:val="18"/>
                <w:color w:val="auto"/>
                <w:w w:val="91"/>
              </w:rPr>
              <w:t>Vegas Capital Corp., and those subsidiaries of Wynn Las Vegas, LLC listed on Exhibit A hereto in favor of Deutsche Bank Trust Company</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Americas, as administrative agent, and U.S. Bank National Association, as trustee.(20)</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10.84</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8"/>
              </w:rPr>
              <w:t>Management Agreement, made as of December 14, 2004, by and among Wynn Las Vegas, LLC, Wynn Show Performers, LLC, Wynn Las Vegas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Limited.(20)</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10.85</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9"/>
              </w:rPr>
              <w:t>Irrevocable Trust Agreement, dated as of December 14, 2004, by and among Wynn Las Vegas, LLC, Wynn Las Vegas Capital Corp., and Wells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Fargo Bank, National Association, as Trustee.(20)</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10.86</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&amp; Development, LLC.(20)</w:t>
            </w:r>
          </w:p>
        </w:tc>
        <w:tc>
          <w:tcPr>
            <w:tcW w:w="0" w:type="dxa"/>
            <w:vAlign w:val="bottom"/>
          </w:tcPr>
          <w:p>
            <w:pPr>
              <w:spacing w:after="0"/>
              <w:rPr>
                <w:sz w:val="1"/>
                <w:szCs w:val="1"/>
                <w:color w:val="auto"/>
              </w:rPr>
            </w:pP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10.87</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Wynn Las Vegas, LLC.(20)</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10.88</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Agreement of Lease, dated January 10, 2005, by and between Stephen A. Wynn and Wynn Las Vegas, LLC.(21)</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10.89</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8"/>
              </w:rPr>
              <w:t>Amendment No. 1 to Agreement of Lease, dated April 21, 2005, by and between Stephen A. Wynn and Wynn Las Vegas, LLC.(21)</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10.90</w:t>
            </w:r>
          </w:p>
        </w:tc>
        <w:tc>
          <w:tcPr>
            <w:tcW w:w="4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LLC.(22)</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6200" w:type="dxa"/>
            <w:vAlign w:val="bottom"/>
            <w:gridSpan w:val="2"/>
          </w:tcPr>
          <w:p>
            <w:pPr>
              <w:jc w:val="right"/>
              <w:ind w:right="993"/>
              <w:spacing w:after="0"/>
              <w:rPr>
                <w:sz w:val="20"/>
                <w:szCs w:val="20"/>
                <w:color w:val="auto"/>
              </w:rPr>
            </w:pPr>
            <w:r>
              <w:rPr>
                <w:rFonts w:ascii="Arial" w:cs="Arial" w:eastAsia="Arial" w:hAnsi="Arial"/>
                <w:sz w:val="18"/>
                <w:szCs w:val="18"/>
                <w:color w:val="auto"/>
              </w:rPr>
              <w:t>121</w:t>
            </w:r>
          </w:p>
        </w:tc>
        <w:tc>
          <w:tcPr>
            <w:tcW w:w="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0200" w:type="dxa"/>
            <w:vAlign w:val="bottom"/>
            <w:vMerge w:val="restart"/>
          </w:tcPr>
          <w:p>
            <w:pPr>
              <w:ind w:left="4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660" w:type="dxa"/>
            <w:vAlign w:val="bottom"/>
            <w:tcBorders>
              <w:bottom w:val="single" w:sz="8" w:color="auto"/>
            </w:tcBorders>
          </w:tcPr>
          <w:p>
            <w:pPr>
              <w:ind w:left="240"/>
              <w:spacing w:after="0" w:line="148" w:lineRule="exact"/>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3"/>
                <w:szCs w:val="13"/>
                <w:color w:val="auto"/>
              </w:rPr>
            </w:pPr>
          </w:p>
        </w:tc>
        <w:tc>
          <w:tcPr>
            <w:tcW w:w="10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660" w:type="dxa"/>
            <w:vAlign w:val="bottom"/>
          </w:tcPr>
          <w:p>
            <w:pPr>
              <w:ind w:left="100"/>
              <w:spacing w:after="0"/>
              <w:rPr>
                <w:sz w:val="20"/>
                <w:szCs w:val="20"/>
                <w:color w:val="auto"/>
              </w:rPr>
            </w:pPr>
            <w:r>
              <w:rPr>
                <w:rFonts w:ascii="Arial" w:cs="Arial" w:eastAsia="Arial" w:hAnsi="Arial"/>
                <w:sz w:val="18"/>
                <w:szCs w:val="18"/>
                <w:color w:val="auto"/>
              </w:rPr>
              <w:t>10.91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ind w:left="220"/>
              <w:spacing w:after="0"/>
              <w:rPr>
                <w:sz w:val="20"/>
                <w:szCs w:val="20"/>
                <w:color w:val="auto"/>
              </w:rPr>
            </w:pPr>
            <w:r>
              <w:rPr>
                <w:rFonts w:ascii="Arial" w:cs="Arial" w:eastAsia="Arial" w:hAnsi="Arial"/>
                <w:sz w:val="18"/>
                <w:szCs w:val="18"/>
                <w:color w:val="auto"/>
              </w:rPr>
              <w:t>Gallery, LLC, as lessee.(22)</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10.92</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Art Gallery Lease, dated June 30, 2005, between Wynn Las Vegas, LLC, as landlord and Wynn Gallery, LLC, as tenant.(22)</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10.93</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Description of discretionary bonuses for Fiscal Year 2004 for certain executive officers.(27)</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10.94</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Description of Performance Based Incentive Plan Bonus Criteria for Fiscal Year 2005.(28)</w:t>
            </w:r>
          </w:p>
        </w:tc>
        <w:tc>
          <w:tcPr>
            <w:tcW w:w="0" w:type="dxa"/>
            <w:vAlign w:val="bottom"/>
          </w:tcPr>
          <w:p>
            <w:pPr>
              <w:spacing w:after="0"/>
              <w:rPr>
                <w:sz w:val="1"/>
                <w:szCs w:val="1"/>
                <w:color w:val="auto"/>
              </w:rPr>
            </w:pP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rPr>
              <w:t>10.95</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Subconcession Sale Agreement, dated as of March 4, 2006, between Wynn Resorts, Limited, Wynn Resorts (Macau), S.A. and Publishing and</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ind w:left="220"/>
              <w:spacing w:after="0"/>
              <w:rPr>
                <w:sz w:val="20"/>
                <w:szCs w:val="20"/>
                <w:color w:val="auto"/>
              </w:rPr>
            </w:pPr>
            <w:r>
              <w:rPr>
                <w:rFonts w:ascii="Arial" w:cs="Arial" w:eastAsia="Arial" w:hAnsi="Arial"/>
                <w:sz w:val="18"/>
                <w:szCs w:val="18"/>
                <w:color w:val="auto"/>
              </w:rPr>
              <w:t>Broadcasting, Ltd.(29)</w:t>
            </w:r>
          </w:p>
        </w:tc>
        <w:tc>
          <w:tcPr>
            <w:tcW w:w="0" w:type="dxa"/>
            <w:vAlign w:val="bottom"/>
          </w:tcPr>
          <w:p>
            <w:pPr>
              <w:spacing w:after="0"/>
              <w:rPr>
                <w:sz w:val="1"/>
                <w:szCs w:val="1"/>
                <w:color w:val="auto"/>
              </w:rPr>
            </w:pP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rPr>
              <w:t>10.96</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First Amendment to Agreement, dated as of June 1, 2006, by and among Wynn Resorts, Limited, Wynn Resorts (Macau), S.A. and Publishing</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ind w:left="220"/>
              <w:spacing w:after="0"/>
              <w:rPr>
                <w:sz w:val="20"/>
                <w:szCs w:val="20"/>
                <w:color w:val="auto"/>
              </w:rPr>
            </w:pPr>
            <w:r>
              <w:rPr>
                <w:rFonts w:ascii="Arial" w:cs="Arial" w:eastAsia="Arial" w:hAnsi="Arial"/>
                <w:sz w:val="18"/>
                <w:szCs w:val="18"/>
                <w:color w:val="auto"/>
              </w:rPr>
              <w:t>and Broadcasting, Ltd.(34)</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10.97</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Description of Performance Based Incentive Plan Bonus Criteria for Calendar Year 2006.(30)</w:t>
            </w:r>
          </w:p>
        </w:tc>
        <w:tc>
          <w:tcPr>
            <w:tcW w:w="0" w:type="dxa"/>
            <w:vAlign w:val="bottom"/>
          </w:tcPr>
          <w:p>
            <w:pPr>
              <w:spacing w:after="0"/>
              <w:rPr>
                <w:sz w:val="1"/>
                <w:szCs w:val="1"/>
                <w:color w:val="auto"/>
              </w:rPr>
            </w:pP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rPr>
              <w:t>10.98</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4"/>
              </w:rPr>
              <w:t>Commitment to Pay Project Costs, dated as of March 31, 2006, by and between Wynn Resorts, Limited in favor of Deutsche Bank Trust</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ind w:left="220"/>
              <w:spacing w:after="0"/>
              <w:rPr>
                <w:sz w:val="20"/>
                <w:szCs w:val="20"/>
                <w:color w:val="auto"/>
              </w:rPr>
            </w:pPr>
            <w:r>
              <w:rPr>
                <w:rFonts w:ascii="Arial" w:cs="Arial" w:eastAsia="Arial" w:hAnsi="Arial"/>
                <w:sz w:val="18"/>
                <w:szCs w:val="18"/>
                <w:color w:val="auto"/>
              </w:rPr>
              <w:t>Company Americas, as administrative agent, and US Bank National Association, as Trustee.(31)</w:t>
            </w:r>
          </w:p>
        </w:tc>
        <w:tc>
          <w:tcPr>
            <w:tcW w:w="0" w:type="dxa"/>
            <w:vAlign w:val="bottom"/>
          </w:tcPr>
          <w:p>
            <w:pPr>
              <w:spacing w:after="0"/>
              <w:rPr>
                <w:sz w:val="1"/>
                <w:szCs w:val="1"/>
                <w:color w:val="auto"/>
              </w:rPr>
            </w:pP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1"/>
              </w:rPr>
              <w:t>10.99**</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Production Rights Purchase Agreement, dated as of May 31, 2006, by and among Wynn Las Vegas, LLC; Lupa International, Inc.; Productions</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ind w:left="220"/>
              <w:spacing w:after="0"/>
              <w:rPr>
                <w:sz w:val="20"/>
                <w:szCs w:val="20"/>
                <w:color w:val="auto"/>
              </w:rPr>
            </w:pPr>
            <w:r>
              <w:rPr>
                <w:rFonts w:ascii="Arial" w:cs="Arial" w:eastAsia="Arial" w:hAnsi="Arial"/>
                <w:sz w:val="18"/>
                <w:szCs w:val="18"/>
                <w:color w:val="auto"/>
              </w:rPr>
              <w:t>Du Dragon, S.A. and Franco Dragone, to which intervenes Calitri Services and Licensing Limited Liability Company.(32)</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10.100</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Employment Agreement, dated as of May 8, 2006, by and between Wynn Resorts, Limited and Wesley Allison.(33)</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Employment Agreement, dated as of July 27, 2006, by and between Worldwide Wynn, LLC and Jack B. Binion.(35)</w:t>
            </w:r>
          </w:p>
        </w:tc>
        <w:tc>
          <w:tcPr>
            <w:tcW w:w="0" w:type="dxa"/>
            <w:vAlign w:val="bottom"/>
          </w:tcPr>
          <w:p>
            <w:pPr>
              <w:spacing w:after="0"/>
              <w:rPr>
                <w:sz w:val="1"/>
                <w:szCs w:val="1"/>
                <w:color w:val="auto"/>
              </w:rPr>
            </w:pP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10.102</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1"/>
              </w:rPr>
              <w:t>Amended and Restated Credit Agreement, dated as of August 15, 2006 among Wynn Las Vegas, LLC, as the Borrower, several lenders and</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ind w:left="220"/>
              <w:spacing w:after="0"/>
              <w:rPr>
                <w:sz w:val="20"/>
                <w:szCs w:val="20"/>
                <w:color w:val="auto"/>
              </w:rPr>
            </w:pPr>
            <w:r>
              <w:rPr>
                <w:rFonts w:ascii="Arial" w:cs="Arial" w:eastAsia="Arial" w:hAnsi="Arial"/>
                <w:sz w:val="18"/>
                <w:szCs w:val="18"/>
                <w:color w:val="auto"/>
              </w:rPr>
              <w:t>agents, and Deutsche Bank Trust Company Americas, as Administrative Agent.(36)</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10.103</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Employment Agreement dated October 27, 2006, by and between World Wide Wynn, LLC and Linda C. Chen(37)</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10.104</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7"/>
              </w:rPr>
              <w:t>Second Amendment to employment agreement between Wynn Resorts, Limited and Stephen A. Wynn dated January 31, 2007.(39)</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14.1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Code of Ethics for the Chief Executive Officer, President and Senior Financial Officers (adopted November 12, 2003)(19)</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16.1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Letter from Deloitte &amp; Touche LLP(40)</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Subsidiaries of the Registrant(39)</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Consent of Ernst &amp; Young LLP(39)</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Consent of Deloitte &amp; Touche LLP(39)</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2002.(39)</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2002.(39)</w:t>
            </w:r>
          </w:p>
        </w:tc>
        <w:tc>
          <w:tcPr>
            <w:tcW w:w="0" w:type="dxa"/>
            <w:vAlign w:val="bottom"/>
          </w:tcPr>
          <w:p>
            <w:pPr>
              <w:spacing w:after="0"/>
              <w:rPr>
                <w:sz w:val="1"/>
                <w:szCs w:val="1"/>
                <w:color w:val="auto"/>
              </w:rPr>
            </w:pP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Certification of CEO and CFO Pursuant to 18 U.S.C. Section 1350, as Adopted Pursuant to Section 906 of the Sarbanes-Oxley Act of 2002.(39)</w:t>
            </w: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49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80" w:hanging="440"/>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15" w:lineRule="exact"/>
        <w:rPr>
          <w:sz w:val="20"/>
          <w:szCs w:val="20"/>
          <w:color w:val="auto"/>
        </w:rPr>
      </w:pPr>
    </w:p>
    <w:p>
      <w:pPr>
        <w:ind w:left="580" w:hanging="484"/>
        <w:spacing w:after="0" w:line="250"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Portions of the exhibit have been redacted and are subject to a confidential treatment request filed with the Securities and Exchange Commission pursuant to Rule 24b-2 under the Securities and Exchange Act of 1934, as amended.</w:t>
      </w:r>
    </w:p>
    <w:p>
      <w:pPr>
        <w:spacing w:after="0" w:line="1" w:lineRule="exact"/>
        <w:rPr>
          <w:sz w:val="20"/>
          <w:szCs w:val="20"/>
          <w:color w:val="auto"/>
        </w:rPr>
      </w:pPr>
    </w:p>
    <w:p>
      <w:pPr>
        <w:ind w:left="580" w:hanging="484"/>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Amendment No. 4 to the Form S-1 filed by the Registrant on October 7, 2002 (File No. 333-90600).</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December 9, 2002.</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18, 2002.</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14, 2003.</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December 17, 2004.</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13, 2003.</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S-3 filed by the Registrant on September 1, 2004 (File No. 333-118741).</w:t>
      </w:r>
    </w:p>
    <w:p>
      <w:pPr>
        <w:spacing w:after="0" w:line="32" w:lineRule="exact"/>
        <w:rPr>
          <w:rFonts w:ascii="Arial" w:cs="Arial" w:eastAsia="Arial" w:hAnsi="Arial"/>
          <w:sz w:val="16"/>
          <w:szCs w:val="16"/>
          <w:color w:val="auto"/>
        </w:rPr>
      </w:pPr>
    </w:p>
    <w:p>
      <w:pPr>
        <w:ind w:left="580" w:hanging="484"/>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the Registrant on June 17, 2002.</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the Registrant on August 20, 2002 (File No. 333-90600).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13,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5,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Amendment No. 3 to the Form S-1 filed by the Registrant on September 18, 2002 (File No. 333-90600).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Amendment No. 5 to the Form S-1 filed by the Registrant on October 21, 2002 (File No. 333-90600).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Form S-8 filed by the Registrant on October 31,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8,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27,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8,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February 3,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24, 2005.</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29,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May 10,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August 8,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11,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June 6,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July 28,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9,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2,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14,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19, 2006.</w:t>
      </w:r>
    </w:p>
    <w:p>
      <w:pPr>
        <w:spacing w:after="0" w:line="1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219"/>
          </w:cols>
          <w:pgMar w:left="240" w:top="459" w:right="1440"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225" w:lineRule="exact"/>
        <w:rPr>
          <w:sz w:val="20"/>
          <w:szCs w:val="20"/>
          <w:color w:val="auto"/>
        </w:rPr>
      </w:pPr>
    </w:p>
    <w:p>
      <w:pPr>
        <w:spacing w:after="0"/>
        <w:tabs>
          <w:tab w:leader="none" w:pos="5480" w:val="left"/>
          <w:tab w:leader="none" w:pos="7740" w:val="left"/>
        </w:tabs>
        <w:rPr>
          <w:sz w:val="20"/>
          <w:szCs w:val="20"/>
          <w:color w:val="auto"/>
        </w:rPr>
      </w:pPr>
      <w:r>
        <w:rPr>
          <w:rFonts w:ascii="Arial" w:cs="Arial" w:eastAsia="Arial" w:hAnsi="Arial"/>
          <w:sz w:val="18"/>
          <w:szCs w:val="18"/>
          <w:color w:val="auto"/>
        </w:rPr>
        <w:t>Dated: March 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TEPHEN</w:t>
      </w:r>
      <w:r>
        <w:rPr>
          <w:rFonts w:ascii="Arial" w:cs="Arial" w:eastAsia="Arial" w:hAnsi="Arial"/>
          <w:sz w:val="14"/>
          <w:szCs w:val="14"/>
          <w:b w:val="1"/>
          <w:bCs w:val="1"/>
          <w:color w:val="auto"/>
        </w:rPr>
        <w:t xml:space="preserve"> A. W</w:t>
      </w:r>
      <w:r>
        <w:rPr>
          <w:rFonts w:ascii="Arial" w:cs="Arial" w:eastAsia="Arial" w:hAnsi="Arial"/>
          <w:sz w:val="11"/>
          <w:szCs w:val="11"/>
          <w:b w:val="1"/>
          <w:bCs w:val="1"/>
          <w:color w:val="auto"/>
        </w:rPr>
        <w:t>YNN</w:t>
      </w:r>
    </w:p>
    <w:p>
      <w:pPr>
        <w:jc w:val="center"/>
        <w:ind w:left="5960"/>
        <w:spacing w:after="0" w:line="221" w:lineRule="auto"/>
        <w:rPr>
          <w:sz w:val="20"/>
          <w:szCs w:val="20"/>
          <w:color w:val="auto"/>
        </w:rPr>
      </w:pPr>
      <w:r>
        <w:rPr>
          <w:rFonts w:ascii="Arial" w:cs="Arial" w:eastAsia="Arial" w:hAnsi="Arial"/>
          <w:sz w:val="14"/>
          <w:szCs w:val="14"/>
          <w:b w:val="1"/>
          <w:bCs w:val="1"/>
          <w:color w:val="auto"/>
        </w:rPr>
        <w:t>Chairman of the Board and Chief Executive</w:t>
      </w:r>
    </w:p>
    <w:p>
      <w:pPr>
        <w:jc w:val="center"/>
        <w:ind w:left="5960"/>
        <w:spacing w:after="0"/>
        <w:rPr>
          <w:sz w:val="20"/>
          <w:szCs w:val="20"/>
          <w:color w:val="auto"/>
        </w:rPr>
      </w:pPr>
      <w:r>
        <w:rPr>
          <w:rFonts w:ascii="Arial" w:cs="Arial" w:eastAsia="Arial" w:hAnsi="Arial"/>
          <w:sz w:val="14"/>
          <w:szCs w:val="14"/>
          <w:b w:val="1"/>
          <w:bCs w:val="1"/>
          <w:color w:val="auto"/>
        </w:rPr>
        <w:t>Officer (Principal Executive Officer)</w:t>
      </w:r>
    </w:p>
    <w:p>
      <w:pPr>
        <w:spacing w:after="0" w:line="208" w:lineRule="exact"/>
        <w:rPr>
          <w:sz w:val="20"/>
          <w:szCs w:val="20"/>
          <w:color w:val="auto"/>
        </w:rPr>
      </w:pPr>
    </w:p>
    <w:p>
      <w:pPr>
        <w:spacing w:after="0"/>
        <w:tabs>
          <w:tab w:leader="none" w:pos="5480" w:val="left"/>
          <w:tab w:leader="none" w:pos="7880" w:val="left"/>
        </w:tabs>
        <w:rPr>
          <w:sz w:val="20"/>
          <w:szCs w:val="20"/>
          <w:color w:val="auto"/>
        </w:rPr>
      </w:pPr>
      <w:r>
        <w:rPr>
          <w:rFonts w:ascii="Arial" w:cs="Arial" w:eastAsia="Arial" w:hAnsi="Arial"/>
          <w:sz w:val="18"/>
          <w:szCs w:val="18"/>
          <w:color w:val="auto"/>
        </w:rPr>
        <w:t>Dated: March 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John Strzemp</w:t>
      </w:r>
    </w:p>
    <w:p>
      <w:pPr>
        <w:jc w:val="center"/>
        <w:ind w:left="5960"/>
        <w:spacing w:after="0" w:line="221" w:lineRule="auto"/>
        <w:rPr>
          <w:sz w:val="20"/>
          <w:szCs w:val="20"/>
          <w:color w:val="auto"/>
        </w:rPr>
      </w:pPr>
      <w:r>
        <w:rPr>
          <w:rFonts w:ascii="Arial" w:cs="Arial" w:eastAsia="Arial" w:hAnsi="Arial"/>
          <w:sz w:val="14"/>
          <w:szCs w:val="14"/>
          <w:b w:val="1"/>
          <w:bCs w:val="1"/>
          <w:color w:val="auto"/>
        </w:rPr>
        <w:t>Executive Vice President and Chief Financial</w:t>
      </w:r>
    </w:p>
    <w:p>
      <w:pPr>
        <w:jc w:val="center"/>
        <w:ind w:left="5960"/>
        <w:spacing w:after="0"/>
        <w:rPr>
          <w:sz w:val="20"/>
          <w:szCs w:val="20"/>
          <w:color w:val="auto"/>
        </w:rPr>
      </w:pPr>
      <w:r>
        <w:rPr>
          <w:rFonts w:ascii="Arial" w:cs="Arial" w:eastAsia="Arial" w:hAnsi="Arial"/>
          <w:sz w:val="14"/>
          <w:szCs w:val="14"/>
          <w:b w:val="1"/>
          <w:bCs w:val="1"/>
          <w:color w:val="auto"/>
        </w:rPr>
        <w:t>Officer (Principal Financial and Accounting Officer)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2120"/>
        <w:spacing w:after="0"/>
        <w:tabs>
          <w:tab w:leader="none" w:pos="6940" w:val="left"/>
          <w:tab w:leader="none" w:pos="102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tcBorders>
              <w:bottom w:val="single" w:sz="8" w:color="auto"/>
            </w:tcBorders>
          </w:tcPr>
          <w:p>
            <w:pPr>
              <w:jc w:val="center"/>
              <w:ind w:right="142"/>
              <w:spacing w:after="0"/>
              <w:rPr>
                <w:sz w:val="20"/>
                <w:szCs w:val="20"/>
                <w:color w:val="auto"/>
              </w:rPr>
            </w:pPr>
            <w:r>
              <w:rPr>
                <w:rFonts w:ascii="Arial" w:cs="Arial" w:eastAsia="Arial" w:hAnsi="Arial"/>
                <w:sz w:val="18"/>
                <w:szCs w:val="18"/>
                <w:color w:val="auto"/>
                <w:w w:val="99"/>
              </w:rPr>
              <w:t>/s/ S</w:t>
            </w:r>
            <w:r>
              <w:rPr>
                <w:rFonts w:ascii="Arial" w:cs="Arial" w:eastAsia="Arial" w:hAnsi="Arial"/>
                <w:sz w:val="14"/>
                <w:szCs w:val="14"/>
                <w:color w:val="auto"/>
                <w:w w:val="99"/>
              </w:rPr>
              <w:t>TEPHEN</w:t>
            </w:r>
            <w:r>
              <w:rPr>
                <w:rFonts w:ascii="Arial" w:cs="Arial" w:eastAsia="Arial" w:hAnsi="Arial"/>
                <w:sz w:val="18"/>
                <w:szCs w:val="18"/>
                <w:color w:val="auto"/>
                <w:w w:val="99"/>
              </w:rPr>
              <w:t xml:space="preserve"> A. W</w:t>
            </w:r>
            <w:r>
              <w:rPr>
                <w:rFonts w:ascii="Arial" w:cs="Arial" w:eastAsia="Arial" w:hAnsi="Arial"/>
                <w:sz w:val="14"/>
                <w:szCs w:val="14"/>
                <w:color w:val="auto"/>
                <w:w w:val="99"/>
              </w:rPr>
              <w:t>YNN</w:t>
            </w:r>
          </w:p>
        </w:tc>
        <w:tc>
          <w:tcPr>
            <w:tcW w:w="4480" w:type="dxa"/>
            <w:vAlign w:val="bottom"/>
          </w:tcPr>
          <w:p>
            <w:pPr>
              <w:ind w:left="240"/>
              <w:spacing w:after="0"/>
              <w:rPr>
                <w:sz w:val="20"/>
                <w:szCs w:val="20"/>
                <w:color w:val="auto"/>
              </w:rPr>
            </w:pPr>
            <w:r>
              <w:rPr>
                <w:rFonts w:ascii="Arial" w:cs="Arial" w:eastAsia="Arial" w:hAnsi="Arial"/>
                <w:sz w:val="18"/>
                <w:szCs w:val="18"/>
                <w:color w:val="auto"/>
              </w:rPr>
              <w:t>Chairman of the Board and Chief Executive Officer</w:t>
            </w:r>
          </w:p>
        </w:tc>
        <w:tc>
          <w:tcPr>
            <w:tcW w:w="1620" w:type="dxa"/>
            <w:vAlign w:val="bottom"/>
          </w:tcPr>
          <w:p>
            <w:pPr>
              <w:ind w:left="600"/>
              <w:spacing w:after="0"/>
              <w:rPr>
                <w:sz w:val="20"/>
                <w:szCs w:val="20"/>
                <w:color w:val="auto"/>
              </w:rPr>
            </w:pPr>
            <w:r>
              <w:rPr>
                <w:rFonts w:ascii="Arial" w:cs="Arial" w:eastAsia="Arial" w:hAnsi="Arial"/>
                <w:sz w:val="18"/>
                <w:szCs w:val="18"/>
                <w:color w:val="auto"/>
                <w:w w:val="86"/>
              </w:rPr>
              <w:t>March 1, 2007</w:t>
            </w:r>
          </w:p>
        </w:tc>
      </w:tr>
      <w:tr>
        <w:trPr>
          <w:trHeight w:val="20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c>
          <w:tcPr>
            <w:tcW w:w="4480" w:type="dxa"/>
            <w:vAlign w:val="bottom"/>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1620" w:type="dxa"/>
            <w:vAlign w:val="bottom"/>
          </w:tcPr>
          <w:p>
            <w:pPr>
              <w:spacing w:after="0"/>
              <w:rPr>
                <w:sz w:val="17"/>
                <w:szCs w:val="17"/>
                <w:color w:val="auto"/>
              </w:rPr>
            </w:pPr>
          </w:p>
        </w:tc>
      </w:tr>
      <w:tr>
        <w:trPr>
          <w:trHeight w:val="427"/>
        </w:trPr>
        <w:tc>
          <w:tcPr>
            <w:tcW w:w="4800" w:type="dxa"/>
            <w:vAlign w:val="bottom"/>
            <w:tcBorders>
              <w:bottom w:val="single" w:sz="8" w:color="auto"/>
            </w:tcBorders>
          </w:tcPr>
          <w:p>
            <w:pPr>
              <w:jc w:val="center"/>
              <w:ind w:right="142"/>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480" w:type="dxa"/>
            <w:vAlign w:val="bottom"/>
          </w:tcPr>
          <w:p>
            <w:pPr>
              <w:ind w:left="240"/>
              <w:spacing w:after="0"/>
              <w:rPr>
                <w:sz w:val="20"/>
                <w:szCs w:val="20"/>
                <w:color w:val="auto"/>
              </w:rPr>
            </w:pPr>
            <w:r>
              <w:rPr>
                <w:rFonts w:ascii="Arial" w:cs="Arial" w:eastAsia="Arial" w:hAnsi="Arial"/>
                <w:sz w:val="18"/>
                <w:szCs w:val="18"/>
                <w:color w:val="auto"/>
              </w:rPr>
              <w:t>Vice Chairman of the Board</w:t>
            </w:r>
          </w:p>
        </w:tc>
        <w:tc>
          <w:tcPr>
            <w:tcW w:w="1620" w:type="dxa"/>
            <w:vAlign w:val="bottom"/>
          </w:tcPr>
          <w:p>
            <w:pPr>
              <w:ind w:left="600"/>
              <w:spacing w:after="0"/>
              <w:rPr>
                <w:sz w:val="20"/>
                <w:szCs w:val="20"/>
                <w:color w:val="auto"/>
              </w:rPr>
            </w:pPr>
            <w:r>
              <w:rPr>
                <w:rFonts w:ascii="Arial" w:cs="Arial" w:eastAsia="Arial" w:hAnsi="Arial"/>
                <w:sz w:val="18"/>
                <w:szCs w:val="18"/>
                <w:color w:val="auto"/>
                <w:w w:val="86"/>
              </w:rPr>
              <w:t>March 1, 2007</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ind w:right="122"/>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4480" w:type="dxa"/>
            <w:vAlign w:val="bottom"/>
          </w:tcPr>
          <w:p>
            <w:pPr>
              <w:ind w:left="240"/>
              <w:spacing w:after="0"/>
              <w:rPr>
                <w:sz w:val="20"/>
                <w:szCs w:val="20"/>
                <w:color w:val="auto"/>
              </w:rPr>
            </w:pPr>
            <w:r>
              <w:rPr>
                <w:rFonts w:ascii="Arial" w:cs="Arial" w:eastAsia="Arial" w:hAnsi="Arial"/>
                <w:sz w:val="18"/>
                <w:szCs w:val="18"/>
                <w:color w:val="auto"/>
              </w:rPr>
              <w:t>President and Director</w:t>
            </w:r>
          </w:p>
        </w:tc>
        <w:tc>
          <w:tcPr>
            <w:tcW w:w="1620" w:type="dxa"/>
            <w:vAlign w:val="bottom"/>
          </w:tcPr>
          <w:p>
            <w:pPr>
              <w:ind w:left="600"/>
              <w:spacing w:after="0"/>
              <w:rPr>
                <w:sz w:val="20"/>
                <w:szCs w:val="20"/>
                <w:color w:val="auto"/>
              </w:rPr>
            </w:pPr>
            <w:r>
              <w:rPr>
                <w:rFonts w:ascii="Arial" w:cs="Arial" w:eastAsia="Arial" w:hAnsi="Arial"/>
                <w:sz w:val="18"/>
                <w:szCs w:val="18"/>
                <w:color w:val="auto"/>
                <w:w w:val="86"/>
              </w:rPr>
              <w:t>March 1, 2007</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1"/>
              </w:rPr>
              <w:t>Ronald J. Kramer</w:t>
            </w:r>
          </w:p>
        </w:tc>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ind w:right="222"/>
              <w:spacing w:after="0"/>
              <w:rPr>
                <w:sz w:val="20"/>
                <w:szCs w:val="20"/>
                <w:color w:val="auto"/>
              </w:rPr>
            </w:pPr>
            <w:r>
              <w:rPr>
                <w:rFonts w:ascii="Arial" w:cs="Arial" w:eastAsia="Arial" w:hAnsi="Arial"/>
                <w:sz w:val="18"/>
                <w:szCs w:val="18"/>
                <w:color w:val="auto"/>
                <w:w w:val="99"/>
              </w:rPr>
              <w:t>/s/ R</w:t>
            </w:r>
            <w:r>
              <w:rPr>
                <w:rFonts w:ascii="Arial" w:cs="Arial" w:eastAsia="Arial" w:hAnsi="Arial"/>
                <w:sz w:val="14"/>
                <w:szCs w:val="14"/>
                <w:color w:val="auto"/>
                <w:w w:val="99"/>
              </w:rPr>
              <w:t>OBERT</w:t>
            </w:r>
            <w:r>
              <w:rPr>
                <w:rFonts w:ascii="Arial" w:cs="Arial" w:eastAsia="Arial" w:hAnsi="Arial"/>
                <w:sz w:val="18"/>
                <w:szCs w:val="18"/>
                <w:color w:val="auto"/>
                <w:w w:val="99"/>
              </w:rPr>
              <w:t xml:space="preserve"> J. M</w:t>
            </w:r>
            <w:r>
              <w:rPr>
                <w:rFonts w:ascii="Arial" w:cs="Arial" w:eastAsia="Arial" w:hAnsi="Arial"/>
                <w:sz w:val="14"/>
                <w:szCs w:val="14"/>
                <w:color w:val="auto"/>
                <w:w w:val="99"/>
              </w:rPr>
              <w:t>ILLER</w:t>
            </w:r>
          </w:p>
        </w:tc>
        <w:tc>
          <w:tcPr>
            <w:tcW w:w="44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600"/>
              <w:spacing w:after="0"/>
              <w:rPr>
                <w:sz w:val="20"/>
                <w:szCs w:val="20"/>
                <w:color w:val="auto"/>
              </w:rPr>
            </w:pPr>
            <w:r>
              <w:rPr>
                <w:rFonts w:ascii="Arial" w:cs="Arial" w:eastAsia="Arial" w:hAnsi="Arial"/>
                <w:sz w:val="18"/>
                <w:szCs w:val="18"/>
                <w:color w:val="auto"/>
                <w:w w:val="86"/>
              </w:rPr>
              <w:t>March 1, 2007</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2"/>
              </w:rPr>
              <w:t>Robert J. Miller</w:t>
            </w:r>
          </w:p>
        </w:tc>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ind w:right="222"/>
              <w:spacing w:after="0"/>
              <w:rPr>
                <w:sz w:val="20"/>
                <w:szCs w:val="20"/>
                <w:color w:val="auto"/>
              </w:rPr>
            </w:pPr>
            <w:r>
              <w:rPr>
                <w:rFonts w:ascii="Arial" w:cs="Arial" w:eastAsia="Arial" w:hAnsi="Arial"/>
                <w:sz w:val="18"/>
                <w:szCs w:val="18"/>
                <w:color w:val="auto"/>
                <w:w w:val="99"/>
              </w:rPr>
              <w:t>/s/ 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4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600"/>
              <w:spacing w:after="0"/>
              <w:rPr>
                <w:sz w:val="20"/>
                <w:szCs w:val="20"/>
                <w:color w:val="auto"/>
              </w:rPr>
            </w:pPr>
            <w:r>
              <w:rPr>
                <w:rFonts w:ascii="Arial" w:cs="Arial" w:eastAsia="Arial" w:hAnsi="Arial"/>
                <w:sz w:val="18"/>
                <w:szCs w:val="18"/>
                <w:color w:val="auto"/>
                <w:w w:val="86"/>
              </w:rPr>
              <w:t>March 1, 2007</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ind w:right="222"/>
              <w:spacing w:after="0"/>
              <w:rPr>
                <w:sz w:val="20"/>
                <w:szCs w:val="20"/>
                <w:color w:val="auto"/>
              </w:rPr>
            </w:pPr>
            <w:r>
              <w:rPr>
                <w:rFonts w:ascii="Arial" w:cs="Arial" w:eastAsia="Arial" w:hAnsi="Arial"/>
                <w:sz w:val="18"/>
                <w:szCs w:val="18"/>
                <w:color w:val="auto"/>
                <w:w w:val="99"/>
              </w:rPr>
              <w:t>/s/ A</w:t>
            </w:r>
            <w:r>
              <w:rPr>
                <w:rFonts w:ascii="Arial" w:cs="Arial" w:eastAsia="Arial" w:hAnsi="Arial"/>
                <w:sz w:val="14"/>
                <w:szCs w:val="14"/>
                <w:color w:val="auto"/>
                <w:w w:val="99"/>
              </w:rPr>
              <w:t>LVIN</w:t>
            </w:r>
            <w:r>
              <w:rPr>
                <w:rFonts w:ascii="Arial" w:cs="Arial" w:eastAsia="Arial" w:hAnsi="Arial"/>
                <w:sz w:val="18"/>
                <w:szCs w:val="18"/>
                <w:color w:val="auto"/>
                <w:w w:val="99"/>
              </w:rPr>
              <w:t xml:space="preserve"> V. S</w:t>
            </w:r>
            <w:r>
              <w:rPr>
                <w:rFonts w:ascii="Arial" w:cs="Arial" w:eastAsia="Arial" w:hAnsi="Arial"/>
                <w:sz w:val="14"/>
                <w:szCs w:val="14"/>
                <w:color w:val="auto"/>
                <w:w w:val="99"/>
              </w:rPr>
              <w:t>HOEMAKER</w:t>
            </w:r>
          </w:p>
        </w:tc>
        <w:tc>
          <w:tcPr>
            <w:tcW w:w="44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600"/>
              <w:spacing w:after="0"/>
              <w:rPr>
                <w:sz w:val="20"/>
                <w:szCs w:val="20"/>
                <w:color w:val="auto"/>
              </w:rPr>
            </w:pPr>
            <w:r>
              <w:rPr>
                <w:rFonts w:ascii="Arial" w:cs="Arial" w:eastAsia="Arial" w:hAnsi="Arial"/>
                <w:sz w:val="18"/>
                <w:szCs w:val="18"/>
                <w:color w:val="auto"/>
                <w:w w:val="86"/>
              </w:rPr>
              <w:t>March 1, 2007</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Alvin V. Shoemaker</w:t>
            </w:r>
          </w:p>
        </w:tc>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ind w:right="222"/>
              <w:spacing w:after="0"/>
              <w:rPr>
                <w:sz w:val="20"/>
                <w:szCs w:val="20"/>
                <w:color w:val="auto"/>
              </w:rPr>
            </w:pPr>
            <w:r>
              <w:rPr>
                <w:rFonts w:ascii="Arial" w:cs="Arial" w:eastAsia="Arial" w:hAnsi="Arial"/>
                <w:sz w:val="18"/>
                <w:szCs w:val="18"/>
                <w:color w:val="auto"/>
                <w:w w:val="99"/>
              </w:rPr>
              <w:t>/s/ D. B</w:t>
            </w:r>
            <w:r>
              <w:rPr>
                <w:rFonts w:ascii="Arial" w:cs="Arial" w:eastAsia="Arial" w:hAnsi="Arial"/>
                <w:sz w:val="14"/>
                <w:szCs w:val="14"/>
                <w:color w:val="auto"/>
                <w:w w:val="99"/>
              </w:rPr>
              <w:t>OONE</w:t>
            </w:r>
            <w:r>
              <w:rPr>
                <w:rFonts w:ascii="Arial" w:cs="Arial" w:eastAsia="Arial" w:hAnsi="Arial"/>
                <w:sz w:val="18"/>
                <w:szCs w:val="18"/>
                <w:color w:val="auto"/>
                <w:w w:val="99"/>
              </w:rPr>
              <w:t xml:space="preserve"> W</w:t>
            </w:r>
            <w:r>
              <w:rPr>
                <w:rFonts w:ascii="Arial" w:cs="Arial" w:eastAsia="Arial" w:hAnsi="Arial"/>
                <w:sz w:val="14"/>
                <w:szCs w:val="14"/>
                <w:color w:val="auto"/>
                <w:w w:val="99"/>
              </w:rPr>
              <w:t>AYSON</w:t>
            </w:r>
          </w:p>
        </w:tc>
        <w:tc>
          <w:tcPr>
            <w:tcW w:w="44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600"/>
              <w:spacing w:after="0"/>
              <w:rPr>
                <w:sz w:val="20"/>
                <w:szCs w:val="20"/>
                <w:color w:val="auto"/>
              </w:rPr>
            </w:pPr>
            <w:r>
              <w:rPr>
                <w:rFonts w:ascii="Arial" w:cs="Arial" w:eastAsia="Arial" w:hAnsi="Arial"/>
                <w:sz w:val="18"/>
                <w:szCs w:val="18"/>
                <w:color w:val="auto"/>
                <w:w w:val="86"/>
              </w:rPr>
              <w:t>March 1, 2007</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5"/>
              </w:rPr>
              <w:t>D. Boone Wayson</w:t>
            </w:r>
          </w:p>
        </w:tc>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ind w:right="222"/>
              <w:spacing w:after="0"/>
              <w:rPr>
                <w:sz w:val="20"/>
                <w:szCs w:val="20"/>
                <w:color w:val="auto"/>
              </w:rPr>
            </w:pPr>
            <w:r>
              <w:rPr>
                <w:rFonts w:ascii="Arial" w:cs="Arial" w:eastAsia="Arial" w:hAnsi="Arial"/>
                <w:sz w:val="18"/>
                <w:szCs w:val="18"/>
                <w:color w:val="auto"/>
                <w:w w:val="99"/>
              </w:rPr>
              <w:t>/s/ E</w:t>
            </w:r>
            <w:r>
              <w:rPr>
                <w:rFonts w:ascii="Arial" w:cs="Arial" w:eastAsia="Arial" w:hAnsi="Arial"/>
                <w:sz w:val="14"/>
                <w:szCs w:val="14"/>
                <w:color w:val="auto"/>
                <w:w w:val="99"/>
              </w:rPr>
              <w:t>LAINE</w:t>
            </w:r>
            <w:r>
              <w:rPr>
                <w:rFonts w:ascii="Arial" w:cs="Arial" w:eastAsia="Arial" w:hAnsi="Arial"/>
                <w:sz w:val="18"/>
                <w:szCs w:val="18"/>
                <w:color w:val="auto"/>
                <w:w w:val="99"/>
              </w:rPr>
              <w:t xml:space="preserve"> P. W</w:t>
            </w:r>
            <w:r>
              <w:rPr>
                <w:rFonts w:ascii="Arial" w:cs="Arial" w:eastAsia="Arial" w:hAnsi="Arial"/>
                <w:sz w:val="14"/>
                <w:szCs w:val="14"/>
                <w:color w:val="auto"/>
                <w:w w:val="99"/>
              </w:rPr>
              <w:t>YNN</w:t>
            </w:r>
          </w:p>
        </w:tc>
        <w:tc>
          <w:tcPr>
            <w:tcW w:w="44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600"/>
              <w:spacing w:after="0"/>
              <w:rPr>
                <w:sz w:val="20"/>
                <w:szCs w:val="20"/>
                <w:color w:val="auto"/>
              </w:rPr>
            </w:pPr>
            <w:r>
              <w:rPr>
                <w:rFonts w:ascii="Arial" w:cs="Arial" w:eastAsia="Arial" w:hAnsi="Arial"/>
                <w:sz w:val="18"/>
                <w:szCs w:val="18"/>
                <w:color w:val="auto"/>
                <w:w w:val="86"/>
              </w:rPr>
              <w:t>March 1, 2007</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ind w:right="222"/>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TANLEY</w:t>
            </w:r>
            <w:r>
              <w:rPr>
                <w:rFonts w:ascii="Arial" w:cs="Arial" w:eastAsia="Arial" w:hAnsi="Arial"/>
                <w:sz w:val="18"/>
                <w:szCs w:val="18"/>
                <w:color w:val="auto"/>
              </w:rPr>
              <w:t xml:space="preserve"> R. Z</w:t>
            </w:r>
            <w:r>
              <w:rPr>
                <w:rFonts w:ascii="Arial" w:cs="Arial" w:eastAsia="Arial" w:hAnsi="Arial"/>
                <w:sz w:val="14"/>
                <w:szCs w:val="14"/>
                <w:color w:val="auto"/>
              </w:rPr>
              <w:t>AX</w:t>
            </w:r>
          </w:p>
        </w:tc>
        <w:tc>
          <w:tcPr>
            <w:tcW w:w="44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600"/>
              <w:spacing w:after="0"/>
              <w:rPr>
                <w:sz w:val="20"/>
                <w:szCs w:val="20"/>
                <w:color w:val="auto"/>
              </w:rPr>
            </w:pPr>
            <w:r>
              <w:rPr>
                <w:rFonts w:ascii="Arial" w:cs="Arial" w:eastAsia="Arial" w:hAnsi="Arial"/>
                <w:sz w:val="18"/>
                <w:szCs w:val="18"/>
                <w:color w:val="auto"/>
                <w:w w:val="86"/>
              </w:rPr>
              <w:t>March 1, 2007</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Stanley R. Zax</w:t>
            </w:r>
          </w:p>
        </w:tc>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50"/>
        </w:trPr>
        <w:tc>
          <w:tcPr>
            <w:tcW w:w="480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Arial" w:cs="Arial" w:eastAsia="Arial" w:hAnsi="Arial"/>
                <w:sz w:val="18"/>
                <w:szCs w:val="18"/>
                <w:color w:val="auto"/>
              </w:rPr>
              <w:t>125</w:t>
            </w:r>
          </w:p>
        </w:tc>
        <w:tc>
          <w:tcPr>
            <w:tcW w:w="1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120"/>
        <w:spacing w:after="0"/>
        <w:tabs>
          <w:tab w:leader="none" w:pos="6940" w:val="left"/>
          <w:tab w:leader="none" w:pos="102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5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560"/>
              <w:spacing w:after="0"/>
              <w:rPr>
                <w:sz w:val="20"/>
                <w:szCs w:val="20"/>
                <w:color w:val="auto"/>
              </w:rPr>
            </w:pPr>
            <w:r>
              <w:rPr>
                <w:rFonts w:ascii="Arial" w:cs="Arial" w:eastAsia="Arial" w:hAnsi="Arial"/>
                <w:sz w:val="18"/>
                <w:szCs w:val="18"/>
                <w:color w:val="auto"/>
                <w:w w:val="86"/>
              </w:rPr>
              <w:t>March 1, 2007</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4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418"/>
        </w:trPr>
        <w:tc>
          <w:tcPr>
            <w:tcW w:w="48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tc>
        <w:tc>
          <w:tcPr>
            <w:tcW w:w="4520" w:type="dxa"/>
            <w:vAlign w:val="bottom"/>
          </w:tcPr>
          <w:p>
            <w:pPr>
              <w:ind w:left="240"/>
              <w:spacing w:after="0"/>
              <w:rPr>
                <w:sz w:val="20"/>
                <w:szCs w:val="20"/>
                <w:color w:val="auto"/>
              </w:rPr>
            </w:pPr>
            <w:r>
              <w:rPr>
                <w:rFonts w:ascii="Arial" w:cs="Arial" w:eastAsia="Arial" w:hAnsi="Arial"/>
                <w:sz w:val="18"/>
                <w:szCs w:val="18"/>
                <w:color w:val="auto"/>
              </w:rPr>
              <w:t>Executive Vice President and Chief Financial Officer</w:t>
            </w:r>
          </w:p>
        </w:tc>
        <w:tc>
          <w:tcPr>
            <w:tcW w:w="1580" w:type="dxa"/>
            <w:vAlign w:val="bottom"/>
          </w:tcPr>
          <w:p>
            <w:pPr>
              <w:ind w:left="560"/>
              <w:spacing w:after="0"/>
              <w:rPr>
                <w:sz w:val="20"/>
                <w:szCs w:val="20"/>
                <w:color w:val="auto"/>
              </w:rPr>
            </w:pPr>
            <w:r>
              <w:rPr>
                <w:rFonts w:ascii="Arial" w:cs="Arial" w:eastAsia="Arial" w:hAnsi="Arial"/>
                <w:sz w:val="18"/>
                <w:szCs w:val="18"/>
                <w:color w:val="auto"/>
                <w:w w:val="86"/>
              </w:rPr>
              <w:t>March 1, 2007</w:t>
            </w:r>
          </w:p>
        </w:tc>
      </w:tr>
      <w:tr>
        <w:trPr>
          <w:trHeight w:val="20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6"/>
              </w:rPr>
              <w:t>John Strzemp</w:t>
            </w:r>
          </w:p>
        </w:tc>
        <w:tc>
          <w:tcPr>
            <w:tcW w:w="4520" w:type="dxa"/>
            <w:vAlign w:val="bottom"/>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580" w:type="dxa"/>
            <w:vAlign w:val="bottom"/>
          </w:tcPr>
          <w:p>
            <w:pPr>
              <w:spacing w:after="0"/>
              <w:rPr>
                <w:sz w:val="17"/>
                <w:szCs w:val="17"/>
                <w:color w:val="auto"/>
              </w:rPr>
            </w:pPr>
          </w:p>
        </w:tc>
      </w:tr>
      <w:tr>
        <w:trPr>
          <w:trHeight w:val="358"/>
        </w:trPr>
        <w:tc>
          <w:tcPr>
            <w:tcW w:w="4800" w:type="dxa"/>
            <w:vAlign w:val="bottom"/>
          </w:tcPr>
          <w:p>
            <w:pPr>
              <w:spacing w:after="0"/>
              <w:rPr>
                <w:sz w:val="24"/>
                <w:szCs w:val="24"/>
                <w:color w:val="auto"/>
              </w:rPr>
            </w:pPr>
          </w:p>
        </w:tc>
        <w:tc>
          <w:tcPr>
            <w:tcW w:w="4520" w:type="dxa"/>
            <w:vAlign w:val="bottom"/>
          </w:tcPr>
          <w:p>
            <w:pPr>
              <w:jc w:val="right"/>
              <w:ind w:right="3392"/>
              <w:spacing w:after="0"/>
              <w:rPr>
                <w:sz w:val="20"/>
                <w:szCs w:val="20"/>
                <w:color w:val="auto"/>
              </w:rPr>
            </w:pPr>
            <w:r>
              <w:rPr>
                <w:rFonts w:ascii="Arial" w:cs="Arial" w:eastAsia="Arial" w:hAnsi="Arial"/>
                <w:sz w:val="18"/>
                <w:szCs w:val="18"/>
                <w:color w:val="auto"/>
              </w:rPr>
              <w:t>126</w:t>
            </w:r>
          </w:p>
        </w:tc>
        <w:tc>
          <w:tcPr>
            <w:tcW w:w="1580" w:type="dxa"/>
            <w:vAlign w:val="bottom"/>
          </w:tcPr>
          <w:p>
            <w:pPr>
              <w:spacing w:after="0"/>
              <w:rPr>
                <w:sz w:val="24"/>
                <w:szCs w:val="24"/>
                <w:color w:val="auto"/>
              </w:rPr>
            </w:pPr>
          </w:p>
        </w:tc>
      </w:tr>
    </w:tbl>
    <w:p>
      <w:pPr>
        <w:sectPr>
          <w:pgSz w:w="11900" w:h="16838" w:orient="portrait"/>
          <w:cols w:equalWidth="0" w:num="1">
            <w:col w:w="10900"/>
          </w:cols>
          <w:pgMar w:left="240" w:top="459" w:right="7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10.104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EMPLOYMENT AGREEMENT</w:t>
      </w:r>
    </w:p>
    <w:p>
      <w:pPr>
        <w:spacing w:after="0" w:line="171" w:lineRule="exact"/>
        <w:rPr>
          <w:sz w:val="20"/>
          <w:szCs w:val="20"/>
          <w:color w:val="auto"/>
        </w:rPr>
      </w:pPr>
    </w:p>
    <w:p>
      <w:pPr>
        <w:ind w:right="520" w:firstLine="456"/>
        <w:spacing w:after="0" w:line="262" w:lineRule="auto"/>
        <w:rPr>
          <w:sz w:val="20"/>
          <w:szCs w:val="20"/>
          <w:color w:val="auto"/>
        </w:rPr>
      </w:pPr>
      <w:r>
        <w:rPr>
          <w:rFonts w:ascii="Arial" w:cs="Arial" w:eastAsia="Arial" w:hAnsi="Arial"/>
          <w:sz w:val="18"/>
          <w:szCs w:val="18"/>
          <w:color w:val="auto"/>
        </w:rPr>
        <w:t>This SECOND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on the 31st day of January 2007,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Stephen A. Wynn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 Employer and Employee have entered into that certain Employment Agreement, dated as of October 4, 2002, as amended by that certain First Amendment to Employment Agreement dated August 6, 2004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Employer and Employee desire to amend the Agreement to increase Employee’s Base Salary as provided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the parties agree as follows:</w:t>
      </w:r>
    </w:p>
    <w:p>
      <w:pPr>
        <w:spacing w:after="0" w:line="90" w:lineRule="exact"/>
        <w:rPr>
          <w:sz w:val="20"/>
          <w:szCs w:val="20"/>
          <w:color w:val="auto"/>
        </w:rPr>
      </w:pPr>
    </w:p>
    <w:p>
      <w:pPr>
        <w:ind w:right="340" w:firstLine="464"/>
        <w:spacing w:after="0" w:line="268"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Subsection 8(a) of the Agreement is hereby amended provide that, effective February 1, 2007, Employee’s Base Salary shall not be less than $3,250,000 per annum.</w:t>
      </w:r>
    </w:p>
    <w:p>
      <w:pPr>
        <w:spacing w:after="0" w:line="125" w:lineRule="exact"/>
        <w:rPr>
          <w:rFonts w:ascii="Arial" w:cs="Arial" w:eastAsia="Arial" w:hAnsi="Arial"/>
          <w:sz w:val="18"/>
          <w:szCs w:val="18"/>
          <w:color w:val="auto"/>
        </w:rPr>
      </w:pPr>
    </w:p>
    <w:p>
      <w:pPr>
        <w:ind w:left="640" w:hanging="176"/>
        <w:spacing w:after="0"/>
        <w:tabs>
          <w:tab w:leader="none" w:pos="64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Provisions of Agreement</w:t>
      </w:r>
      <w:r>
        <w:rPr>
          <w:rFonts w:ascii="Arial" w:cs="Arial" w:eastAsia="Arial" w:hAnsi="Arial"/>
          <w:sz w:val="16"/>
          <w:szCs w:val="16"/>
          <w:b w:val="1"/>
          <w:bCs w:val="1"/>
          <w:color w:val="auto"/>
        </w:rPr>
        <w:t>. Other than as provided herein, the terms and conditions of the Agreement are ratified and confirmed.</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spacing w:after="0"/>
              <w:rPr>
                <w:sz w:val="20"/>
                <w:szCs w:val="20"/>
                <w:color w:val="auto"/>
              </w:rPr>
            </w:pPr>
            <w:r>
              <w:rPr>
                <w:rFonts w:ascii="Arial" w:cs="Arial" w:eastAsia="Arial" w:hAnsi="Arial"/>
                <w:sz w:val="18"/>
                <w:szCs w:val="18"/>
                <w:b w:val="1"/>
                <w:bCs w:val="1"/>
                <w:color w:val="auto"/>
              </w:rPr>
              <w:t>WYNN RESORTS, LIMITED</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ARC</w:t>
            </w:r>
            <w:r>
              <w:rPr>
                <w:rFonts w:ascii="Arial" w:cs="Arial" w:eastAsia="Arial" w:hAnsi="Arial"/>
                <w:sz w:val="18"/>
                <w:szCs w:val="18"/>
                <w:color w:val="auto"/>
              </w:rPr>
              <w:t xml:space="preserve"> D. S</w:t>
            </w:r>
            <w:r>
              <w:rPr>
                <w:rFonts w:ascii="Arial" w:cs="Arial" w:eastAsia="Arial" w:hAnsi="Arial"/>
                <w:sz w:val="14"/>
                <w:szCs w:val="14"/>
                <w:color w:val="auto"/>
              </w:rPr>
              <w:t>CHORR</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Marc D. Schorr</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International Marketing, LLC (an Isle of Man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B/W Clothiers, LLC (a 50%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 (f.k.a. World Travel BBJ,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LRW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 East Aviation,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South China Air Limited (a Hong Kong limited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South China Heliport Management, Limited (a Hong Kong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 (f.k.a. WDD-Asia,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Resorts, International, Ltd. (an Isle of Man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Resorts (Macau) Holdings, Ltd. (an Isle of Man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Resorts (Macau), Ltd. (a Hong Kong Limited company)</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Wynn Resorts (Macau), S.A. (a Macau SA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Cotai Holding Company, Ltd. (an Isle of Man corporation)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Cotai Partner, Ltd. (an Isle of Man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Cotai Land Development Company (a Macau SA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IOM Holdco II, Ltd. (as Isle of Man company)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Manpower, Limited (a Macau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Completion Guarantor,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PW automotive, LLC (a Delaware Limited Liability Company and 50% owned joint venture)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 subsidiaries are formed in the State of Nevada and wholly-owned unless otherwise specifically identified.</w:t>
      </w:r>
    </w:p>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 333-100891 on Form S-8 and Registration Statement No. 333-114022 on Form S-3 of our reports dated February 27, 2007, with respect to the consolidated financial statements and schedules of Wynn Resorts, Limited, Wynn Resorts, Limited management’s assessment of the effectiveness of internal control over financial reporting, and the effectiveness of internal control over financial reporting of Wynn Resorts, Limited, included in this Annual Report on Form 10-K for the year ended December 31, 2006.</w:t>
      </w:r>
    </w:p>
    <w:p>
      <w:pPr>
        <w:spacing w:after="0" w:line="15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2007</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333-100891 on Form S-8 and Registration Statement No. 333-114022 on Form S-3 of our report dated March 15, 2006 relating to the consolidated financial statements and financial statement schedules of Wynn Resorts, Limited appearing in this Annual Report on Form 10-K for the year ended December 31,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2007</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 2007</w:t>
      </w:r>
    </w:p>
    <w:p>
      <w:pPr>
        <w:spacing w:after="0" w:line="212" w:lineRule="exact"/>
        <w:rPr>
          <w:sz w:val="20"/>
          <w:szCs w:val="20"/>
          <w:color w:val="auto"/>
        </w:rPr>
      </w:pPr>
    </w:p>
    <w:p>
      <w:pPr>
        <w:ind w:left="8120"/>
        <w:spacing w:after="0"/>
        <w:tabs>
          <w:tab w:leader="none" w:pos="8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Stephen A. Wynn</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6860"/>
        <w:spacing w:after="0" w:line="222"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Strzemp, certify that:</w:t>
      </w:r>
    </w:p>
    <w:p>
      <w:pPr>
        <w:spacing w:after="0" w:line="9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 2007</w:t>
      </w:r>
    </w:p>
    <w:p>
      <w:pPr>
        <w:spacing w:after="0" w:line="15" w:lineRule="exact"/>
        <w:rPr>
          <w:sz w:val="20"/>
          <w:szCs w:val="20"/>
          <w:color w:val="auto"/>
        </w:rPr>
      </w:pPr>
    </w:p>
    <w:p>
      <w:pPr>
        <w:ind w:left="8260"/>
        <w:spacing w:after="0"/>
        <w:tabs>
          <w:tab w:leader="none" w:pos="86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John Strzemp</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left="686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860"/>
        <w:spacing w:after="0" w:line="221" w:lineRule="auto"/>
        <w:rPr>
          <w:sz w:val="20"/>
          <w:szCs w:val="20"/>
          <w:color w:val="auto"/>
        </w:rPr>
      </w:pPr>
      <w:r>
        <w:rPr>
          <w:rFonts w:ascii="Arial" w:cs="Arial" w:eastAsia="Arial" w:hAnsi="Arial"/>
          <w:sz w:val="14"/>
          <w:szCs w:val="14"/>
          <w:b w:val="1"/>
          <w:bCs w:val="1"/>
          <w:color w:val="auto"/>
        </w:rPr>
        <w:t>(Principal Financial Officer</w:t>
      </w:r>
    </w:p>
    <w:p>
      <w:pPr>
        <w:jc w:val="center"/>
        <w:ind w:left="6860"/>
        <w:spacing w:after="0"/>
        <w:rPr>
          <w:sz w:val="20"/>
          <w:szCs w:val="20"/>
          <w:color w:val="auto"/>
        </w:rPr>
      </w:pPr>
      <w:r>
        <w:rPr>
          <w:rFonts w:ascii="Arial" w:cs="Arial" w:eastAsia="Arial" w:hAnsi="Arial"/>
          <w:sz w:val="14"/>
          <w:szCs w:val="14"/>
          <w:b w:val="1"/>
          <w:bCs w:val="1"/>
          <w:color w:val="auto"/>
        </w:rPr>
        <w:t>and Principal Accounting Officer)</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2006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Stephen A. Wynn</w:t>
            </w:r>
          </w:p>
        </w:tc>
      </w:tr>
      <w:tr>
        <w:trPr>
          <w:trHeight w:val="202"/>
        </w:trPr>
        <w:tc>
          <w:tcPr>
            <w:tcW w:w="560" w:type="dxa"/>
            <w:vAlign w:val="bottom"/>
            <w:gridSpan w:val="2"/>
          </w:tcPr>
          <w:p>
            <w:pPr>
              <w:spacing w:after="0" w:line="202" w:lineRule="exact"/>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Stephen A. Wynn</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w w:val="91"/>
              </w:rPr>
              <w:t>Chairman and Chief Executive Officer (Principal Executive</w:t>
            </w:r>
          </w:p>
        </w:tc>
      </w:tr>
      <w:tr>
        <w:trPr>
          <w:trHeight w:val="216"/>
        </w:trPr>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Officer)</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00"/>
              <w:spacing w:after="0"/>
              <w:rPr>
                <w:sz w:val="20"/>
                <w:szCs w:val="20"/>
                <w:color w:val="auto"/>
              </w:rPr>
            </w:pPr>
            <w:r>
              <w:rPr>
                <w:rFonts w:ascii="Arial" w:cs="Arial" w:eastAsia="Arial" w:hAnsi="Arial"/>
                <w:sz w:val="18"/>
                <w:szCs w:val="18"/>
                <w:color w:val="auto"/>
              </w:rPr>
              <w:t>March 1, 2007</w:t>
            </w:r>
          </w:p>
        </w:tc>
      </w:tr>
      <w:tr>
        <w:trPr>
          <w:trHeight w:val="231"/>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John Strzemp</w:t>
            </w:r>
          </w:p>
        </w:tc>
      </w:tr>
      <w:tr>
        <w:trPr>
          <w:trHeight w:val="208"/>
        </w:trPr>
        <w:tc>
          <w:tcPr>
            <w:tcW w:w="560" w:type="dxa"/>
            <w:vAlign w:val="bottom"/>
            <w:gridSpan w:val="2"/>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rPr>
                <w:sz w:val="20"/>
                <w:szCs w:val="20"/>
                <w:color w:val="auto"/>
              </w:rPr>
            </w:pPr>
            <w:r>
              <w:rPr>
                <w:rFonts w:ascii="Arial" w:cs="Arial" w:eastAsia="Arial" w:hAnsi="Arial"/>
                <w:sz w:val="18"/>
                <w:szCs w:val="18"/>
                <w:color w:val="auto"/>
              </w:rPr>
              <w:t>John Strzemp</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Financial Officer and Treasurer</w:t>
            </w:r>
          </w:p>
        </w:tc>
      </w:tr>
      <w:tr>
        <w:trPr>
          <w:trHeight w:val="216"/>
        </w:trPr>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00"/>
              <w:spacing w:after="0"/>
              <w:rPr>
                <w:sz w:val="20"/>
                <w:szCs w:val="20"/>
                <w:color w:val="auto"/>
              </w:rPr>
            </w:pPr>
            <w:r>
              <w:rPr>
                <w:rFonts w:ascii="Arial" w:cs="Arial" w:eastAsia="Arial" w:hAnsi="Arial"/>
                <w:sz w:val="18"/>
                <w:szCs w:val="18"/>
                <w:color w:val="auto"/>
              </w:rPr>
              <w:t>March 1, 2007</w:t>
            </w:r>
          </w:p>
        </w:tc>
      </w:tr>
    </w:tbl>
    <w:p>
      <w:pPr>
        <w:spacing w:after="0" w:line="15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Letter"/>
      <w:start w:val="2"/>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lvl w:ilvl="1">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lowerRoman"/>
      <w:start w:val="4"/>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2"/>
    </w:lvl>
  </w:abstractNum>
  <w:abstractNum w:abstractNumId="38">
    <w:nsid w:val="7644A45C"/>
    <w:multiLevelType w:val="hybridMultilevel"/>
    <w:lvl w:ilvl="0">
      <w:lvlJc w:val="left"/>
      <w:lvlText w:val="%1."/>
      <w:numFmt w:val="decimal"/>
      <w:start w:val="2"/>
    </w:lvl>
    <w:lvl w:ilvl="1">
      <w:lvlJc w:val="left"/>
      <w:lvlText w:val="•"/>
      <w:numFmt w:val="bullet"/>
      <w:start w:val="1"/>
    </w:lvl>
  </w:abstractNum>
  <w:abstractNum w:abstractNumId="39">
    <w:nsid w:val="32FFF902"/>
    <w:multiLevelType w:val="hybridMultilevel"/>
    <w:lvl w:ilvl="0">
      <w:lvlJc w:val="left"/>
      <w:lvlText w:val="%1."/>
      <w:numFmt w:val="decimal"/>
      <w:start w:val="9"/>
    </w:lvl>
  </w:abstractNum>
  <w:abstractNum w:abstractNumId="40">
    <w:nsid w:val="684A481A"/>
    <w:multiLevelType w:val="hybridMultilevel"/>
    <w:lvl w:ilvl="0">
      <w:lvlJc w:val="left"/>
      <w:lvlText w:val="%1."/>
      <w:numFmt w:val="decimal"/>
      <w:start w:val="10"/>
    </w:lvl>
  </w:abstractNum>
  <w:abstractNum w:abstractNumId="41">
    <w:nsid w:val="579478FE"/>
    <w:multiLevelType w:val="hybridMultilevel"/>
    <w:lvl w:ilvl="0">
      <w:lvlJc w:val="left"/>
      <w:lvlText w:val="%1."/>
      <w:numFmt w:val="decimal"/>
      <w:start w:val="11"/>
    </w:lvl>
  </w:abstractNum>
  <w:abstractNum w:abstractNumId="42">
    <w:nsid w:val="749ABB43"/>
    <w:multiLevelType w:val="hybridMultilevel"/>
    <w:lvl w:ilvl="0">
      <w:lvlJc w:val="left"/>
      <w:lvlText w:val="%1."/>
      <w:numFmt w:val="decimal"/>
      <w:start w:val="18"/>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3"/>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28"/>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2019-12-15T07:29:22Z</dcterms:created>
  <dcterms:modified xsi:type="dcterms:W3CDTF">2019-12-15T07:29:22Z</dcterms:modified>
</cp:coreProperties>
</file>