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_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Wynn Resorts,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983134107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983134107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Capital International Investors</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95-1411037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6,709,625</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6,937,229</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6,937,229 Beneficial ownership disclaimed pursuant to Rule 13d-4</w:t>
            </w: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6.4%</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620" w:right="7720" w:hanging="707"/>
        <w:spacing w:after="0" w:line="286" w:lineRule="auto"/>
        <w:tabs>
          <w:tab w:leader="none" w:pos="162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Issuer </w:t>
      </w:r>
      <w:r>
        <w:rPr>
          <w:rFonts w:ascii="Times New Roman" w:cs="Times New Roman" w:eastAsia="Times New Roman" w:hAnsi="Times New Roman"/>
          <w:sz w:val="21"/>
          <w:szCs w:val="21"/>
          <w:color w:val="auto"/>
        </w:rPr>
        <w:t>Wynn Resorts, Ltd.</w:t>
      </w:r>
    </w:p>
    <w:p>
      <w:pPr>
        <w:spacing w:after="0" w:line="45" w:lineRule="exact"/>
        <w:rPr>
          <w:rFonts w:ascii="Times New Roman" w:cs="Times New Roman" w:eastAsia="Times New Roman" w:hAnsi="Times New Roman"/>
          <w:sz w:val="21"/>
          <w:szCs w:val="21"/>
          <w:b w:val="1"/>
          <w:bCs w:val="1"/>
          <w:color w:val="auto"/>
        </w:rPr>
      </w:pPr>
    </w:p>
    <w:p>
      <w:pPr>
        <w:ind w:left="1620" w:hanging="707"/>
        <w:spacing w:after="0"/>
        <w:tabs>
          <w:tab w:leader="none" w:pos="162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of Issuer's Principal Executive Offices</w:t>
      </w:r>
    </w:p>
    <w:p>
      <w:pPr>
        <w:spacing w:after="0" w:line="18" w:lineRule="exact"/>
        <w:rPr>
          <w:rFonts w:ascii="Times New Roman" w:cs="Times New Roman" w:eastAsia="Times New Roman" w:hAnsi="Times New Roman"/>
          <w:sz w:val="22"/>
          <w:szCs w:val="22"/>
          <w:b w:val="1"/>
          <w:bCs w:val="1"/>
          <w:color w:val="auto"/>
        </w:rPr>
      </w:pPr>
    </w:p>
    <w:p>
      <w:pPr>
        <w:ind w:left="1620" w:right="420"/>
        <w:spacing w:after="0" w:line="237"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3131 Las Vegas Boulevard South, 3131 Las Vegas Blvd S Spa Level, Executive Offices, Las Vegas, NV 89109</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620" w:right="678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Person Filing </w:t>
      </w:r>
      <w:r>
        <w:rPr>
          <w:rFonts w:ascii="Times New Roman" w:cs="Times New Roman" w:eastAsia="Times New Roman" w:hAnsi="Times New Roman"/>
          <w:sz w:val="21"/>
          <w:szCs w:val="21"/>
          <w:color w:val="auto"/>
        </w:rPr>
        <w:t>Capital International Investors</w:t>
      </w:r>
    </w:p>
    <w:p>
      <w:pPr>
        <w:spacing w:after="0" w:line="45" w:lineRule="exact"/>
        <w:rPr>
          <w:rFonts w:ascii="Times New Roman" w:cs="Times New Roman" w:eastAsia="Times New Roman" w:hAnsi="Times New Roman"/>
          <w:sz w:val="21"/>
          <w:szCs w:val="21"/>
          <w:b w:val="1"/>
          <w:bCs w:val="1"/>
          <w:color w:val="auto"/>
        </w:rPr>
      </w:pPr>
    </w:p>
    <w:p>
      <w:pPr>
        <w:ind w:left="1620" w:right="400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Principal Business Office or, if None, Residence </w:t>
      </w:r>
      <w:r>
        <w:rPr>
          <w:rFonts w:ascii="Times New Roman" w:cs="Times New Roman" w:eastAsia="Times New Roman" w:hAnsi="Times New Roman"/>
          <w:sz w:val="21"/>
          <w:szCs w:val="21"/>
          <w:color w:val="auto"/>
        </w:rPr>
        <w:t>333 South Hope Street, 55th Fl, Los Angeles, CA 90071</w:t>
      </w:r>
    </w:p>
    <w:p>
      <w:pPr>
        <w:spacing w:after="0" w:line="45" w:lineRule="exact"/>
        <w:rPr>
          <w:rFonts w:ascii="Times New Roman" w:cs="Times New Roman" w:eastAsia="Times New Roman" w:hAnsi="Times New Roman"/>
          <w:sz w:val="21"/>
          <w:szCs w:val="21"/>
          <w:b w:val="1"/>
          <w:bCs w:val="1"/>
          <w:color w:val="auto"/>
        </w:rPr>
      </w:pPr>
    </w:p>
    <w:p>
      <w:pPr>
        <w:ind w:left="1620" w:right="836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Citizenship </w:t>
      </w:r>
      <w:r>
        <w:rPr>
          <w:rFonts w:ascii="Times New Roman" w:cs="Times New Roman" w:eastAsia="Times New Roman" w:hAnsi="Times New Roman"/>
          <w:sz w:val="21"/>
          <w:szCs w:val="21"/>
          <w:color w:val="auto"/>
        </w:rPr>
        <w:t>N/A</w:t>
      </w:r>
    </w:p>
    <w:p>
      <w:pPr>
        <w:spacing w:after="0" w:line="45" w:lineRule="exact"/>
        <w:rPr>
          <w:rFonts w:ascii="Times New Roman" w:cs="Times New Roman" w:eastAsia="Times New Roman" w:hAnsi="Times New Roman"/>
          <w:sz w:val="21"/>
          <w:szCs w:val="21"/>
          <w:b w:val="1"/>
          <w:bCs w:val="1"/>
          <w:color w:val="auto"/>
        </w:rPr>
      </w:pPr>
    </w:p>
    <w:p>
      <w:pPr>
        <w:ind w:left="1620" w:right="7000" w:hanging="707"/>
        <w:spacing w:after="0" w:line="262" w:lineRule="auto"/>
        <w:tabs>
          <w:tab w:leader="none" w:pos="16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620" w:right="794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983134107</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ectPr>
          <w:pgSz w:w="11900" w:h="16838" w:orient="portrait"/>
          <w:cols w:equalWidth="0" w:num="1">
            <w:col w:w="11020"/>
          </w:cols>
          <w:pgMar w:left="400" w:top="419" w:right="479" w:bottom="0" w:gutter="0" w:footer="0" w:header="0"/>
        </w:sectPr>
      </w:pPr>
    </w:p>
    <w:p>
      <w:pPr>
        <w:spacing w:after="0" w:line="129"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2"/>
          <w:szCs w:val="22"/>
          <w:color w:val="auto"/>
        </w:rPr>
        <w:t>[X]</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(g)</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(h)</w:t>
      </w:r>
      <w:r>
        <w:rPr>
          <w:sz w:val="20"/>
          <w:szCs w:val="20"/>
          <w:color w:val="auto"/>
        </w:rPr>
        <w:tab/>
      </w:r>
      <w:r>
        <w:rPr>
          <w:rFonts w:ascii="Times New Roman" w:cs="Times New Roman" w:eastAsia="Times New Roman" w:hAnsi="Times New Roman"/>
          <w:sz w:val="22"/>
          <w:szCs w:val="22"/>
          <w:color w:val="auto"/>
        </w:rPr>
        <w:t>[ ]</w:t>
      </w:r>
    </w:p>
    <w:p>
      <w:pPr>
        <w:spacing w:after="0" w:line="368"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(j)</w:t>
      </w:r>
      <w:r>
        <w:rPr>
          <w:sz w:val="20"/>
          <w:szCs w:val="20"/>
          <w:color w:val="auto"/>
        </w:rPr>
        <w:tab/>
      </w:r>
      <w:r>
        <w:rPr>
          <w:rFonts w:ascii="Times New Roman" w:cs="Times New Roman" w:eastAsia="Times New Roman" w:hAnsi="Times New Roman"/>
          <w:sz w:val="22"/>
          <w:szCs w:val="22"/>
          <w:color w:val="auto"/>
        </w:rPr>
        <w:t>[ ]</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ind w:left="8" w:right="560"/>
        <w:spacing w:after="0" w:line="258"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left="8" w:right="44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ind w:left="8" w:right="240"/>
        <w:spacing w:after="0" w:line="258" w:lineRule="auto"/>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21"/>
          <w:szCs w:val="21"/>
          <w:color w:val="auto"/>
        </w:rPr>
        <w:t>A church plan that is excluded from the definition of an investment company under Section 3(c)</w:t>
      </w:r>
    </w:p>
    <w:p>
      <w:pPr>
        <w:spacing w:after="0" w:line="26" w:lineRule="exact"/>
        <w:rPr>
          <w:sz w:val="20"/>
          <w:szCs w:val="20"/>
          <w:color w:val="auto"/>
        </w:rPr>
      </w:pPr>
    </w:p>
    <w:p>
      <w:pPr>
        <w:ind w:left="8" w:right="3040" w:hanging="8"/>
        <w:spacing w:after="0" w:line="363" w:lineRule="auto"/>
        <w:tabs>
          <w:tab w:leader="none" w:pos="42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Investment Company Act of 1940 (15 U.S.C. 80a-3); Group, in accordance with Rule 240.13d-1(b)(1)(ii)(J).</w:t>
      </w:r>
    </w:p>
    <w:p>
      <w:pPr>
        <w:spacing w:after="0" w:line="344" w:lineRule="exact"/>
        <w:rPr>
          <w:sz w:val="20"/>
          <w:szCs w:val="20"/>
          <w:color w:val="auto"/>
        </w:rPr>
      </w:pPr>
    </w:p>
    <w:p>
      <w:pPr>
        <w:sectPr>
          <w:pgSz w:w="11900" w:h="16838" w:orient="portrait"/>
          <w:cols w:equalWidth="0" w:num="2">
            <w:col w:w="1980" w:space="432"/>
            <w:col w:w="8608"/>
          </w:cols>
          <w:pgMar w:left="400" w:top="419" w:right="479" w:bottom="0" w:gutter="0" w:footer="0" w:header="0"/>
          <w:type w:val="continuous"/>
        </w:sect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19" w:right="479" w:bottom="0" w:gutter="0" w:footer="0" w:header="0"/>
          <w:type w:val="continuous"/>
        </w:sectPr>
      </w:pPr>
    </w:p>
    <w:p>
      <w:pPr>
        <w:spacing w:after="0" w:line="77" w:lineRule="exact"/>
        <w:rPr>
          <w:sz w:val="20"/>
          <w:szCs w:val="20"/>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6,937,229 **</w:t>
      </w:r>
    </w:p>
    <w:p>
      <w:pPr>
        <w:spacing w:after="0" w:line="125" w:lineRule="exact"/>
        <w:rPr>
          <w:rFonts w:ascii="Times New Roman" w:cs="Times New Roman" w:eastAsia="Times New Roman" w:hAnsi="Times New Roman"/>
          <w:sz w:val="22"/>
          <w:szCs w:val="22"/>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6.4%</w:t>
      </w:r>
    </w:p>
    <w:p>
      <w:pPr>
        <w:spacing w:after="0" w:line="125" w:lineRule="exact"/>
        <w:rPr>
          <w:rFonts w:ascii="Times New Roman" w:cs="Times New Roman" w:eastAsia="Times New Roman" w:hAnsi="Times New Roman"/>
          <w:sz w:val="22"/>
          <w:szCs w:val="22"/>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 power to dispose or to direct the disposition of</w:t>
      </w:r>
    </w:p>
    <w:p>
      <w:pPr>
        <w:spacing w:after="0" w:line="172" w:lineRule="exact"/>
        <w:rPr>
          <w:rFonts w:ascii="Times New Roman" w:cs="Times New Roman" w:eastAsia="Times New Roman" w:hAnsi="Times New Roman"/>
          <w:sz w:val="39"/>
          <w:szCs w:val="39"/>
          <w:color w:val="auto"/>
          <w:vertAlign w:val="subscript"/>
        </w:rPr>
      </w:pPr>
    </w:p>
    <w:p>
      <w:pPr>
        <w:ind w:left="2420" w:right="780" w:hanging="805"/>
        <w:spacing w:after="0" w:line="185" w:lineRule="auto"/>
        <w:tabs>
          <w:tab w:leader="none" w:pos="242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6,709,625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6,937,229</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6" w:lineRule="exact"/>
        <w:rPr>
          <w:sz w:val="20"/>
          <w:szCs w:val="20"/>
          <w:color w:val="auto"/>
        </w:rPr>
      </w:pPr>
    </w:p>
    <w:p>
      <w:pPr>
        <w:sectPr>
          <w:pgSz w:w="11900" w:h="16838" w:orient="portrait"/>
          <w:cols w:equalWidth="0" w:num="2">
            <w:col w:w="6600" w:space="260"/>
            <w:col w:w="4160"/>
          </w:cols>
          <w:pgMar w:left="400" w:top="419" w:right="479" w:bottom="0" w:gutter="0" w:footer="0" w:header="0"/>
          <w:type w:val="continuous"/>
        </w:sectPr>
      </w:pPr>
    </w:p>
    <w:p>
      <w:pPr>
        <w:spacing w:after="0" w:line="239" w:lineRule="auto"/>
        <w:rPr>
          <w:sz w:val="20"/>
          <w:szCs w:val="20"/>
          <w:color w:val="auto"/>
        </w:rPr>
      </w:pPr>
      <w:r>
        <w:rPr>
          <w:rFonts w:ascii="Times New Roman" w:cs="Times New Roman" w:eastAsia="Times New Roman" w:hAnsi="Times New Roman"/>
          <w:sz w:val="22"/>
          <w:szCs w:val="22"/>
          <w:color w:val="auto"/>
        </w:rPr>
        <w:t>**Capital International Investors ("CII") is a division of Capital Research and Management Company ("CRMC"), as well as its investment management subsidiaries and affiliates Capital Bank and Trust Company, Capital International, Inc., Capital International Limited, Capital International Sarl and Capital International K.K. (together with CRMC, the "investment management entities"). CII's divisions of each of the investment management entities collectively provide investment</w:t>
      </w:r>
    </w:p>
    <w:p>
      <w:pPr>
        <w:sectPr>
          <w:pgSz w:w="11900" w:h="16838" w:orient="portrait"/>
          <w:cols w:equalWidth="0" w:num="1">
            <w:col w:w="11020"/>
          </w:cols>
          <w:pgMar w:left="400" w:top="419" w:right="479" w:bottom="0" w:gutter="0" w:footer="0" w:header="0"/>
          <w:type w:val="continuous"/>
        </w:sectPr>
      </w:pPr>
    </w:p>
    <w:bookmarkStart w:id="3" w:name="page4"/>
    <w:bookmarkEnd w:id="3"/>
    <w:p>
      <w:pPr>
        <w:ind w:right="120"/>
        <w:spacing w:after="0" w:line="259" w:lineRule="auto"/>
        <w:rPr>
          <w:sz w:val="20"/>
          <w:szCs w:val="20"/>
          <w:color w:val="auto"/>
        </w:rPr>
      </w:pPr>
      <w:r>
        <w:rPr>
          <w:rFonts w:ascii="Times New Roman" w:cs="Times New Roman" w:eastAsia="Times New Roman" w:hAnsi="Times New Roman"/>
          <w:sz w:val="22"/>
          <w:szCs w:val="22"/>
          <w:color w:val="auto"/>
        </w:rPr>
        <w:t>management services under the name "Capital International Investors." CII is deemed to be the beneficial owner of 6,937,229 shares or 6.4% of the 107,870,602 shares believed to be outstanding.</w:t>
      </w:r>
    </w:p>
    <w:p>
      <w:pPr>
        <w:spacing w:after="0" w:line="7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ind w:left="920" w:right="36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2" w:right="499" w:bottom="1440" w:gutter="0" w:footer="0" w:header="0"/>
        </w:sectPr>
      </w:pPr>
    </w:p>
    <w:bookmarkStart w:id="4" w:name="page5"/>
    <w:bookmarkEnd w:id="4"/>
    <w:p>
      <w:pPr>
        <w:ind w:left="388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0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Capital International Investors</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Walter R. Burkley</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Date: February 16, 2021</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Walter R. Burkley</w:t>
      </w:r>
    </w:p>
    <w:p>
      <w:pPr>
        <w:spacing w:after="0" w:line="44" w:lineRule="exact"/>
        <w:rPr>
          <w:sz w:val="20"/>
          <w:szCs w:val="20"/>
          <w:color w:val="auto"/>
        </w:rPr>
      </w:pPr>
    </w:p>
    <w:p>
      <w:pPr>
        <w:ind w:left="600"/>
        <w:spacing w:after="0" w:line="258" w:lineRule="auto"/>
        <w:rPr>
          <w:sz w:val="20"/>
          <w:szCs w:val="20"/>
          <w:color w:val="auto"/>
        </w:rPr>
      </w:pPr>
      <w:r>
        <w:rPr>
          <w:rFonts w:ascii="Times New Roman" w:cs="Times New Roman" w:eastAsia="Times New Roman" w:hAnsi="Times New Roman"/>
          <w:sz w:val="22"/>
          <w:szCs w:val="22"/>
          <w:color w:val="auto"/>
        </w:rPr>
        <w:t>Title: Senior Vice President and Senior Counsel, Fund Business Management Group, Capital Research and Management Company</w:t>
      </w:r>
    </w:p>
    <w:sectPr>
      <w:pgSz w:w="11900" w:h="16838" w:orient="portrait"/>
      <w:cols w:equalWidth="0" w:num="1">
        <w:col w:w="9840"/>
      </w:cols>
      <w:pgMar w:left="1440" w:top="405"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decimal"/>
      <w:start w:val="14"/>
    </w:lvl>
  </w:abstractNum>
  <w:abstractNum w:abstractNumId="4">
    <w:nsid w:val="46E87CC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2021-02-16T13:26:20Z</dcterms:created>
  <dcterms:modified xsi:type="dcterms:W3CDTF">2021-02-16T13:26:20Z</dcterms:modified>
</cp:coreProperties>
</file>