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313055</wp:posOffset>
            </wp:positionV>
            <wp:extent cx="28898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178435</wp:posOffset>
            </wp:positionV>
            <wp:extent cx="2889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191135</wp:posOffset>
            </wp:positionV>
            <wp:extent cx="2889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0"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286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540" w:type="dxa"/>
            <w:vAlign w:val="bottom"/>
          </w:tcPr>
          <w:p>
            <w:pPr>
              <w:ind w:left="1780"/>
              <w:spacing w:after="0"/>
              <w:rPr>
                <w:sz w:val="20"/>
                <w:szCs w:val="20"/>
                <w:color w:val="auto"/>
              </w:rPr>
            </w:pPr>
            <w:r>
              <w:rPr>
                <w:rFonts w:ascii="Arial" w:cs="Arial" w:eastAsia="Arial" w:hAnsi="Arial"/>
                <w:sz w:val="18"/>
                <w:szCs w:val="18"/>
                <w:b w:val="1"/>
                <w:bCs w:val="1"/>
                <w:color w:val="auto"/>
              </w:rPr>
              <w:t>000-50028</w:t>
            </w:r>
          </w:p>
        </w:tc>
        <w:tc>
          <w:tcPr>
            <w:tcW w:w="204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6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(State or other jurisdiction</w:t>
            </w:r>
          </w:p>
        </w:tc>
        <w:tc>
          <w:tcPr>
            <w:tcW w:w="4540" w:type="dxa"/>
            <w:vAlign w:val="bottom"/>
          </w:tcPr>
          <w:p>
            <w:pPr>
              <w:ind w:left="1760"/>
              <w:spacing w:after="0"/>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540" w:type="dxa"/>
            <w:vAlign w:val="bottom"/>
          </w:tcPr>
          <w:p>
            <w:pPr>
              <w:ind w:left="176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41"/>
              <w:spacing w:after="0"/>
              <w:rPr>
                <w:sz w:val="20"/>
                <w:szCs w:val="20"/>
                <w:color w:val="auto"/>
              </w:rPr>
            </w:pPr>
            <w:r>
              <w:rPr>
                <w:rFonts w:ascii="Arial" w:cs="Arial" w:eastAsia="Arial" w:hAnsi="Arial"/>
                <w:sz w:val="14"/>
                <w:szCs w:val="14"/>
                <w:b w:val="1"/>
                <w:bCs w:val="1"/>
                <w:color w:val="auto"/>
                <w:w w:val="94"/>
              </w:rPr>
              <w:t>Identification No.)</w:t>
            </w:r>
          </w:p>
        </w:tc>
      </w:tr>
      <w:tr>
        <w:trPr>
          <w:trHeight w:val="255"/>
        </w:trPr>
        <w:tc>
          <w:tcPr>
            <w:tcW w:w="2860" w:type="dxa"/>
            <w:vAlign w:val="bottom"/>
          </w:tcPr>
          <w:p>
            <w:pPr>
              <w:jc w:val="center"/>
              <w:ind w:right="259"/>
              <w:spacing w:after="0"/>
              <w:rPr>
                <w:sz w:val="20"/>
                <w:szCs w:val="20"/>
                <w:color w:val="auto"/>
              </w:rPr>
            </w:pPr>
            <w:r>
              <w:rPr>
                <w:rFonts w:ascii="Arial" w:cs="Arial" w:eastAsia="Arial" w:hAnsi="Arial"/>
                <w:sz w:val="18"/>
                <w:szCs w:val="18"/>
                <w:b w:val="1"/>
                <w:bCs w:val="1"/>
                <w:color w:val="auto"/>
                <w:w w:val="88"/>
              </w:rPr>
              <w:t>3131 Las Vegas Boulevard South</w:t>
            </w:r>
          </w:p>
        </w:tc>
        <w:tc>
          <w:tcPr>
            <w:tcW w:w="45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70"/>
        </w:trPr>
        <w:tc>
          <w:tcPr>
            <w:tcW w:w="2860" w:type="dxa"/>
            <w:vAlign w:val="bottom"/>
          </w:tcPr>
          <w:p>
            <w:pPr>
              <w:ind w:left="340"/>
              <w:spacing w:after="0"/>
              <w:rPr>
                <w:sz w:val="20"/>
                <w:szCs w:val="20"/>
                <w:color w:val="auto"/>
              </w:rPr>
            </w:pPr>
            <w:r>
              <w:rPr>
                <w:rFonts w:ascii="Arial" w:cs="Arial" w:eastAsia="Arial" w:hAnsi="Arial"/>
                <w:sz w:val="18"/>
                <w:szCs w:val="18"/>
                <w:b w:val="1"/>
                <w:bCs w:val="1"/>
                <w:color w:val="auto"/>
              </w:rPr>
              <w:t>Las Vegas,  Nevada</w:t>
            </w:r>
          </w:p>
        </w:tc>
        <w:tc>
          <w:tcPr>
            <w:tcW w:w="4540" w:type="dxa"/>
            <w:vAlign w:val="bottom"/>
          </w:tcPr>
          <w:p>
            <w:pPr>
              <w:spacing w:after="0"/>
              <w:rPr>
                <w:sz w:val="23"/>
                <w:szCs w:val="23"/>
                <w:color w:val="auto"/>
              </w:rPr>
            </w:pPr>
          </w:p>
        </w:tc>
        <w:tc>
          <w:tcPr>
            <w:tcW w:w="204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6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40" w:type="dxa"/>
            <w:vAlign w:val="bottom"/>
          </w:tcPr>
          <w:p>
            <w:pPr>
              <w:spacing w:after="0"/>
              <w:rPr>
                <w:sz w:val="18"/>
                <w:szCs w:val="18"/>
                <w:color w:val="auto"/>
              </w:rPr>
            </w:pPr>
          </w:p>
        </w:tc>
        <w:tc>
          <w:tcPr>
            <w:tcW w:w="2040" w:type="dxa"/>
            <w:vAlign w:val="bottom"/>
          </w:tcPr>
          <w:p>
            <w:pPr>
              <w:jc w:val="center"/>
              <w:ind w:left="821"/>
              <w:spacing w:after="0"/>
              <w:rPr>
                <w:sz w:val="20"/>
                <w:szCs w:val="20"/>
                <w:color w:val="auto"/>
              </w:rPr>
            </w:pPr>
            <w:r>
              <w:rPr>
                <w:rFonts w:ascii="Arial" w:cs="Arial" w:eastAsia="Arial" w:hAnsi="Arial"/>
                <w:sz w:val="14"/>
                <w:szCs w:val="14"/>
                <w:b w:val="1"/>
                <w:bCs w:val="1"/>
                <w:color w:val="auto"/>
                <w:w w:val="95"/>
              </w:rPr>
              <w:t>(Zip Code)</w:t>
            </w:r>
          </w:p>
        </w:tc>
      </w:tr>
      <w:tr>
        <w:trPr>
          <w:trHeight w:val="421"/>
        </w:trPr>
        <w:tc>
          <w:tcPr>
            <w:tcW w:w="286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2040" w:type="dxa"/>
            <w:vAlign w:val="bottom"/>
          </w:tcPr>
          <w:p>
            <w:pPr>
              <w:spacing w:after="0"/>
              <w:rPr>
                <w:sz w:val="24"/>
                <w:szCs w:val="24"/>
                <w:color w:val="auto"/>
              </w:rPr>
            </w:pPr>
          </w:p>
        </w:tc>
      </w:tr>
      <w:tr>
        <w:trPr>
          <w:trHeight w:val="186"/>
        </w:trPr>
        <w:tc>
          <w:tcPr>
            <w:tcW w:w="2860" w:type="dxa"/>
            <w:vAlign w:val="bottom"/>
          </w:tcPr>
          <w:p>
            <w:pPr>
              <w:spacing w:after="0"/>
              <w:rPr>
                <w:sz w:val="16"/>
                <w:szCs w:val="16"/>
                <w:color w:val="auto"/>
              </w:rPr>
            </w:pPr>
          </w:p>
        </w:tc>
        <w:tc>
          <w:tcPr>
            <w:tcW w:w="454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40" w:type="dxa"/>
            <w:vAlign w:val="bottom"/>
          </w:tcPr>
          <w:p>
            <w:pPr>
              <w:spacing w:after="0"/>
              <w:rPr>
                <w:sz w:val="16"/>
                <w:szCs w:val="16"/>
                <w:color w:val="auto"/>
              </w:rPr>
            </w:pPr>
          </w:p>
        </w:tc>
      </w:tr>
      <w:tr>
        <w:trPr>
          <w:trHeight w:val="408"/>
        </w:trPr>
        <w:tc>
          <w:tcPr>
            <w:tcW w:w="286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2040" w:type="dxa"/>
            <w:vAlign w:val="bottom"/>
          </w:tcPr>
          <w:p>
            <w:pPr>
              <w:spacing w:after="0"/>
              <w:rPr>
                <w:sz w:val="24"/>
                <w:szCs w:val="24"/>
                <w:color w:val="auto"/>
              </w:rPr>
            </w:pPr>
          </w:p>
        </w:tc>
      </w:tr>
      <w:tr>
        <w:trPr>
          <w:trHeight w:val="186"/>
        </w:trPr>
        <w:tc>
          <w:tcPr>
            <w:tcW w:w="2860" w:type="dxa"/>
            <w:vAlign w:val="bottom"/>
          </w:tcPr>
          <w:p>
            <w:pPr>
              <w:spacing w:after="0"/>
              <w:rPr>
                <w:sz w:val="16"/>
                <w:szCs w:val="16"/>
                <w:color w:val="auto"/>
              </w:rPr>
            </w:pPr>
          </w:p>
        </w:tc>
        <w:tc>
          <w:tcPr>
            <w:tcW w:w="454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40" w:type="dxa"/>
            <w:vAlign w:val="bottom"/>
          </w:tcPr>
          <w:p>
            <w:pPr>
              <w:spacing w:after="0"/>
              <w:rPr>
                <w:sz w:val="16"/>
                <w:szCs w:val="16"/>
                <w:color w:val="auto"/>
              </w:rPr>
            </w:pPr>
          </w:p>
        </w:tc>
      </w:tr>
      <w:tr>
        <w:trPr>
          <w:trHeight w:val="26"/>
        </w:trPr>
        <w:tc>
          <w:tcPr>
            <w:tcW w:w="286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bl>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44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6"/>
              </w:rPr>
              <w:t>Title of each class</w:t>
            </w:r>
          </w:p>
        </w:tc>
        <w:tc>
          <w:tcPr>
            <w:tcW w:w="29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Trading Symbol(s)</w:t>
            </w:r>
          </w:p>
        </w:tc>
        <w:tc>
          <w:tcPr>
            <w:tcW w:w="422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292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Common stock, par value $0.01</w:t>
            </w:r>
          </w:p>
        </w:tc>
        <w:tc>
          <w:tcPr>
            <w:tcW w:w="600" w:type="dxa"/>
            <w:vAlign w:val="bottom"/>
          </w:tcPr>
          <w:p>
            <w:pPr>
              <w:spacing w:after="0"/>
              <w:rPr>
                <w:sz w:val="24"/>
                <w:szCs w:val="24"/>
                <w:color w:val="auto"/>
              </w:rPr>
            </w:pPr>
          </w:p>
        </w:tc>
        <w:tc>
          <w:tcPr>
            <w:tcW w:w="2320" w:type="dxa"/>
            <w:vAlign w:val="bottom"/>
            <w:gridSpan w:val="2"/>
          </w:tcPr>
          <w:p>
            <w:pPr>
              <w:jc w:val="center"/>
              <w:ind w:right="880"/>
              <w:spacing w:after="0"/>
              <w:rPr>
                <w:sz w:val="20"/>
                <w:szCs w:val="20"/>
                <w:color w:val="auto"/>
              </w:rPr>
            </w:pPr>
            <w:r>
              <w:rPr>
                <w:rFonts w:ascii="Arial" w:cs="Arial" w:eastAsia="Arial" w:hAnsi="Arial"/>
                <w:sz w:val="18"/>
                <w:szCs w:val="18"/>
                <w:color w:val="auto"/>
              </w:rPr>
              <w:t>WYNN</w:t>
            </w:r>
          </w:p>
        </w:tc>
        <w:tc>
          <w:tcPr>
            <w:tcW w:w="8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spacing w:after="0" w:line="24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57" w:right="259" w:bottom="1440" w:gutter="0" w:footer="0" w:header="0"/>
        </w:sectPr>
      </w:pPr>
    </w:p>
    <w:bookmarkStart w:id="1" w:name="page2"/>
    <w:bookmarkEnd w:id="1"/>
    <w:p>
      <w:pPr>
        <w:ind w:left="20"/>
        <w:spacing w:after="0"/>
        <w:tabs>
          <w:tab w:leader="none" w:pos="13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On February 6, 2020, Wynn Resorts, Limited issued a press release announcing its results of operations for the quarter ended December 31, 2019.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373"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On February 6, 2020, the Company announced a cash dividend of $1.00 per share, payable on March 6, 2020 to stockholders of record as of February 26, 2020.</w:t>
      </w:r>
    </w:p>
    <w:p>
      <w:pPr>
        <w:spacing w:after="0" w:line="6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On February 4, 2020, the government of the Special Administrative Region of Macau announced the closure of all casino operations in Macau, including those at Wynn Palace and Wynn Macau, for a period of 15 days. We currently expect hotel and certain food and beverage operations at our Macau Operations will remain open during this period.</w:t>
      </w:r>
    </w:p>
    <w:p>
      <w:pPr>
        <w:spacing w:after="0" w:line="366"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0" w:lineRule="exact"/>
        <w:rPr>
          <w:sz w:val="20"/>
          <w:szCs w:val="20"/>
          <w:color w:val="auto"/>
        </w:rPr>
      </w:pPr>
    </w:p>
    <w:p>
      <w:pPr>
        <w:ind w:left="580" w:hanging="53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68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February 6, 2020, of Wynn Resorts, Limited.</w:t>
              </w:r>
            </w:hyperlink>
          </w:p>
        </w:tc>
        <w:tc>
          <w:tcPr>
            <w:tcW w:w="5340" w:type="dxa"/>
            <w:vAlign w:val="bottom"/>
          </w:tcPr>
          <w:p>
            <w:pPr>
              <w:spacing w:after="0"/>
              <w:rPr>
                <w:sz w:val="24"/>
                <w:szCs w:val="24"/>
                <w:color w:val="auto"/>
              </w:rPr>
            </w:pPr>
          </w:p>
        </w:tc>
      </w:tr>
      <w:tr>
        <w:trPr>
          <w:trHeight w:val="291"/>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63"/>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WYNN RESORTS, LIMITED</w:t>
      </w:r>
    </w:p>
    <w:p>
      <w:pPr>
        <w:spacing w:after="0" w:line="121" w:lineRule="exact"/>
        <w:rPr>
          <w:sz w:val="20"/>
          <w:szCs w:val="20"/>
          <w:color w:val="auto"/>
        </w:rPr>
      </w:pPr>
    </w:p>
    <w:p>
      <w:pPr>
        <w:ind w:left="20"/>
        <w:spacing w:after="0"/>
        <w:tabs>
          <w:tab w:leader="none" w:pos="6560" w:val="left"/>
          <w:tab w:leader="none" w:pos="7300" w:val="left"/>
        </w:tabs>
        <w:rPr>
          <w:sz w:val="20"/>
          <w:szCs w:val="20"/>
          <w:color w:val="auto"/>
        </w:rPr>
      </w:pPr>
      <w:r>
        <w:rPr>
          <w:rFonts w:ascii="Arial" w:cs="Arial" w:eastAsia="Arial" w:hAnsi="Arial"/>
          <w:sz w:val="18"/>
          <w:szCs w:val="18"/>
          <w:color w:val="auto"/>
        </w:rPr>
        <w:t>Dated: February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58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4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89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Fourth Quarter and Year End 2019 Results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LAS VEGAS, February 6, 2020 — Wynn Resorts, Limited (NASDAQ: WYNN) (the "Company") today reported financial results for the fourth quarter and year ended December 31, 2019.</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Operating revenues were $1.65 billion for the fourth quarter of 2019, a decrease of 2.0%, or $34.1 million, from $1.69 billion for the fourth quarter of 2018. Net loss attributable to Wynn Resorts, Limited was $72.9 million, or $0.68 per diluted share, for the fourth quarter of 2019, compared to net income attributable to Wynn Resorts, Limited of $464.9 million, or $4.31 per diluted share, in the fourth quarter of 2018 (which included a net tax benefit of $390.9 million related to U.S. tax reform).</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delivered solid financial results in the fourth quarter of 2019, growing Adjusted Property EBITDA nearly 12% sequentially compared to the third quarter," said Matt Maddox, CEO of Wynn Resorts, Limited. "In Macau, the investments we have made position us well to compete in any market environment, supported by another quarter of record mass table win. Our strategy at Wynn Las Vegas is producing results, driving year-over-year volume growth in our domestic gaming business along with 3% growth in RevPAR. Encore Boston Harbor continues to ramp nearly doubling its Adjusted Property EBITDA sequentially and we remain excited by the opportunity to drive growth at the property over the next several years."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was also a successful quarter on the development front as we made significant progress rolling out the industry’s leading global growth pipeline. In November, we launched key portions of the new Lakeside Casino at Wynn Macau, further solidifying the property as the peninsula's marquee integrated resort. In Las Vegas, construction on our 430,000 square foot meeting and convention expansion is complete and we are gearing up to welcome our first groups to the new space. We are excited about the outlook for the Company and we will continue to focus on leveraging our premium-focused business model to drive long-term returns for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revenues were $1.65 billion for the fourth quarter of 2019, a decrease of 2.0%, or $34.1 million, from $1.69 billion for the fourth quarter of 2018. Operating revenues decreased $150.6 million, $28.0 million, and $24.9 million at Wynn Palace, Wynn Macau, and our Las Vegas Operations, respectively, from the fourth quarter of 2018 to 2019. The decrease in operating revenues at Wynn Palace, Wynn Macau, and our Las Vegas Operations was partially offset by operating revenues from Encore Boston Harbor of $169.3 million.</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 U.S. generally accepted accounting principles ("GAAP") basis, net loss attributable to Wynn Resorts, Limited was $72.9 million, or $0.68 per diluted share, for the fourth quarter of 2019, compared to net income attributable to Wynn Resorts, Limited of $464.9 million, or $4.31 per diluted share, in the fourth quarter of 2018. Our fourth quarter 2019 results included a net tax provision of $157.4 million, primarily related to an increase in the valuation allowance on our deferred tax assets. Our fourth quarter 2018 results included a net tax benefit of $390.9 million recorded in connection with U.S. tax reform. Adjusted net loss attributable to Wynn Resorts, Limited (1) was $65.6 million, or $0.62 per diluted share, for the fourth quarter of 2019, compared to adjusted net income attributable to Wynn Resorts, Limited of $102.2 million, or $0.95 per diluted share, for the fourth quarter of 2018.</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Property EBITDA (2) was $443.1 million for the fourth quarter of 2019, a decrease of 11.3%, or $56.3 million, from $499.4 million for the fourth quarter of 2018. Adjusted Property EBITDA decreased $49.0 million and $25.1 million at Wynn Palace and our Las Vegas Operations, respectively, and increased $2.5 million at Wynn Macau. Adjusted Property EBITDA from Encore Boston Harbor was $15.3 million.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2019, operating revenues decreased 1.6%, or $106.6 million, to $6.61 billion, compared to $6.72 billion in the year ended December 31, 2018. Operating revenues decreased $213.9 million, $224.5 million, and $32.1 million at Wynn Palace, Wynn Macau, and our Las Vegas Operations, respectively. The decrease in operating revenues at Wynn Palace, Wynn Macau, and our Las Vegas Operations was partially offset by operating revenues from Encore Boston Harbor of $363.9 million.</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GAAP net income attributable to Wynn Resorts, Limited was $123.0 million, or $1.15 per diluted share in 2019, compared to $572.4 million, or $5.35 per diluted share in the year ended December 31, 2018. Our 2019 results included a net tax provision of $176.8 million, primarily related to an increase in the valuation allowance on our deferred tax assets. Our 2018 results included a net tax benefit of $390.9 million recorded in connection with U.S. tax reform. Adjusted net income attributable to Wynn Resorts, Limited was $279.5 million, or $2.61 per diluted share, in 2019, compared to $687.7 million, or $6.43 per diluted share, in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91"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Full year Adjusted Property EBITDA decreased 11.2%, or $229.0 million, to $1.82 billion, compared to $2.04 billion in the year ended December 31, 2018. Adjusted Property EBITDA decreased $114.4 million, $84.4 million and $53.4 million at Wynn Palace, Wynn Macau, and our Las Vegas Operations, respectively. Adjusted Property EBITDA at Encore Boston Harbor was $23.2 million.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$1.00 per share, payable on March 6, 2020 to stockholders of record as of February 26,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revenues from Wynn Palace were $590.0 million for the fourth quarter of 2019, a 20.3% decrease from $740.6 million for the fourth quarter of 2018. Adjusted Property EBITDA from Wynn Palace was $177.6 million for the fourth quarter of 2019, a 21.6% decrease from $226.6 million for the fourth quarter of 2018. VIP table games win as a percentage of turnover was 3.07%, slightly above the expected range of 2.7% to 3.0% and below the 3.25% experienced in the fourth quarter of 2018. Table games win percentage in mass market operations was 25.2%, above the 23.6% experienced in the fourth quarter of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revenues from Wynn Macau were $525.4 million for the fourth quarter of 2019, a 5.1% decrease from $553.4 million for the fourth quarter of 2018. Adjusted Property EBITDA was $170.1 million for the fourth quarter of 2019, a 1.5% increase from $167.6 million for the fourth quarter of 2018. VIP table games win as a percentage of turnover was 3.27%, above the expected range of 2.7% to 3.0% and above the 2.86% experienced in the fourth quarter of 2018. Table games win percentage in mass market operations was 20.3%, consistent with the 20.3% experienced in the fourth quarter of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revenues from our Las Vegas Operations were $368.8 million for the fourth quarter of 2019, a 6.3% decrease from $393.6 million for the fourth quarter of 2018. Adjusted Property EBITDA from our Las Vegas Operations was $80.1 million, a 23.8% decrease from $105.2 million for the fourth quarter of 2018. Table games win percentage was 17.4%, below the property's expected range of 22% to 26% and below the 22.4% experienced in the fourth quarter of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Encore Boston Harbor</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23, 2019, the Company opened Encore Boston Harbor, an integrated resort in Everett, Massachusetts. For the fourth quarter of 2019, Encore Boston Harbor's operating revenues were $169.3 million and Adjusted Property EBITDA was $15.3 million. Table games win percentage was 19.2%, within the property's expected range of 16% to 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Projects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2020, we are opening our meeting and convention expansion at Wynn Las Vegas. Once open, the space will feature approximately 217,000 square feet of incremental state-of-the-art meeting and convention space (430,000 square feet of gross space), which will nearly double our group footprint in Las Vegas. We estimate the total project budget, including the redesigned golf course that reopened in October 2019, to be approximately $425 million. As of December 31, 2019, we have incurred $351.3 million in total project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cash and cash equivalents and restricted cash as of December 31, 2019 totaled $2.36 billion and was comprised of $1.81 billion at Wynn Macau, Limited and its subsidiaries, $125.8 million at Wynn Resorts Finance, LLC (excluding Wynn Macau, Limited and its subsidiaries), and $419.3 million at Wynn Resorts and other.</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on December 17, 2019, Wynn Macau, Limited ("WML") issued $1.0 billion aggregate principal amount of 5 1/8% Senior Notes due 2029 (the "2029 WML Notes"). WML intends to use the net proceeds from the 2029 WML Notes to facilitate the repayment of a portion of the amounts outstanding under the Wynn Macau Term Loan.</w:t>
      </w:r>
    </w:p>
    <w:p>
      <w:pPr>
        <w:sectPr>
          <w:pgSz w:w="11900" w:h="16838" w:orient="portrait"/>
          <w:cols w:equalWidth="0" w:num="1">
            <w:col w:w="11420"/>
          </w:cols>
          <w:pgMar w:left="240" w:top="8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895" w:right="239" w:bottom="1440" w:gutter="0" w:footer="0" w:header="0"/>
          <w:type w:val="continuous"/>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t>Total current and long-term debt outstanding at December 31, 2019 was $10.4 billion, comprised of $4.96 billion of Macau related debt (inclusive of $1.0 billion of Wynn Macau Term Loan we anticipate we will repay in connection with the issuance of the 2029 WML Notes), $3.11 billion of Wynn Las Vegas debt, $1.72 billion of Wynn Resorts Finance debt, and $611.7 million of debt held by the retail joint venture which we consolidate.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hold a conference call to discuss its results, including the results of Wynn Resorts Finance, LLC and Wynn Las Vegas, LLC, on February 6, 2020 at 1:30 p.m. PT (4:30 p.m. ET). Interested parties are invited to join the call by accessing a live audio webcast at http://www.wynnresorts.com.</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or before March 20, 2020, the Company will make Wynn Resorts Finance, LLC and Wynn Las Vegas, LLC financial information for the quarter ended December 31, 2019 available to noteholders, prospective investors, broker-dealers and securities analysts. Please contact our investor relations office at 702-770-7555 or at investorrelations@wynnresorts.com, to obtain access to such financial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extensive regulation of our business, pending or future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2019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ind w:firstLine="8"/>
        <w:spacing w:after="0" w:line="253"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net income (loss) attributable to Wynn Resorts, Limited" is net income (loss) attributable to Wynn Resorts, Limited before litigation settlement expense, nonrecurring regulatory expense, pre-opening expenses, property charges and other, change in derivatives fair value, change in Redemption Note fair value, (loss) gain on extinguishment of debt, foreign currency remeasurement gain (loss), the impact from the enactment of U.S. tax reform, net of noncontrolling interests and income taxes calculated using the specific tax treatment applicable to the adjustments based on their respective jurisdictions. Adjusted net income (loss) attributable to Wynn Resorts, Limited and adjusted net income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earnings per share computed in accordance with GAAP, as an additional basis for assessing period-to-period results of our business. Adjusted net income (loss) attributable to Wynn Resorts, Limited and adjusted net income (loss) attributable to Wynn Resorts, Limited per diluted share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95" w:right="239" w:bottom="1440" w:gutter="0" w:footer="0" w:header="0"/>
        </w:sectPr>
      </w:pPr>
    </w:p>
    <w:bookmarkStart w:id="6" w:name="page7"/>
    <w:bookmarkEnd w:id="6"/>
    <w:p>
      <w:pPr>
        <w:jc w:val="both"/>
        <w:ind w:firstLine="8"/>
        <w:spacing w:after="0" w:line="285" w:lineRule="auto"/>
        <w:tabs>
          <w:tab w:leader="none" w:pos="259"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Property EBITDA" is net income (loss) before interest, income taxes, depreciation and amortization, litigation settlement expense, pre-opening expenses, property charges and other, management and license fees, corporate expenses and other (including intercompany golf course and water rights leases), stock-based compensation, (loss) gain on extinguishment of debt, change in derivatives fair value, change in Redemption Note fair value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(loss),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Limited to adjusted net income (loss) attributable to Wynn Resorts, Limited, (ii) operating income to Adjusted Property EBITDA, and (iii) net income (loss) attributable to Wynn Resorts, Limited to Adjusted Property EBITDA.</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9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220" w:type="dxa"/>
            <w:vAlign w:val="bottom"/>
          </w:tcPr>
          <w:p>
            <w:pPr>
              <w:spacing w:after="0"/>
              <w:rPr>
                <w:sz w:val="16"/>
                <w:szCs w:val="16"/>
                <w:color w:val="auto"/>
              </w:rPr>
            </w:pPr>
          </w:p>
        </w:tc>
        <w:tc>
          <w:tcPr>
            <w:tcW w:w="272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Twelve Months Ended December 31,</w:t>
            </w:r>
          </w:p>
        </w:tc>
      </w:tr>
      <w:tr>
        <w:trPr>
          <w:trHeight w:val="196"/>
        </w:trPr>
        <w:tc>
          <w:tcPr>
            <w:tcW w:w="54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36"/>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Casino</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1,137,956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1,220,795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4,573,924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4,784,990</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208,209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192,395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804,162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751,800</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199,073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173,165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818,822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754,128</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108,221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101,231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414,191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426,742</w:t>
            </w:r>
          </w:p>
        </w:tc>
      </w:tr>
      <w:tr>
        <w:trPr>
          <w:trHeight w:val="237"/>
        </w:trPr>
        <w:tc>
          <w:tcPr>
            <w:tcW w:w="5460" w:type="dxa"/>
            <w:vAlign w:val="bottom"/>
          </w:tcPr>
          <w:p>
            <w:pPr>
              <w:ind w:left="660"/>
              <w:spacing w:after="0"/>
              <w:rPr>
                <w:sz w:val="20"/>
                <w:szCs w:val="20"/>
                <w:color w:val="auto"/>
              </w:rPr>
            </w:pPr>
            <w:r>
              <w:rPr>
                <w:rFonts w:ascii="Arial" w:cs="Arial" w:eastAsia="Arial" w:hAnsi="Arial"/>
                <w:sz w:val="18"/>
                <w:szCs w:val="18"/>
                <w:b w:val="1"/>
                <w:bCs w:val="1"/>
                <w:color w:val="auto"/>
              </w:rPr>
              <w:t>Total operating revenues</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1,653,459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1,687,586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6,611,099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6,717,660</w:t>
            </w:r>
          </w:p>
        </w:tc>
      </w:tr>
      <w:tr>
        <w:trPr>
          <w:trHeight w:val="27"/>
        </w:trPr>
        <w:tc>
          <w:tcPr>
            <w:tcW w:w="5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Casino</w:t>
            </w:r>
          </w:p>
        </w:tc>
        <w:tc>
          <w:tcPr>
            <w:tcW w:w="2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726,504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782,141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2,924,254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3,036,907</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71,053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64,712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276,095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254,549</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168,996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143,441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696,498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611,706</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40,570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44,466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183,113</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230,682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215,872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896,670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761,415</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Litigation settlement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463,557</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8,859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3,941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21,898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6,527</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Pre-opening</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102,009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53,490</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175,054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138,911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624,878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550,596</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29,584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60,256</w:t>
            </w:r>
          </w:p>
        </w:tc>
      </w:tr>
      <w:tr>
        <w:trPr>
          <w:trHeight w:val="237"/>
        </w:trPr>
        <w:tc>
          <w:tcPr>
            <w:tcW w:w="5460" w:type="dxa"/>
            <w:vAlign w:val="bottom"/>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1,426,881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1,441,303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5,732,794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5,982,116</w:t>
            </w:r>
          </w:p>
        </w:tc>
      </w:tr>
      <w:tr>
        <w:trPr>
          <w:trHeight w:val="27"/>
        </w:trPr>
        <w:tc>
          <w:tcPr>
            <w:tcW w:w="5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226,578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246,283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878,305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735,544</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29,866</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(113,049)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(100,717)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(414,030)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(381,849)</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derivatives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(4,520)</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Change in Redemption Note fair value</w:t>
            </w:r>
          </w:p>
        </w:tc>
        <w:tc>
          <w:tcPr>
            <w:tcW w:w="24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(69,331)</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gain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18,505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15,159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(4,074)</w:t>
            </w:r>
          </w:p>
        </w:tc>
      </w:tr>
      <w:tr>
        <w:trPr>
          <w:trHeight w:val="27"/>
        </w:trPr>
        <w:tc>
          <w:tcPr>
            <w:tcW w:w="5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Other income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(86,629)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(103,486)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(390,087)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(429,804)</w:t>
            </w: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139,949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142,797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488,218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305,740</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(157,419)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372,713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(176,840)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497,344</w:t>
            </w: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(17,470)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515,510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311,378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803,084</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(188,393)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(230,654)</w:t>
            </w: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(72,942)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464,866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122,985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572,430</w:t>
            </w: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income per common share:</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Net income (loss) attributable to Wynn Resorts, Limited:</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5.37</w:t>
            </w:r>
          </w:p>
        </w:tc>
      </w:tr>
      <w:tr>
        <w:trPr>
          <w:trHeight w:val="243"/>
        </w:trPr>
        <w:tc>
          <w:tcPr>
            <w:tcW w:w="5460" w:type="dxa"/>
            <w:vAlign w:val="bottom"/>
          </w:tcPr>
          <w:p>
            <w:pPr>
              <w:ind w:left="6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5.35</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6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106,608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107,619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106,745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106,529</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106,608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107,974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106,985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107,032</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2.75</w:t>
            </w:r>
          </w:p>
        </w:tc>
      </w:tr>
    </w:tbl>
    <w:p>
      <w:pPr>
        <w:spacing w:after="0" w:line="200" w:lineRule="exact"/>
        <w:rPr>
          <w:sz w:val="20"/>
          <w:szCs w:val="20"/>
          <w:color w:val="auto"/>
        </w:rPr>
      </w:pPr>
    </w:p>
    <w:p>
      <w:pPr>
        <w:sectPr>
          <w:pgSz w:w="11900" w:h="16838" w:orient="portrait"/>
          <w:cols w:equalWidth="0" w:num="1">
            <w:col w:w="11420"/>
          </w:cols>
          <w:pgMar w:left="240" w:top="8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891" w:right="239" w:bottom="1440" w:gutter="0" w:footer="0" w:header="0"/>
          <w:type w:val="continuous"/>
        </w:sectPr>
      </w:pPr>
    </w:p>
    <w:bookmarkStart w:id="8" w:name="page9"/>
    <w:bookmarkEnd w:id="8"/>
    <w:p>
      <w:pPr>
        <w:jc w:val="center"/>
        <w:ind w:left="460" w:right="1540"/>
        <w:spacing w:after="0" w:line="263" w:lineRule="auto"/>
        <w:rPr>
          <w:sz w:val="20"/>
          <w:szCs w:val="20"/>
          <w:color w:val="auto"/>
        </w:rPr>
      </w:pPr>
      <w:r>
        <w:rPr>
          <w:rFonts w:ascii="Arial" w:cs="Arial" w:eastAsia="Arial" w:hAnsi="Arial"/>
          <w:sz w:val="18"/>
          <w:szCs w:val="18"/>
          <w:b w:val="1"/>
          <w:bCs w:val="1"/>
          <w:color w:val="auto"/>
        </w:rPr>
        <w:t>WYNN RESORTS, LIMITED AND SUBSIDIARIES RECONCILIATION OF NET INCOME (LOSS) ATTRIBUTABLE TO WYNN RESORTS, LIMITED TO ADJUSTED NET INCOME (LOSS) ATTRIBUTABLE TO WYNN RESORTS, LIMITED (in thousands, except per share data)</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December 31,</w:t>
            </w:r>
          </w:p>
        </w:tc>
        <w:tc>
          <w:tcPr>
            <w:tcW w:w="120" w:type="dxa"/>
            <w:vAlign w:val="bottom"/>
          </w:tcPr>
          <w:p>
            <w:pPr>
              <w:spacing w:after="0"/>
              <w:rPr>
                <w:sz w:val="16"/>
                <w:szCs w:val="16"/>
                <w:color w:val="auto"/>
              </w:rPr>
            </w:pPr>
          </w:p>
        </w:tc>
        <w:tc>
          <w:tcPr>
            <w:tcW w:w="240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2"/>
              </w:rPr>
              <w:t>Twelve Months Ended December 31,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Wynn Resorts, Limited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464,866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122,985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572,430</w:t>
            </w:r>
          </w:p>
        </w:tc>
        <w:tc>
          <w:tcPr>
            <w:tcW w:w="0" w:type="dxa"/>
            <w:vAlign w:val="bottom"/>
          </w:tcPr>
          <w:p>
            <w:pPr>
              <w:spacing w:after="0"/>
              <w:rPr>
                <w:sz w:val="1"/>
                <w:szCs w:val="1"/>
                <w:color w:val="auto"/>
              </w:rPr>
            </w:pPr>
          </w:p>
        </w:tc>
      </w:tr>
      <w:tr>
        <w:trPr>
          <w:trHeight w:val="243"/>
        </w:trPr>
        <w:tc>
          <w:tcPr>
            <w:tcW w:w="6060" w:type="dxa"/>
            <w:vAlign w:val="bottom"/>
          </w:tcPr>
          <w:p>
            <w:pPr>
              <w:ind w:left="340"/>
              <w:spacing w:after="0"/>
              <w:rPr>
                <w:sz w:val="20"/>
                <w:szCs w:val="20"/>
                <w:color w:val="auto"/>
              </w:rPr>
            </w:pPr>
            <w:r>
              <w:rPr>
                <w:rFonts w:ascii="Arial" w:cs="Arial" w:eastAsia="Arial" w:hAnsi="Arial"/>
                <w:sz w:val="18"/>
                <w:szCs w:val="18"/>
                <w:color w:val="auto"/>
              </w:rPr>
              <w:t>Litigation settlement expense</w:t>
            </w:r>
          </w:p>
        </w:tc>
        <w:tc>
          <w:tcPr>
            <w:tcW w:w="1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463,557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Nonrecurring regulatory expense</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340"/>
              <w:spacing w:after="0"/>
              <w:rPr>
                <w:sz w:val="20"/>
                <w:szCs w:val="20"/>
                <w:color w:val="auto"/>
              </w:rPr>
            </w:pPr>
            <w:r>
              <w:rPr>
                <w:rFonts w:ascii="Arial" w:cs="Arial" w:eastAsia="Arial" w:hAnsi="Arial"/>
                <w:sz w:val="18"/>
                <w:szCs w:val="18"/>
                <w:color w:val="auto"/>
              </w:rPr>
              <w:t>Pre-opening expenses</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18,235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102,009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53,490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29,584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60,256</w:t>
            </w:r>
          </w:p>
        </w:tc>
        <w:tc>
          <w:tcPr>
            <w:tcW w:w="0" w:type="dxa"/>
            <w:vAlign w:val="bottom"/>
          </w:tcPr>
          <w:p>
            <w:pPr>
              <w:spacing w:after="0"/>
              <w:rPr>
                <w:sz w:val="1"/>
                <w:szCs w:val="1"/>
                <w:color w:val="auto"/>
              </w:rPr>
            </w:pPr>
          </w:p>
        </w:tc>
      </w:tr>
      <w:tr>
        <w:trPr>
          <w:trHeight w:val="243"/>
        </w:trPr>
        <w:tc>
          <w:tcPr>
            <w:tcW w:w="606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4,466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Redemption Note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69,331</w:t>
            </w:r>
          </w:p>
        </w:tc>
        <w:tc>
          <w:tcPr>
            <w:tcW w:w="0" w:type="dxa"/>
            <w:vAlign w:val="bottom"/>
          </w:tcPr>
          <w:p>
            <w:pPr>
              <w:spacing w:after="0"/>
              <w:rPr>
                <w:sz w:val="1"/>
                <w:szCs w:val="1"/>
                <w:color w:val="auto"/>
              </w:rPr>
            </w:pPr>
          </w:p>
        </w:tc>
      </w:tr>
      <w:tr>
        <w:trPr>
          <w:trHeight w:val="243"/>
        </w:trPr>
        <w:tc>
          <w:tcPr>
            <w:tcW w:w="6060" w:type="dxa"/>
            <w:vAlign w:val="bottom"/>
          </w:tcPr>
          <w:p>
            <w:pPr>
              <w:ind w:left="340"/>
              <w:spacing w:after="0"/>
              <w:rPr>
                <w:sz w:val="20"/>
                <w:szCs w:val="20"/>
                <w:color w:val="auto"/>
              </w:rPr>
            </w:pPr>
            <w:r>
              <w:rPr>
                <w:rFonts w:ascii="Arial" w:cs="Arial" w:eastAsia="Arial" w:hAnsi="Arial"/>
                <w:sz w:val="18"/>
                <w:szCs w:val="18"/>
                <w:color w:val="auto"/>
              </w:rPr>
              <w:t>Loss (gain) on extinguishment of debt</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12,437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remeasurement (gain) loss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43"/>
        </w:trPr>
        <w:tc>
          <w:tcPr>
            <w:tcW w:w="6060" w:type="dxa"/>
            <w:vAlign w:val="bottom"/>
          </w:tcPr>
          <w:p>
            <w:pPr>
              <w:ind w:left="340"/>
              <w:spacing w:after="0"/>
              <w:rPr>
                <w:sz w:val="20"/>
                <w:szCs w:val="20"/>
                <w:color w:val="auto"/>
              </w:rPr>
            </w:pPr>
            <w:r>
              <w:rPr>
                <w:rFonts w:ascii="Arial" w:cs="Arial" w:eastAsia="Arial" w:hAnsi="Arial"/>
                <w:sz w:val="18"/>
                <w:szCs w:val="18"/>
                <w:color w:val="auto"/>
              </w:rPr>
              <w:t>Income tax impact on adjustments</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17,445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(23,599)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(137,975)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Impact of U.S. tax reform</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(390,902)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(390,902)</w:t>
            </w:r>
          </w:p>
        </w:tc>
        <w:tc>
          <w:tcPr>
            <w:tcW w:w="0" w:type="dxa"/>
            <w:vAlign w:val="bottom"/>
          </w:tcPr>
          <w:p>
            <w:pPr>
              <w:spacing w:after="0"/>
              <w:rPr>
                <w:sz w:val="1"/>
                <w:szCs w:val="1"/>
                <w:color w:val="auto"/>
              </w:rPr>
            </w:pPr>
          </w:p>
        </w:tc>
      </w:tr>
      <w:tr>
        <w:trPr>
          <w:trHeight w:val="243"/>
        </w:trPr>
        <w:tc>
          <w:tcPr>
            <w:tcW w:w="6060" w:type="dxa"/>
            <w:vAlign w:val="bottom"/>
          </w:tcPr>
          <w:p>
            <w:pPr>
              <w:ind w:left="340"/>
              <w:spacing w:after="0"/>
              <w:rPr>
                <w:sz w:val="20"/>
                <w:szCs w:val="20"/>
                <w:color w:val="auto"/>
              </w:rPr>
            </w:pPr>
            <w:r>
              <w:rPr>
                <w:rFonts w:ascii="Arial" w:cs="Arial" w:eastAsia="Arial" w:hAnsi="Arial"/>
                <w:sz w:val="18"/>
                <w:szCs w:val="18"/>
                <w:color w:val="auto"/>
              </w:rPr>
              <w:t>Noncontrolling interests impact on adjustments</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6,714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(7,568)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(10,961)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6"/>
              </w:rPr>
              <w:t>Adjusted net income (loss) income attributable to Wynn Resorts, Limited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(65,570)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102,222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279,463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687,716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w w:val="92"/>
              </w:rPr>
              <w:t>Adjusted net income (loss) attributable to Wynn Resorts, Limited per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060" w:type="dxa"/>
            <w:vAlign w:val="bottom"/>
            <w:vMerge w:val="continue"/>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(0.62)</w:t>
            </w:r>
          </w:p>
        </w:tc>
        <w:tc>
          <w:tcPr>
            <w:tcW w:w="10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0.95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2.61</w:t>
            </w:r>
          </w:p>
        </w:tc>
        <w:tc>
          <w:tcPr>
            <w:tcW w:w="10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6.43</w:t>
            </w:r>
          </w:p>
        </w:tc>
        <w:tc>
          <w:tcPr>
            <w:tcW w:w="0" w:type="dxa"/>
            <w:vAlign w:val="bottom"/>
          </w:tcPr>
          <w:p>
            <w:pPr>
              <w:spacing w:after="0"/>
              <w:rPr>
                <w:sz w:val="1"/>
                <w:szCs w:val="1"/>
                <w:color w:val="auto"/>
              </w:rPr>
            </w:pPr>
          </w:p>
        </w:tc>
      </w:tr>
      <w:tr>
        <w:trPr>
          <w:trHeight w:val="239"/>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share</w:t>
            </w:r>
          </w:p>
        </w:tc>
        <w:tc>
          <w:tcPr>
            <w:tcW w:w="1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106,608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107,974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106,985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107,032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891" w:right="4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13"/>
          </w:tcPr>
          <w:p>
            <w:pPr>
              <w:jc w:val="center"/>
              <w:spacing w:after="0"/>
              <w:rPr>
                <w:sz w:val="20"/>
                <w:szCs w:val="20"/>
                <w:color w:val="auto"/>
              </w:rPr>
            </w:pPr>
            <w:r>
              <w:rPr>
                <w:rFonts w:ascii="Arial" w:cs="Arial" w:eastAsia="Arial" w:hAnsi="Arial"/>
                <w:sz w:val="14"/>
                <w:szCs w:val="14"/>
                <w:b w:val="1"/>
                <w:bCs w:val="1"/>
                <w:color w:val="auto"/>
                <w:w w:val="93"/>
              </w:rPr>
              <w:t>Three Months Ended December 31, 2019</w:t>
            </w: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Operating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Pre-opening</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Depreciation 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Property charges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Management and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8"/>
              </w:rPr>
              <w:t>Stock-based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and other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license fees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compensation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89"/>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88,303</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gridSpan w:val="3"/>
          </w:tcPr>
          <w:p>
            <w:pPr>
              <w:ind w:left="14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66,337</w:t>
            </w:r>
          </w:p>
        </w:tc>
        <w:tc>
          <w:tcPr>
            <w:tcW w:w="20" w:type="dxa"/>
            <w:vAlign w:val="bottom"/>
          </w:tcPr>
          <w:p>
            <w:pPr>
              <w:spacing w:after="0"/>
              <w:rPr>
                <w:sz w:val="17"/>
                <w:szCs w:val="17"/>
                <w:color w:val="auto"/>
              </w:rPr>
            </w:pPr>
          </w:p>
        </w:tc>
        <w:tc>
          <w:tcPr>
            <w:tcW w:w="22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(466)</w:t>
            </w:r>
          </w:p>
        </w:tc>
        <w:tc>
          <w:tcPr>
            <w:tcW w:w="60" w:type="dxa"/>
            <w:vAlign w:val="bottom"/>
          </w:tcPr>
          <w:p>
            <w:pPr>
              <w:spacing w:after="0"/>
              <w:rPr>
                <w:sz w:val="17"/>
                <w:szCs w:val="17"/>
                <w:color w:val="auto"/>
              </w:rPr>
            </w:pPr>
          </w:p>
        </w:tc>
        <w:tc>
          <w:tcPr>
            <w:tcW w:w="22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20,853</w:t>
            </w:r>
          </w:p>
        </w:tc>
        <w:tc>
          <w:tcPr>
            <w:tcW w:w="6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1,392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1,198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177,617</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123,161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23,601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18,475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170,086</w:t>
            </w:r>
          </w:p>
        </w:tc>
        <w:tc>
          <w:tcPr>
            <w:tcW w:w="0" w:type="dxa"/>
            <w:vAlign w:val="bottom"/>
          </w:tcPr>
          <w:p>
            <w:pPr>
              <w:spacing w:after="0"/>
              <w:rPr>
                <w:sz w:val="1"/>
                <w:szCs w:val="1"/>
                <w:color w:val="auto"/>
              </w:rPr>
            </w:pPr>
          </w:p>
        </w:tc>
      </w:tr>
      <w:tr>
        <w:trPr>
          <w:trHeight w:val="197"/>
        </w:trPr>
        <w:tc>
          <w:tcPr>
            <w:tcW w:w="19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2,162</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207,917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1,699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91,053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39,328</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5,090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3,311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347,703</w:t>
            </w:r>
          </w:p>
        </w:tc>
        <w:tc>
          <w:tcPr>
            <w:tcW w:w="0" w:type="dxa"/>
            <w:vAlign w:val="bottom"/>
          </w:tcPr>
          <w:p>
            <w:pPr>
              <w:spacing w:after="0"/>
              <w:rPr>
                <w:sz w:val="1"/>
                <w:szCs w:val="1"/>
                <w:color w:val="auto"/>
              </w:rPr>
            </w:pPr>
          </w:p>
        </w:tc>
      </w:tr>
      <w:tr>
        <w:trPr>
          <w:trHeight w:val="197"/>
        </w:trPr>
        <w:tc>
          <w:tcPr>
            <w:tcW w:w="196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6,596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44,471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4,886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17,610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5,087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80,139</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36,752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8,346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15,260</w:t>
            </w:r>
          </w:p>
        </w:tc>
        <w:tc>
          <w:tcPr>
            <w:tcW w:w="0" w:type="dxa"/>
            <w:vAlign w:val="bottom"/>
          </w:tcPr>
          <w:p>
            <w:pPr>
              <w:spacing w:after="0"/>
              <w:rPr>
                <w:sz w:val="1"/>
                <w:szCs w:val="1"/>
                <w:color w:val="auto"/>
              </w:rPr>
            </w:pPr>
          </w:p>
        </w:tc>
      </w:tr>
      <w:tr>
        <w:trPr>
          <w:trHeight w:val="197"/>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46,211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2,778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(1,825)</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(65,284)</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13,584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3,604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226,578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2,797</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175,054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2,366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26,379</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9,928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443,102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1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3"/>
          </w:tcPr>
          <w:p>
            <w:pPr>
              <w:jc w:val="center"/>
              <w:ind w:right="8"/>
              <w:spacing w:after="0"/>
              <w:rPr>
                <w:sz w:val="20"/>
                <w:szCs w:val="20"/>
                <w:color w:val="auto"/>
              </w:rPr>
            </w:pPr>
            <w:r>
              <w:rPr>
                <w:rFonts w:ascii="Arial" w:cs="Arial" w:eastAsia="Arial" w:hAnsi="Arial"/>
                <w:sz w:val="14"/>
                <w:szCs w:val="14"/>
                <w:b w:val="1"/>
                <w:bCs w:val="1"/>
                <w:color w:val="auto"/>
                <w:w w:val="93"/>
              </w:rPr>
              <w:t>Three Months Ended December 31, 2018</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Operating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0"/>
              </w:rPr>
              <w:t>Pre-opening</w:t>
            </w:r>
          </w:p>
        </w:tc>
        <w:tc>
          <w:tcPr>
            <w:tcW w:w="100" w:type="dxa"/>
            <w:vAlign w:val="bottom"/>
          </w:tcPr>
          <w:p>
            <w:pPr>
              <w:spacing w:after="0"/>
              <w:rPr>
                <w:sz w:val="13"/>
                <w:szCs w:val="13"/>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5"/>
              </w:rPr>
              <w:t>Depreciation 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Property</w:t>
            </w:r>
          </w:p>
        </w:tc>
        <w:tc>
          <w:tcPr>
            <w:tcW w:w="40" w:type="dxa"/>
            <w:vAlign w:val="bottom"/>
          </w:tcPr>
          <w:p>
            <w:pPr>
              <w:spacing w:after="0"/>
              <w:rPr>
                <w:sz w:val="13"/>
                <w:szCs w:val="13"/>
                <w:color w:val="auto"/>
              </w:rPr>
            </w:pPr>
          </w:p>
        </w:tc>
        <w:tc>
          <w:tcPr>
            <w:tcW w:w="11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4"/>
              </w:rPr>
              <w:t>Management and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Stock-based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charges and</w:t>
            </w:r>
          </w:p>
        </w:tc>
        <w:tc>
          <w:tcPr>
            <w:tcW w:w="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license fees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compensation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89"/>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129,228</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66,037</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708</w:t>
            </w:r>
          </w:p>
        </w:tc>
        <w:tc>
          <w:tcPr>
            <w:tcW w:w="60" w:type="dxa"/>
            <w:vAlign w:val="bottom"/>
          </w:tcPr>
          <w:p>
            <w:pPr>
              <w:spacing w:after="0"/>
              <w:rPr>
                <w:sz w:val="17"/>
                <w:szCs w:val="17"/>
                <w:color w:val="auto"/>
              </w:rPr>
            </w:pPr>
          </w:p>
        </w:tc>
        <w:tc>
          <w:tcPr>
            <w:tcW w:w="220" w:type="dxa"/>
            <w:vAlign w:val="bottom"/>
            <w:gridSpan w:val="3"/>
          </w:tcPr>
          <w:p>
            <w:pPr>
              <w:jc w:val="center"/>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27,977</w:t>
            </w:r>
          </w:p>
        </w:tc>
        <w:tc>
          <w:tcPr>
            <w:tcW w:w="6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1,639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226,585</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114,310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21,699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7,020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20,993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167,560</w:t>
            </w:r>
          </w:p>
        </w:tc>
        <w:tc>
          <w:tcPr>
            <w:tcW w:w="0" w:type="dxa"/>
            <w:vAlign w:val="bottom"/>
          </w:tcPr>
          <w:p>
            <w:pPr>
              <w:spacing w:after="0"/>
              <w:rPr>
                <w:sz w:val="1"/>
                <w:szCs w:val="1"/>
                <w:color w:val="auto"/>
              </w:rPr>
            </w:pPr>
          </w:p>
        </w:tc>
      </w:tr>
      <w:tr>
        <w:trPr>
          <w:trHeight w:val="197"/>
        </w:trPr>
        <w:tc>
          <w:tcPr>
            <w:tcW w:w="196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1,114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240,421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88,850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7,739</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48,970</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5,282</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2,883</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394,145</w:t>
            </w:r>
          </w:p>
        </w:tc>
        <w:tc>
          <w:tcPr>
            <w:tcW w:w="0" w:type="dxa"/>
            <w:vAlign w:val="bottom"/>
          </w:tcPr>
          <w:p>
            <w:pPr>
              <w:spacing w:after="0"/>
              <w:rPr>
                <w:sz w:val="1"/>
                <w:szCs w:val="1"/>
                <w:color w:val="auto"/>
              </w:rPr>
            </w:pPr>
          </w:p>
        </w:tc>
      </w:tr>
      <w:tr>
        <w:trPr>
          <w:trHeight w:val="197"/>
        </w:trPr>
        <w:tc>
          <w:tcPr>
            <w:tcW w:w="1960" w:type="dxa"/>
            <w:vAlign w:val="bottom"/>
          </w:tcPr>
          <w:p>
            <w:pPr>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24,159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46,795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10,054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18,644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4,282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105,222</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17,508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9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8,361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2,077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11,777</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(72,114)</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45,117</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4,507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1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246,283</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18,235</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138,911</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29,584</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58,128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499,367</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89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80" w:top="891" w:right="25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(continued)</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w w:val="91"/>
              </w:rPr>
              <w:t>Twelve Months Ended December 31, 2019</w:t>
            </w: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Operating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Pre-opening</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Depreciation and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Property charges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Management and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8"/>
              </w:rPr>
              <w:t>Stock-based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and other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license fees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compensation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89"/>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359,286</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gridSpan w:val="3"/>
          </w:tcPr>
          <w:p>
            <w:pPr>
              <w:ind w:left="14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264,758</w:t>
            </w:r>
          </w:p>
        </w:tc>
        <w:tc>
          <w:tcPr>
            <w:tcW w:w="240" w:type="dxa"/>
            <w:vAlign w:val="bottom"/>
            <w:gridSpan w:val="4"/>
          </w:tcPr>
          <w:p>
            <w:pPr>
              <w:ind w:lef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7"/>
                <w:szCs w:val="17"/>
                <w:color w:val="auto"/>
              </w:rPr>
            </w:pPr>
          </w:p>
        </w:tc>
        <w:tc>
          <w:tcPr>
            <w:tcW w:w="22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94,111</w:t>
            </w:r>
          </w:p>
        </w:tc>
        <w:tc>
          <w:tcPr>
            <w:tcW w:w="6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5,583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4,797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729,535</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461,821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90,448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74,076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648,837</w:t>
            </w:r>
          </w:p>
        </w:tc>
        <w:tc>
          <w:tcPr>
            <w:tcW w:w="0" w:type="dxa"/>
            <w:vAlign w:val="bottom"/>
          </w:tcPr>
          <w:p>
            <w:pPr>
              <w:spacing w:after="0"/>
              <w:rPr>
                <w:sz w:val="1"/>
                <w:szCs w:val="1"/>
                <w:color w:val="auto"/>
              </w:rPr>
            </w:pPr>
          </w:p>
        </w:tc>
      </w:tr>
      <w:tr>
        <w:trPr>
          <w:trHeight w:val="197"/>
        </w:trPr>
        <w:tc>
          <w:tcPr>
            <w:tcW w:w="19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(15,586)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4,465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10,023</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1,075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805,521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2,224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359,671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5,883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168,187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22,121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14,765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1,378,372</w:t>
            </w:r>
          </w:p>
        </w:tc>
        <w:tc>
          <w:tcPr>
            <w:tcW w:w="0" w:type="dxa"/>
            <w:vAlign w:val="bottom"/>
          </w:tcPr>
          <w:p>
            <w:pPr>
              <w:spacing w:after="0"/>
              <w:rPr>
                <w:sz w:val="1"/>
                <w:szCs w:val="1"/>
                <w:color w:val="auto"/>
              </w:rPr>
            </w:pPr>
          </w:p>
        </w:tc>
      </w:tr>
      <w:tr>
        <w:trPr>
          <w:trHeight w:val="197"/>
        </w:trPr>
        <w:tc>
          <w:tcPr>
            <w:tcW w:w="196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123,306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177,509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14,241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76,520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16,215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5,846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413,886</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(195,589)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96,649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78,378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26,731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23,150</w:t>
            </w:r>
          </w:p>
        </w:tc>
        <w:tc>
          <w:tcPr>
            <w:tcW w:w="0" w:type="dxa"/>
            <w:vAlign w:val="bottom"/>
          </w:tcPr>
          <w:p>
            <w:pPr>
              <w:spacing w:after="0"/>
              <w:rPr>
                <w:sz w:val="1"/>
                <w:szCs w:val="1"/>
                <w:color w:val="auto"/>
              </w:rPr>
            </w:pPr>
          </w:p>
        </w:tc>
      </w:tr>
      <w:tr>
        <w:trPr>
          <w:trHeight w:val="197"/>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145,067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2,887</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(271,438)</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97,368</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16,659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878,305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102,009</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624,878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20,286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150,228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39,702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1,815,408</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1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4"/>
          </w:tcPr>
          <w:p>
            <w:pPr>
              <w:jc w:val="right"/>
              <w:spacing w:after="0"/>
              <w:rPr>
                <w:sz w:val="20"/>
                <w:szCs w:val="20"/>
                <w:color w:val="auto"/>
              </w:rPr>
            </w:pPr>
            <w:r>
              <w:rPr>
                <w:rFonts w:ascii="Arial" w:cs="Arial" w:eastAsia="Arial" w:hAnsi="Arial"/>
                <w:sz w:val="14"/>
                <w:szCs w:val="14"/>
                <w:b w:val="1"/>
                <w:bCs w:val="1"/>
                <w:color w:val="auto"/>
                <w:w w:val="92"/>
              </w:rPr>
              <w:t>Twelve Months Ended December 31, 2018</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Operating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0"/>
              </w:rPr>
              <w:t>Pre-opening</w:t>
            </w:r>
          </w:p>
        </w:tc>
        <w:tc>
          <w:tcPr>
            <w:tcW w:w="100" w:type="dxa"/>
            <w:vAlign w:val="bottom"/>
          </w:tcPr>
          <w:p>
            <w:pPr>
              <w:spacing w:after="0"/>
              <w:rPr>
                <w:sz w:val="13"/>
                <w:szCs w:val="13"/>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Property</w:t>
            </w:r>
          </w:p>
        </w:tc>
        <w:tc>
          <w:tcPr>
            <w:tcW w:w="40" w:type="dxa"/>
            <w:vAlign w:val="bottom"/>
          </w:tcPr>
          <w:p>
            <w:pPr>
              <w:spacing w:after="0"/>
              <w:rPr>
                <w:sz w:val="13"/>
                <w:szCs w:val="13"/>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9"/>
              </w:rPr>
              <w:t>Management and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Stock-based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charges and</w:t>
            </w:r>
          </w:p>
        </w:tc>
        <w:tc>
          <w:tcPr>
            <w:tcW w:w="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license fees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other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compensation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89"/>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459,336</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259,898</w:t>
            </w:r>
          </w:p>
        </w:tc>
        <w:tc>
          <w:tcPr>
            <w:tcW w:w="2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9,830</w:t>
            </w:r>
          </w:p>
        </w:tc>
        <w:tc>
          <w:tcPr>
            <w:tcW w:w="60" w:type="dxa"/>
            <w:vAlign w:val="bottom"/>
          </w:tcPr>
          <w:p>
            <w:pPr>
              <w:spacing w:after="0"/>
              <w:rPr>
                <w:sz w:val="17"/>
                <w:szCs w:val="17"/>
                <w:color w:val="auto"/>
              </w:rPr>
            </w:pPr>
          </w:p>
        </w:tc>
        <w:tc>
          <w:tcPr>
            <w:tcW w:w="22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103,765</w:t>
            </w:r>
          </w:p>
        </w:tc>
        <w:tc>
          <w:tcPr>
            <w:tcW w:w="6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6,732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4,341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843,902</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532,377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87,293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11,574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87,135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733,238</w:t>
            </w:r>
          </w:p>
        </w:tc>
        <w:tc>
          <w:tcPr>
            <w:tcW w:w="0" w:type="dxa"/>
            <w:vAlign w:val="bottom"/>
          </w:tcPr>
          <w:p>
            <w:pPr>
              <w:spacing w:after="0"/>
              <w:rPr>
                <w:sz w:val="1"/>
                <w:szCs w:val="1"/>
                <w:color w:val="auto"/>
              </w:rPr>
            </w:pPr>
          </w:p>
        </w:tc>
      </w:tr>
      <w:tr>
        <w:trPr>
          <w:trHeight w:val="197"/>
        </w:trPr>
        <w:tc>
          <w:tcPr>
            <w:tcW w:w="196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(13,410)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4,429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8,189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978,303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351,620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21,486</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190,900</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22,638</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12,193</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1,577,140</w:t>
            </w:r>
          </w:p>
        </w:tc>
        <w:tc>
          <w:tcPr>
            <w:tcW w:w="0" w:type="dxa"/>
            <w:vAlign w:val="bottom"/>
          </w:tcPr>
          <w:p>
            <w:pPr>
              <w:spacing w:after="0"/>
              <w:rPr>
                <w:sz w:val="1"/>
                <w:szCs w:val="1"/>
                <w:color w:val="auto"/>
              </w:rPr>
            </w:pPr>
          </w:p>
        </w:tc>
      </w:tr>
      <w:tr>
        <w:trPr>
          <w:trHeight w:val="197"/>
        </w:trPr>
        <w:tc>
          <w:tcPr>
            <w:tcW w:w="1960" w:type="dxa"/>
            <w:vAlign w:val="bottom"/>
          </w:tcPr>
          <w:p>
            <w:pPr>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170,007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186,758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14,886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77,537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14,134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467,273</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(81,398)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51,598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9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(331,368)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1,432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9,748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23,780</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(286,437)</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562,038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20,807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1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735,544</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53,490</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550,596</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60,256</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608,036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36,491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2,044,413</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(1) Corporate expenses and other includes litigation settlement expense of $463.6 million in the first quarter of 2018.</w:t>
      </w:r>
    </w:p>
    <w:p>
      <w:pPr>
        <w:sectPr>
          <w:pgSz w:w="11900" w:h="16838" w:orient="portrait"/>
          <w:cols w:equalWidth="0" w:num="1">
            <w:col w:w="11400"/>
          </w:cols>
          <w:pgMar w:left="240" w:top="89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891" w:right="25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(LOSS) ATTRIBUTABLE TO WYNN RESORTS, LIMITED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240" w:type="dxa"/>
            <w:vAlign w:val="bottom"/>
          </w:tcPr>
          <w:p>
            <w:pPr>
              <w:spacing w:after="0"/>
              <w:rPr>
                <w:sz w:val="16"/>
                <w:szCs w:val="16"/>
                <w:color w:val="auto"/>
              </w:rPr>
            </w:pPr>
          </w:p>
        </w:tc>
        <w:tc>
          <w:tcPr>
            <w:tcW w:w="27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7"/>
              </w:rPr>
              <w:t>Twelve Months Ended December 31,</w:t>
            </w:r>
          </w:p>
        </w:tc>
      </w:tr>
      <w:tr>
        <w:trPr>
          <w:trHeight w:val="196"/>
        </w:trPr>
        <w:tc>
          <w:tcPr>
            <w:tcW w:w="54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Wynn Resorts, Limited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464,866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122,985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572,430</w:t>
            </w:r>
          </w:p>
        </w:tc>
      </w:tr>
      <w:tr>
        <w:trPr>
          <w:trHeight w:val="243"/>
        </w:trPr>
        <w:tc>
          <w:tcPr>
            <w:tcW w:w="5420" w:type="dxa"/>
            <w:vAlign w:val="bottom"/>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55,472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50,644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188,393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230,654</w:t>
            </w: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Litigation settlement expense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463,557</w:t>
            </w:r>
          </w:p>
        </w:tc>
      </w:tr>
      <w:tr>
        <w:trPr>
          <w:trHeight w:val="243"/>
        </w:trPr>
        <w:tc>
          <w:tcPr>
            <w:tcW w:w="5420" w:type="dxa"/>
            <w:vAlign w:val="bottom"/>
          </w:tcPr>
          <w:p>
            <w:pPr>
              <w:ind w:left="340"/>
              <w:spacing w:after="0"/>
              <w:rPr>
                <w:sz w:val="20"/>
                <w:szCs w:val="20"/>
                <w:color w:val="auto"/>
              </w:rPr>
            </w:pPr>
            <w:r>
              <w:rPr>
                <w:rFonts w:ascii="Arial" w:cs="Arial" w:eastAsia="Arial" w:hAnsi="Arial"/>
                <w:sz w:val="18"/>
                <w:szCs w:val="18"/>
                <w:color w:val="auto"/>
              </w:rPr>
              <w:t>Pre-opening expenses</w:t>
            </w: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18,235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102,009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53,490</w:t>
            </w: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175,054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138,911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624,878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550,596</w:t>
            </w:r>
          </w:p>
        </w:tc>
      </w:tr>
      <w:tr>
        <w:trPr>
          <w:trHeight w:val="243"/>
        </w:trPr>
        <w:tc>
          <w:tcPr>
            <w:tcW w:w="542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29,584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20,286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60,256</w:t>
            </w: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Corporate expenses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26,379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58,128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150,228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144,479</w:t>
            </w:r>
          </w:p>
        </w:tc>
      </w:tr>
      <w:tr>
        <w:trPr>
          <w:trHeight w:val="243"/>
        </w:trPr>
        <w:tc>
          <w:tcPr>
            <w:tcW w:w="54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9,928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39,702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36,491</w:t>
            </w: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(29,866)</w:t>
            </w:r>
          </w:p>
        </w:tc>
      </w:tr>
      <w:tr>
        <w:trPr>
          <w:trHeight w:val="243"/>
        </w:trPr>
        <w:tc>
          <w:tcPr>
            <w:tcW w:w="5420" w:type="dxa"/>
            <w:vAlign w:val="bottom"/>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113,049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100,717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414,030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381,849</w:t>
            </w: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derivatives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4,520</w:t>
            </w:r>
          </w:p>
        </w:tc>
      </w:tr>
      <w:tr>
        <w:trPr>
          <w:trHeight w:val="243"/>
        </w:trPr>
        <w:tc>
          <w:tcPr>
            <w:tcW w:w="5420" w:type="dxa"/>
            <w:vAlign w:val="bottom"/>
          </w:tcPr>
          <w:p>
            <w:pPr>
              <w:ind w:left="340"/>
              <w:spacing w:after="0"/>
              <w:rPr>
                <w:sz w:val="20"/>
                <w:szCs w:val="20"/>
                <w:color w:val="auto"/>
              </w:rPr>
            </w:pPr>
            <w:r>
              <w:rPr>
                <w:rFonts w:ascii="Arial" w:cs="Arial" w:eastAsia="Arial" w:hAnsi="Arial"/>
                <w:sz w:val="18"/>
                <w:szCs w:val="18"/>
                <w:color w:val="auto"/>
              </w:rPr>
              <w:t>Change in Redemption Note fair value</w:t>
            </w: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69,331</w:t>
            </w: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(gain)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12,437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5420" w:type="dxa"/>
            <w:vAlign w:val="bottom"/>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(18,505)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(15,159)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4,074</w:t>
            </w: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157,419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(372,713)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176,840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(497,344)</w:t>
            </w: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443,102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499,367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1,815,408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2,044,413</w:t>
            </w:r>
          </w:p>
        </w:tc>
      </w:tr>
      <w:tr>
        <w:trPr>
          <w:trHeight w:val="27"/>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91" w:right="239" w:bottom="1440" w:gutter="0" w:footer="0" w:header="0"/>
        </w:sectPr>
      </w:pPr>
    </w:p>
    <w:bookmarkStart w:id="12" w:name="page13"/>
    <w:bookmarkEnd w:id="12"/>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4"/>
                <w:szCs w:val="14"/>
                <w:b w:val="1"/>
                <w:bCs w:val="1"/>
                <w:color w:val="auto"/>
                <w:w w:val="98"/>
              </w:rPr>
              <w:t>Three Months Ended December 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b w:val="1"/>
                <w:bCs w:val="1"/>
                <w:color w:val="auto"/>
                <w:w w:val="98"/>
              </w:rPr>
              <w:t>Twelve Months Ended December 31,</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0"/>
              <w:spacing w:after="0" w:line="139"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2"/>
                <w:szCs w:val="12"/>
                <w:color w:val="auto"/>
              </w:rPr>
            </w:pPr>
          </w:p>
        </w:tc>
        <w:tc>
          <w:tcPr>
            <w:tcW w:w="104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Wynn Palace Supplemental Information</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20" w:type="dxa"/>
            <w:vAlign w:val="bottom"/>
          </w:tcPr>
          <w:p>
            <w:pPr>
              <w:ind w:left="20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Casino</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490,379</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636,949</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2,139,756</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2,356,022</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24"/>
        </w:trPr>
        <w:tc>
          <w:tcPr>
            <w:tcW w:w="3520" w:type="dxa"/>
            <w:vAlign w:val="bottom"/>
          </w:tcPr>
          <w:p>
            <w:pPr>
              <w:ind w:left="320"/>
              <w:spacing w:after="0"/>
              <w:rPr>
                <w:sz w:val="20"/>
                <w:szCs w:val="20"/>
                <w:color w:val="auto"/>
              </w:rPr>
            </w:pPr>
            <w:r>
              <w:rPr>
                <w:rFonts w:ascii="Arial" w:cs="Arial" w:eastAsia="Arial" w:hAnsi="Arial"/>
                <w:sz w:val="16"/>
                <w:szCs w:val="16"/>
                <w:color w:val="auto"/>
              </w:rPr>
              <w:t>Rooms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43,194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44,606</w:t>
            </w:r>
          </w:p>
        </w:tc>
        <w:tc>
          <w:tcPr>
            <w:tcW w:w="1060" w:type="dxa"/>
            <w:vAlign w:val="bottom"/>
            <w:gridSpan w:val="3"/>
          </w:tcPr>
          <w:p>
            <w:pPr>
              <w:jc w:val="right"/>
              <w:ind w:right="48"/>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174,576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170,067</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Food and beverage</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29,685</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30,119</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117,376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110,638</w:t>
            </w:r>
          </w:p>
        </w:tc>
        <w:tc>
          <w:tcPr>
            <w:tcW w:w="10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24"/>
        </w:trPr>
        <w:tc>
          <w:tcPr>
            <w:tcW w:w="3520" w:type="dxa"/>
            <w:vAlign w:val="bottom"/>
          </w:tcPr>
          <w:p>
            <w:pPr>
              <w:ind w:left="320"/>
              <w:spacing w:after="0"/>
              <w:rPr>
                <w:sz w:val="20"/>
                <w:szCs w:val="20"/>
                <w:color w:val="auto"/>
              </w:rPr>
            </w:pPr>
            <w:r>
              <w:rPr>
                <w:rFonts w:ascii="Arial" w:cs="Arial" w:eastAsia="Arial" w:hAnsi="Arial"/>
                <w:sz w:val="16"/>
                <w:szCs w:val="16"/>
                <w:color w:val="auto"/>
              </w:rPr>
              <w:t>Entertainment, retail and other</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28,888</w:t>
            </w:r>
          </w:p>
        </w:tc>
        <w:tc>
          <w:tcPr>
            <w:tcW w:w="1060" w:type="dxa"/>
            <w:vAlign w:val="bottom"/>
            <w:gridSpan w:val="3"/>
          </w:tcPr>
          <w:p>
            <w:pPr>
              <w:jc w:val="right"/>
              <w:ind w:right="48"/>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111,986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120,839</w:t>
            </w:r>
          </w:p>
        </w:tc>
        <w:tc>
          <w:tcPr>
            <w:tcW w:w="1060" w:type="dxa"/>
            <w:vAlign w:val="bottom"/>
            <w:gridSpan w:val="3"/>
          </w:tcPr>
          <w:p>
            <w:pPr>
              <w:jc w:val="right"/>
              <w:ind w:right="28"/>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3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589,985</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740,562</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2,543,694</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2,757,566</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177,617</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226,585</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729,535</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843,902</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Casino Statistics: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520" w:type="dxa"/>
            <w:vAlign w:val="bottom"/>
          </w:tcPr>
          <w:p>
            <w:pPr>
              <w:ind w:left="320"/>
              <w:spacing w:after="0"/>
              <w:rPr>
                <w:sz w:val="20"/>
                <w:szCs w:val="20"/>
                <w:color w:val="auto"/>
              </w:rPr>
            </w:pPr>
            <w:r>
              <w:rPr>
                <w:rFonts w:ascii="Arial" w:cs="Arial" w:eastAsia="Arial" w:hAnsi="Arial"/>
                <w:sz w:val="16"/>
                <w:szCs w:val="16"/>
                <w:color w:val="auto"/>
              </w:rPr>
              <w:t>VIP:</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Average number of table games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4"/>
        </w:trPr>
        <w:tc>
          <w:tcPr>
            <w:tcW w:w="3520" w:type="dxa"/>
            <w:vAlign w:val="bottom"/>
          </w:tcPr>
          <w:p>
            <w:pPr>
              <w:ind w:left="520"/>
              <w:spacing w:after="0"/>
              <w:rPr>
                <w:sz w:val="20"/>
                <w:szCs w:val="20"/>
                <w:color w:val="auto"/>
              </w:rPr>
            </w:pPr>
            <w:r>
              <w:rPr>
                <w:rFonts w:ascii="Arial" w:cs="Arial" w:eastAsia="Arial" w:hAnsi="Arial"/>
                <w:sz w:val="16"/>
                <w:szCs w:val="16"/>
                <w:color w:val="auto"/>
              </w:rPr>
              <w:t>VIP turnover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9,314,053</w:t>
            </w: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16,156,992</w:t>
            </w:r>
          </w:p>
        </w:tc>
        <w:tc>
          <w:tcPr>
            <w:tcW w:w="1060" w:type="dxa"/>
            <w:vAlign w:val="bottom"/>
            <w:gridSpan w:val="3"/>
          </w:tcPr>
          <w:p>
            <w:pPr>
              <w:jc w:val="right"/>
              <w:ind w:right="48"/>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45,847,647</w:t>
            </w:r>
          </w:p>
        </w:tc>
        <w:tc>
          <w:tcPr>
            <w:tcW w:w="6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61,097,527</w:t>
            </w:r>
          </w:p>
        </w:tc>
        <w:tc>
          <w:tcPr>
            <w:tcW w:w="1060" w:type="dxa"/>
            <w:vAlign w:val="bottom"/>
            <w:gridSpan w:val="3"/>
          </w:tcPr>
          <w:p>
            <w:pPr>
              <w:jc w:val="right"/>
              <w:ind w:right="28"/>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286,355</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525,898</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1,519,225</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1,874,189</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24"/>
        </w:trPr>
        <w:tc>
          <w:tcPr>
            <w:tcW w:w="3520" w:type="dxa"/>
            <w:vAlign w:val="bottom"/>
          </w:tcPr>
          <w:p>
            <w:pPr>
              <w:ind w:left="520"/>
              <w:spacing w:after="0"/>
              <w:rPr>
                <w:sz w:val="20"/>
                <w:szCs w:val="20"/>
                <w:color w:val="auto"/>
              </w:rPr>
            </w:pPr>
            <w:r>
              <w:rPr>
                <w:rFonts w:ascii="Arial" w:cs="Arial" w:eastAsia="Arial" w:hAnsi="Arial"/>
                <w:sz w:val="16"/>
                <w:szCs w:val="16"/>
                <w:color w:val="auto"/>
              </w:rPr>
              <w:t>VIP table games win as a % of turnover</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Table games win per unit per day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29,897</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50,057</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38,224</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45,006</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24"/>
        </w:trPr>
        <w:tc>
          <w:tcPr>
            <w:tcW w:w="3520" w:type="dxa"/>
            <w:vAlign w:val="bottom"/>
          </w:tcPr>
          <w:p>
            <w:pPr>
              <w:ind w:left="320"/>
              <w:spacing w:after="0"/>
              <w:rPr>
                <w:sz w:val="20"/>
                <w:szCs w:val="20"/>
                <w:color w:val="auto"/>
              </w:rPr>
            </w:pPr>
            <w:r>
              <w:rPr>
                <w:rFonts w:ascii="Arial" w:cs="Arial" w:eastAsia="Arial" w:hAnsi="Arial"/>
                <w:sz w:val="16"/>
                <w:szCs w:val="16"/>
                <w:color w:val="auto"/>
              </w:rPr>
              <w:t>Mass market: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Average number of table games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6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4"/>
        </w:trPr>
        <w:tc>
          <w:tcPr>
            <w:tcW w:w="3520" w:type="dxa"/>
            <w:vAlign w:val="bottom"/>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1,252,993</w:t>
            </w: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1,300,388</w:t>
            </w:r>
          </w:p>
        </w:tc>
        <w:tc>
          <w:tcPr>
            <w:tcW w:w="1060" w:type="dxa"/>
            <w:vAlign w:val="bottom"/>
            <w:gridSpan w:val="3"/>
          </w:tcPr>
          <w:p>
            <w:pPr>
              <w:jc w:val="right"/>
              <w:ind w:right="48"/>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5,122,897</w:t>
            </w:r>
          </w:p>
        </w:tc>
        <w:tc>
          <w:tcPr>
            <w:tcW w:w="6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4,926,347</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315,423</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307,368</w:t>
            </w:r>
          </w:p>
        </w:tc>
        <w:tc>
          <w:tcPr>
            <w:tcW w:w="106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1,251,920</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1,206,244</w:t>
            </w:r>
          </w:p>
        </w:tc>
        <w:tc>
          <w:tcPr>
            <w:tcW w:w="10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4"/>
        </w:trPr>
        <w:tc>
          <w:tcPr>
            <w:tcW w:w="3520" w:type="dxa"/>
            <w:vAlign w:val="bottom"/>
          </w:tcPr>
          <w:p>
            <w:pPr>
              <w:ind w:left="520"/>
              <w:spacing w:after="0"/>
              <w:rPr>
                <w:sz w:val="20"/>
                <w:szCs w:val="20"/>
                <w:color w:val="auto"/>
              </w:rPr>
            </w:pPr>
            <w:r>
              <w:rPr>
                <w:rFonts w:ascii="Arial" w:cs="Arial" w:eastAsia="Arial" w:hAnsi="Arial"/>
                <w:sz w:val="16"/>
                <w:szCs w:val="16"/>
                <w:color w:val="auto"/>
              </w:rPr>
              <w:t>Table games win %</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Table games win per unit per day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15,421</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16,084</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15,902</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15,834</w:t>
            </w:r>
          </w:p>
        </w:tc>
        <w:tc>
          <w:tcPr>
            <w:tcW w:w="10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24"/>
        </w:trPr>
        <w:tc>
          <w:tcPr>
            <w:tcW w:w="3520" w:type="dxa"/>
            <w:vAlign w:val="bottom"/>
          </w:tcPr>
          <w:p>
            <w:pPr>
              <w:ind w:left="520"/>
              <w:spacing w:after="0"/>
              <w:rPr>
                <w:sz w:val="20"/>
                <w:szCs w:val="20"/>
                <w:color w:val="auto"/>
              </w:rPr>
            </w:pPr>
            <w:r>
              <w:rPr>
                <w:rFonts w:ascii="Arial" w:cs="Arial" w:eastAsia="Arial" w:hAnsi="Arial"/>
                <w:sz w:val="16"/>
                <w:szCs w:val="16"/>
                <w:color w:val="auto"/>
              </w:rPr>
              <w:t>Average number of slot machines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1,074</w:t>
            </w:r>
          </w:p>
        </w:tc>
        <w:tc>
          <w:tcPr>
            <w:tcW w:w="1060" w:type="dxa"/>
            <w:vAlign w:val="bottom"/>
            <w:gridSpan w:val="3"/>
          </w:tcPr>
          <w:p>
            <w:pPr>
              <w:jc w:val="right"/>
              <w:ind w:right="48"/>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1,065</w:t>
            </w:r>
          </w:p>
        </w:tc>
        <w:tc>
          <w:tcPr>
            <w:tcW w:w="1060" w:type="dxa"/>
            <w:vAlign w:val="bottom"/>
            <w:gridSpan w:val="3"/>
          </w:tcPr>
          <w:p>
            <w:pPr>
              <w:jc w:val="right"/>
              <w:ind w:right="28"/>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Slot machine handle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1,031,988</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1,011,482</w:t>
            </w:r>
          </w:p>
        </w:tc>
        <w:tc>
          <w:tcPr>
            <w:tcW w:w="106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3,918,554</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3,933,064</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24"/>
        </w:trPr>
        <w:tc>
          <w:tcPr>
            <w:tcW w:w="3520" w:type="dxa"/>
            <w:vAlign w:val="bottom"/>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53,110</w:t>
            </w: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57,575</w:t>
            </w:r>
          </w:p>
        </w:tc>
        <w:tc>
          <w:tcPr>
            <w:tcW w:w="1060" w:type="dxa"/>
            <w:vAlign w:val="bottom"/>
            <w:gridSpan w:val="3"/>
          </w:tcPr>
          <w:p>
            <w:pPr>
              <w:jc w:val="right"/>
              <w:ind w:right="48"/>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195,367</w:t>
            </w:r>
          </w:p>
        </w:tc>
        <w:tc>
          <w:tcPr>
            <w:tcW w:w="6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203,568</w:t>
            </w:r>
          </w:p>
        </w:tc>
        <w:tc>
          <w:tcPr>
            <w:tcW w:w="1060" w:type="dxa"/>
            <w:vAlign w:val="bottom"/>
            <w:gridSpan w:val="3"/>
          </w:tcPr>
          <w:p>
            <w:pPr>
              <w:jc w:val="right"/>
              <w:ind w:right="28"/>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Slot machine win per unit per day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6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4"/>
        </w:trPr>
        <w:tc>
          <w:tcPr>
            <w:tcW w:w="3520" w:type="dxa"/>
            <w:vAlign w:val="bottom"/>
          </w:tcPr>
          <w:p>
            <w:pPr>
              <w:ind w:left="200"/>
              <w:spacing w:after="0"/>
              <w:rPr>
                <w:sz w:val="20"/>
                <w:szCs w:val="20"/>
                <w:color w:val="auto"/>
              </w:rPr>
            </w:pPr>
            <w:r>
              <w:rPr>
                <w:rFonts w:ascii="Arial" w:cs="Arial" w:eastAsia="Arial" w:hAnsi="Arial"/>
                <w:sz w:val="16"/>
                <w:szCs w:val="16"/>
                <w:color w:val="auto"/>
              </w:rPr>
              <w:t>Room statistics: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Occupancy</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52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268</w:t>
            </w: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277</w:t>
            </w:r>
          </w:p>
        </w:tc>
        <w:tc>
          <w:tcPr>
            <w:tcW w:w="1060" w:type="dxa"/>
            <w:vAlign w:val="bottom"/>
            <w:gridSpan w:val="3"/>
          </w:tcPr>
          <w:p>
            <w:pPr>
              <w:jc w:val="right"/>
              <w:ind w:right="48"/>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269</w:t>
            </w:r>
          </w:p>
        </w:tc>
        <w:tc>
          <w:tcPr>
            <w:tcW w:w="6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265</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7"/>
        </w:trPr>
        <w:tc>
          <w:tcPr>
            <w:tcW w:w="3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6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6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3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89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60" w:top="891" w:right="259" w:bottom="1440" w:gutter="0" w:footer="0" w:header="0"/>
          <w:type w:val="continuous"/>
        </w:sectPr>
      </w:pPr>
    </w:p>
    <w:bookmarkStart w:id="13" w:name="page14"/>
    <w:bookmarkEnd w:id="13"/>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4"/>
                <w:szCs w:val="14"/>
                <w:b w:val="1"/>
                <w:bCs w:val="1"/>
                <w:color w:val="auto"/>
                <w:w w:val="98"/>
              </w:rPr>
              <w:t>Three Months Ended December 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b w:val="1"/>
                <w:bCs w:val="1"/>
                <w:color w:val="auto"/>
                <w:w w:val="98"/>
              </w:rPr>
              <w:t>Twelve Months Ended December 31,</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2"/>
                <w:szCs w:val="12"/>
                <w:color w:val="auto"/>
              </w:rPr>
            </w:pPr>
          </w:p>
        </w:tc>
        <w:tc>
          <w:tcPr>
            <w:tcW w:w="104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Wynn Macau Supplemental Information</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20" w:type="dxa"/>
            <w:vAlign w:val="bottom"/>
          </w:tcPr>
          <w:p>
            <w:pPr>
              <w:ind w:left="20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Casino</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455,943</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479,027</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1,796,209</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1,994,885</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4"/>
        </w:trPr>
        <w:tc>
          <w:tcPr>
            <w:tcW w:w="3520" w:type="dxa"/>
            <w:vAlign w:val="bottom"/>
          </w:tcPr>
          <w:p>
            <w:pPr>
              <w:ind w:left="320"/>
              <w:spacing w:after="0"/>
              <w:rPr>
                <w:sz w:val="20"/>
                <w:szCs w:val="20"/>
                <w:color w:val="auto"/>
              </w:rPr>
            </w:pPr>
            <w:r>
              <w:rPr>
                <w:rFonts w:ascii="Arial" w:cs="Arial" w:eastAsia="Arial" w:hAnsi="Arial"/>
                <w:sz w:val="16"/>
                <w:szCs w:val="16"/>
                <w:color w:val="auto"/>
              </w:rPr>
              <w:t>Rooms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28,316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29,919</w:t>
            </w:r>
          </w:p>
        </w:tc>
        <w:tc>
          <w:tcPr>
            <w:tcW w:w="1060" w:type="dxa"/>
            <w:vAlign w:val="bottom"/>
            <w:gridSpan w:val="3"/>
          </w:tcPr>
          <w:p>
            <w:pPr>
              <w:jc w:val="right"/>
              <w:ind w:right="48"/>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110,387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113,495</w:t>
            </w:r>
          </w:p>
        </w:tc>
        <w:tc>
          <w:tcPr>
            <w:tcW w:w="1060" w:type="dxa"/>
            <w:vAlign w:val="bottom"/>
            <w:gridSpan w:val="3"/>
          </w:tcPr>
          <w:p>
            <w:pPr>
              <w:jc w:val="right"/>
              <w:ind w:right="28"/>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Food and beverage</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20,888</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21,176</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81,576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76,369</w:t>
            </w:r>
          </w:p>
        </w:tc>
        <w:tc>
          <w:tcPr>
            <w:tcW w:w="10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24"/>
        </w:trPr>
        <w:tc>
          <w:tcPr>
            <w:tcW w:w="3520" w:type="dxa"/>
            <w:vAlign w:val="bottom"/>
          </w:tcPr>
          <w:p>
            <w:pPr>
              <w:ind w:left="320"/>
              <w:spacing w:after="0"/>
              <w:rPr>
                <w:sz w:val="20"/>
                <w:szCs w:val="20"/>
                <w:color w:val="auto"/>
              </w:rPr>
            </w:pPr>
            <w:r>
              <w:rPr>
                <w:rFonts w:ascii="Arial" w:cs="Arial" w:eastAsia="Arial" w:hAnsi="Arial"/>
                <w:sz w:val="16"/>
                <w:szCs w:val="16"/>
                <w:color w:val="auto"/>
              </w:rPr>
              <w:t>Entertainment, retail and other</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23,259</w:t>
            </w:r>
          </w:p>
        </w:tc>
        <w:tc>
          <w:tcPr>
            <w:tcW w:w="1060" w:type="dxa"/>
            <w:vAlign w:val="bottom"/>
            <w:gridSpan w:val="3"/>
          </w:tcPr>
          <w:p>
            <w:pPr>
              <w:jc w:val="right"/>
              <w:ind w:right="48"/>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81,857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109,776</w:t>
            </w:r>
          </w:p>
        </w:tc>
        <w:tc>
          <w:tcPr>
            <w:tcW w:w="1060" w:type="dxa"/>
            <w:vAlign w:val="bottom"/>
            <w:gridSpan w:val="3"/>
          </w:tcPr>
          <w:p>
            <w:pPr>
              <w:jc w:val="right"/>
              <w:ind w:right="28"/>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33"/>
        </w:trPr>
        <w:tc>
          <w:tcPr>
            <w:tcW w:w="3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525,383</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553,381</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2,070,029</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2,294,525</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170,086</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167,560</w:t>
            </w:r>
          </w:p>
        </w:tc>
        <w:tc>
          <w:tcPr>
            <w:tcW w:w="106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648,837</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733,238</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Casino Statistics: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520" w:type="dxa"/>
            <w:vAlign w:val="bottom"/>
          </w:tcPr>
          <w:p>
            <w:pPr>
              <w:ind w:left="320"/>
              <w:spacing w:after="0"/>
              <w:rPr>
                <w:sz w:val="20"/>
                <w:szCs w:val="20"/>
                <w:color w:val="auto"/>
              </w:rPr>
            </w:pPr>
            <w:r>
              <w:rPr>
                <w:rFonts w:ascii="Arial" w:cs="Arial" w:eastAsia="Arial" w:hAnsi="Arial"/>
                <w:sz w:val="16"/>
                <w:szCs w:val="16"/>
                <w:color w:val="auto"/>
              </w:rPr>
              <w:t>VIP:</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Average number of table games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4"/>
        </w:trPr>
        <w:tc>
          <w:tcPr>
            <w:tcW w:w="3520" w:type="dxa"/>
            <w:vAlign w:val="bottom"/>
          </w:tcPr>
          <w:p>
            <w:pPr>
              <w:ind w:left="520"/>
              <w:spacing w:after="0"/>
              <w:rPr>
                <w:sz w:val="20"/>
                <w:szCs w:val="20"/>
                <w:color w:val="auto"/>
              </w:rPr>
            </w:pPr>
            <w:r>
              <w:rPr>
                <w:rFonts w:ascii="Arial" w:cs="Arial" w:eastAsia="Arial" w:hAnsi="Arial"/>
                <w:sz w:val="16"/>
                <w:szCs w:val="16"/>
                <w:color w:val="auto"/>
              </w:rPr>
              <w:t>VIP turnover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7,931,833</w:t>
            </w: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12,776,758</w:t>
            </w:r>
          </w:p>
        </w:tc>
        <w:tc>
          <w:tcPr>
            <w:tcW w:w="1060" w:type="dxa"/>
            <w:vAlign w:val="bottom"/>
            <w:gridSpan w:val="3"/>
          </w:tcPr>
          <w:p>
            <w:pPr>
              <w:jc w:val="right"/>
              <w:ind w:right="48"/>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35,426,483</w:t>
            </w:r>
          </w:p>
        </w:tc>
        <w:tc>
          <w:tcPr>
            <w:tcW w:w="6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57,759,607</w:t>
            </w:r>
          </w:p>
        </w:tc>
        <w:tc>
          <w:tcPr>
            <w:tcW w:w="1060" w:type="dxa"/>
            <w:vAlign w:val="bottom"/>
            <w:gridSpan w:val="3"/>
          </w:tcPr>
          <w:p>
            <w:pPr>
              <w:jc w:val="right"/>
              <w:ind w:right="28"/>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259,729</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364,783</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1,081,934</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1,588,002</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24"/>
        </w:trPr>
        <w:tc>
          <w:tcPr>
            <w:tcW w:w="3520" w:type="dxa"/>
            <w:vAlign w:val="bottom"/>
          </w:tcPr>
          <w:p>
            <w:pPr>
              <w:ind w:left="520"/>
              <w:spacing w:after="0"/>
              <w:rPr>
                <w:sz w:val="20"/>
                <w:szCs w:val="20"/>
                <w:color w:val="auto"/>
              </w:rPr>
            </w:pPr>
            <w:r>
              <w:rPr>
                <w:rFonts w:ascii="Arial" w:cs="Arial" w:eastAsia="Arial" w:hAnsi="Arial"/>
                <w:sz w:val="16"/>
                <w:szCs w:val="16"/>
                <w:color w:val="auto"/>
              </w:rPr>
              <w:t>VIP table games win as a % of turnover</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Table games win per unit per day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28,617</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35,851</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27,864</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39,113</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24"/>
        </w:trPr>
        <w:tc>
          <w:tcPr>
            <w:tcW w:w="3520" w:type="dxa"/>
            <w:vAlign w:val="bottom"/>
          </w:tcPr>
          <w:p>
            <w:pPr>
              <w:ind w:left="320"/>
              <w:spacing w:after="0"/>
              <w:rPr>
                <w:sz w:val="20"/>
                <w:szCs w:val="20"/>
                <w:color w:val="auto"/>
              </w:rPr>
            </w:pPr>
            <w:r>
              <w:rPr>
                <w:rFonts w:ascii="Arial" w:cs="Arial" w:eastAsia="Arial" w:hAnsi="Arial"/>
                <w:sz w:val="16"/>
                <w:szCs w:val="16"/>
                <w:color w:val="auto"/>
              </w:rPr>
              <w:t>Mass market: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Average number of table games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6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4"/>
        </w:trPr>
        <w:tc>
          <w:tcPr>
            <w:tcW w:w="3520" w:type="dxa"/>
            <w:vAlign w:val="bottom"/>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1,391,906</w:t>
            </w: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1,258,696</w:t>
            </w:r>
          </w:p>
        </w:tc>
        <w:tc>
          <w:tcPr>
            <w:tcW w:w="1060" w:type="dxa"/>
            <w:vAlign w:val="bottom"/>
            <w:gridSpan w:val="3"/>
          </w:tcPr>
          <w:p>
            <w:pPr>
              <w:jc w:val="right"/>
              <w:ind w:right="88"/>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5,410,439</w:t>
            </w:r>
          </w:p>
        </w:tc>
        <w:tc>
          <w:tcPr>
            <w:tcW w:w="6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5,058,332</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283,172</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255,736</w:t>
            </w:r>
          </w:p>
        </w:tc>
        <w:tc>
          <w:tcPr>
            <w:tcW w:w="106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1,099,353</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1,014,484</w:t>
            </w:r>
          </w:p>
        </w:tc>
        <w:tc>
          <w:tcPr>
            <w:tcW w:w="10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4"/>
        </w:trPr>
        <w:tc>
          <w:tcPr>
            <w:tcW w:w="3520" w:type="dxa"/>
            <w:vAlign w:val="bottom"/>
          </w:tcPr>
          <w:p>
            <w:pPr>
              <w:ind w:left="520"/>
              <w:spacing w:after="0"/>
              <w:rPr>
                <w:sz w:val="20"/>
                <w:szCs w:val="20"/>
                <w:color w:val="auto"/>
              </w:rPr>
            </w:pPr>
            <w:r>
              <w:rPr>
                <w:rFonts w:ascii="Arial" w:cs="Arial" w:eastAsia="Arial" w:hAnsi="Arial"/>
                <w:sz w:val="16"/>
                <w:szCs w:val="16"/>
                <w:color w:val="auto"/>
              </w:rPr>
              <w:t>Table games win %</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Table games win per unit per day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14,425</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13,554</w:t>
            </w:r>
          </w:p>
        </w:tc>
        <w:tc>
          <w:tcPr>
            <w:tcW w:w="106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14,519</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13,698</w:t>
            </w:r>
          </w:p>
        </w:tc>
        <w:tc>
          <w:tcPr>
            <w:tcW w:w="10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4"/>
        </w:trPr>
        <w:tc>
          <w:tcPr>
            <w:tcW w:w="3520" w:type="dxa"/>
            <w:vAlign w:val="bottom"/>
          </w:tcPr>
          <w:p>
            <w:pPr>
              <w:ind w:left="520"/>
              <w:spacing w:after="0"/>
              <w:rPr>
                <w:sz w:val="20"/>
                <w:szCs w:val="20"/>
                <w:color w:val="auto"/>
              </w:rPr>
            </w:pPr>
            <w:r>
              <w:rPr>
                <w:rFonts w:ascii="Arial" w:cs="Arial" w:eastAsia="Arial" w:hAnsi="Arial"/>
                <w:sz w:val="16"/>
                <w:szCs w:val="16"/>
                <w:color w:val="auto"/>
              </w:rPr>
              <w:t>Average number of slot machines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805</w:t>
            </w:r>
          </w:p>
        </w:tc>
        <w:tc>
          <w:tcPr>
            <w:tcW w:w="1060" w:type="dxa"/>
            <w:vAlign w:val="bottom"/>
            <w:gridSpan w:val="3"/>
          </w:tcPr>
          <w:p>
            <w:pPr>
              <w:jc w:val="right"/>
              <w:ind w:right="48"/>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877</w:t>
            </w:r>
          </w:p>
        </w:tc>
        <w:tc>
          <w:tcPr>
            <w:tcW w:w="1060" w:type="dxa"/>
            <w:vAlign w:val="bottom"/>
            <w:gridSpan w:val="3"/>
          </w:tcPr>
          <w:p>
            <w:pPr>
              <w:jc w:val="right"/>
              <w:ind w:right="28"/>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Slot machine handle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825,763</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878,393</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3,545,899</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3,740,096</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4"/>
        </w:trPr>
        <w:tc>
          <w:tcPr>
            <w:tcW w:w="3520" w:type="dxa"/>
            <w:vAlign w:val="bottom"/>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42,669</w:t>
            </w: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44,424</w:t>
            </w:r>
          </w:p>
        </w:tc>
        <w:tc>
          <w:tcPr>
            <w:tcW w:w="1060" w:type="dxa"/>
            <w:vAlign w:val="bottom"/>
            <w:gridSpan w:val="3"/>
          </w:tcPr>
          <w:p>
            <w:pPr>
              <w:jc w:val="right"/>
              <w:ind w:right="48"/>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170,358</w:t>
            </w:r>
          </w:p>
        </w:tc>
        <w:tc>
          <w:tcPr>
            <w:tcW w:w="6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161,384</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Slot machine win per unit per day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0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24"/>
        </w:trPr>
        <w:tc>
          <w:tcPr>
            <w:tcW w:w="3520" w:type="dxa"/>
            <w:vAlign w:val="bottom"/>
          </w:tcPr>
          <w:p>
            <w:pPr>
              <w:ind w:left="200"/>
              <w:spacing w:after="0"/>
              <w:rPr>
                <w:sz w:val="20"/>
                <w:szCs w:val="20"/>
                <w:color w:val="auto"/>
              </w:rPr>
            </w:pPr>
            <w:r>
              <w:rPr>
                <w:rFonts w:ascii="Arial" w:cs="Arial" w:eastAsia="Arial" w:hAnsi="Arial"/>
                <w:sz w:val="16"/>
                <w:szCs w:val="16"/>
                <w:color w:val="auto"/>
              </w:rPr>
              <w:t>Room statistics: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Occupancy</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52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291</w:t>
            </w: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294</w:t>
            </w:r>
          </w:p>
        </w:tc>
        <w:tc>
          <w:tcPr>
            <w:tcW w:w="1060" w:type="dxa"/>
            <w:vAlign w:val="bottom"/>
            <w:gridSpan w:val="3"/>
          </w:tcPr>
          <w:p>
            <w:pPr>
              <w:jc w:val="right"/>
              <w:ind w:right="48"/>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286</w:t>
            </w:r>
          </w:p>
        </w:tc>
        <w:tc>
          <w:tcPr>
            <w:tcW w:w="6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283</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7"/>
        </w:trPr>
        <w:tc>
          <w:tcPr>
            <w:tcW w:w="3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6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6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89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60" w:top="891" w:right="259" w:bottom="1440" w:gutter="0" w:footer="0" w:header="0"/>
          <w:type w:val="continuous"/>
        </w:sectPr>
      </w:pPr>
    </w:p>
    <w:bookmarkStart w:id="14" w:name="page15"/>
    <w:bookmarkEnd w:id="14"/>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b w:val="1"/>
                <w:bCs w:val="1"/>
                <w:color w:val="auto"/>
                <w:w w:val="98"/>
              </w:rPr>
              <w:t>Three Months Ended December 31,</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4"/>
                <w:szCs w:val="14"/>
                <w:b w:val="1"/>
                <w:bCs w:val="1"/>
                <w:color w:val="auto"/>
                <w:w w:val="97"/>
              </w:rPr>
              <w:t>Twelve Months Ended December 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2"/>
                <w:szCs w:val="12"/>
                <w:color w:val="auto"/>
              </w:rPr>
            </w:pPr>
          </w:p>
        </w:tc>
        <w:tc>
          <w:tcPr>
            <w:tcW w:w="10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8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4"/>
              </w:rPr>
              <w:t>Las Vegas Operations Supplemental Information</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20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Casino</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75,665</w:t>
            </w:r>
          </w:p>
        </w:tc>
        <w:tc>
          <w:tcPr>
            <w:tcW w:w="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104,819</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394,104</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434,083</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24"/>
        </w:trPr>
        <w:tc>
          <w:tcPr>
            <w:tcW w:w="3540" w:type="dxa"/>
            <w:vAlign w:val="bottom"/>
          </w:tcPr>
          <w:p>
            <w:pPr>
              <w:ind w:left="320"/>
              <w:spacing w:after="0"/>
              <w:rPr>
                <w:sz w:val="20"/>
                <w:szCs w:val="20"/>
                <w:color w:val="auto"/>
              </w:rPr>
            </w:pPr>
            <w:r>
              <w:rPr>
                <w:rFonts w:ascii="Arial" w:cs="Arial" w:eastAsia="Arial" w:hAnsi="Arial"/>
                <w:sz w:val="16"/>
                <w:szCs w:val="16"/>
                <w:color w:val="auto"/>
              </w:rPr>
              <w:t>Rooms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120,340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117,870</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483,055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468,238</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Food and beverage</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120,257</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121,872</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558,782</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567,121</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4"/>
        </w:trPr>
        <w:tc>
          <w:tcPr>
            <w:tcW w:w="3540" w:type="dxa"/>
            <w:vAlign w:val="bottom"/>
          </w:tcPr>
          <w:p>
            <w:pPr>
              <w:ind w:left="320"/>
              <w:spacing w:after="0"/>
              <w:rPr>
                <w:sz w:val="20"/>
                <w:szCs w:val="20"/>
                <w:color w:val="auto"/>
              </w:rPr>
            </w:pPr>
            <w:r>
              <w:rPr>
                <w:rFonts w:ascii="Arial" w:cs="Arial" w:eastAsia="Arial" w:hAnsi="Arial"/>
                <w:sz w:val="16"/>
                <w:szCs w:val="16"/>
                <w:color w:val="auto"/>
              </w:rPr>
              <w:t>Entertainment, retail and other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52,514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49,083</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197,516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196,127</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368,776</w:t>
            </w:r>
          </w:p>
        </w:tc>
        <w:tc>
          <w:tcPr>
            <w:tcW w:w="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393,644</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1,633,457</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1,665,569</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7"/>
        </w:trPr>
        <w:tc>
          <w:tcPr>
            <w:tcW w:w="3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80,139</w:t>
            </w:r>
          </w:p>
        </w:tc>
        <w:tc>
          <w:tcPr>
            <w:tcW w:w="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105,222</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413,886</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467,273</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57"/>
        </w:trPr>
        <w:tc>
          <w:tcPr>
            <w:tcW w:w="3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Casino Statistics: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520"/>
              <w:spacing w:after="0"/>
              <w:rPr>
                <w:sz w:val="20"/>
                <w:szCs w:val="20"/>
                <w:color w:val="auto"/>
              </w:rPr>
            </w:pPr>
            <w:r>
              <w:rPr>
                <w:rFonts w:ascii="Arial" w:cs="Arial" w:eastAsia="Arial" w:hAnsi="Arial"/>
                <w:sz w:val="16"/>
                <w:szCs w:val="16"/>
                <w:color w:val="auto"/>
              </w:rPr>
              <w:t>Average number of table games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236</w:t>
            </w:r>
          </w:p>
        </w:tc>
        <w:tc>
          <w:tcPr>
            <w:tcW w:w="1060" w:type="dxa"/>
            <w:vAlign w:val="bottom"/>
            <w:gridSpan w:val="3"/>
          </w:tcPr>
          <w:p>
            <w:pPr>
              <w:jc w:val="right"/>
              <w:ind w:right="28"/>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237</w:t>
            </w:r>
          </w:p>
        </w:tc>
        <w:tc>
          <w:tcPr>
            <w:tcW w:w="1060" w:type="dxa"/>
            <w:vAlign w:val="bottom"/>
            <w:gridSpan w:val="3"/>
          </w:tcPr>
          <w:p>
            <w:pPr>
              <w:jc w:val="right"/>
              <w:ind w:right="28"/>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414,451</w:t>
            </w:r>
          </w:p>
        </w:tc>
        <w:tc>
          <w:tcPr>
            <w:tcW w:w="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508,472</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1,690,132</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1,852,816</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24"/>
        </w:trPr>
        <w:tc>
          <w:tcPr>
            <w:tcW w:w="3540" w:type="dxa"/>
            <w:vAlign w:val="bottom"/>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71,935</w:t>
            </w:r>
          </w:p>
        </w:tc>
        <w:tc>
          <w:tcPr>
            <w:tcW w:w="6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113,892</w:t>
            </w:r>
          </w:p>
        </w:tc>
        <w:tc>
          <w:tcPr>
            <w:tcW w:w="1060" w:type="dxa"/>
            <w:vAlign w:val="bottom"/>
            <w:gridSpan w:val="3"/>
          </w:tcPr>
          <w:p>
            <w:pPr>
              <w:jc w:val="right"/>
              <w:ind w:right="28"/>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395,439</w:t>
            </w:r>
          </w:p>
        </w:tc>
        <w:tc>
          <w:tcPr>
            <w:tcW w:w="6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456,021</w:t>
            </w:r>
          </w:p>
        </w:tc>
        <w:tc>
          <w:tcPr>
            <w:tcW w:w="1060" w:type="dxa"/>
            <w:vAlign w:val="bottom"/>
            <w:gridSpan w:val="3"/>
          </w:tcPr>
          <w:p>
            <w:pPr>
              <w:jc w:val="right"/>
              <w:ind w:right="28"/>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Table games win %</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520"/>
              <w:spacing w:after="0"/>
              <w:rPr>
                <w:sz w:val="20"/>
                <w:szCs w:val="20"/>
                <w:color w:val="auto"/>
              </w:rPr>
            </w:pPr>
            <w:r>
              <w:rPr>
                <w:rFonts w:ascii="Arial" w:cs="Arial" w:eastAsia="Arial" w:hAnsi="Arial"/>
                <w:sz w:val="16"/>
                <w:szCs w:val="16"/>
                <w:color w:val="auto"/>
              </w:rPr>
              <w:t>Table games win per unit per day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3,364</w:t>
            </w:r>
          </w:p>
        </w:tc>
        <w:tc>
          <w:tcPr>
            <w:tcW w:w="6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5,237</w:t>
            </w:r>
          </w:p>
        </w:tc>
        <w:tc>
          <w:tcPr>
            <w:tcW w:w="1060" w:type="dxa"/>
            <w:vAlign w:val="bottom"/>
            <w:gridSpan w:val="3"/>
          </w:tcPr>
          <w:p>
            <w:pPr>
              <w:jc w:val="right"/>
              <w:ind w:right="28"/>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4,581</w:t>
            </w:r>
          </w:p>
        </w:tc>
        <w:tc>
          <w:tcPr>
            <w:tcW w:w="6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5,282</w:t>
            </w:r>
          </w:p>
        </w:tc>
        <w:tc>
          <w:tcPr>
            <w:tcW w:w="1060" w:type="dxa"/>
            <w:vAlign w:val="bottom"/>
            <w:gridSpan w:val="3"/>
          </w:tcPr>
          <w:p>
            <w:pPr>
              <w:jc w:val="right"/>
              <w:ind w:right="28"/>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Average number of slot machines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1,773</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1,815</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10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3540" w:type="dxa"/>
            <w:vAlign w:val="bottom"/>
          </w:tcPr>
          <w:p>
            <w:pPr>
              <w:ind w:left="520"/>
              <w:spacing w:after="0"/>
              <w:rPr>
                <w:sz w:val="20"/>
                <w:szCs w:val="20"/>
                <w:color w:val="auto"/>
              </w:rPr>
            </w:pPr>
            <w:r>
              <w:rPr>
                <w:rFonts w:ascii="Arial" w:cs="Arial" w:eastAsia="Arial" w:hAnsi="Arial"/>
                <w:sz w:val="16"/>
                <w:szCs w:val="16"/>
                <w:color w:val="auto"/>
              </w:rPr>
              <w:t>Slot machine handle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942,940</w:t>
            </w:r>
          </w:p>
        </w:tc>
        <w:tc>
          <w:tcPr>
            <w:tcW w:w="6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904,385</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3,427,820</w:t>
            </w:r>
          </w:p>
        </w:tc>
        <w:tc>
          <w:tcPr>
            <w:tcW w:w="6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3,237,085</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63,106</w:t>
            </w:r>
          </w:p>
        </w:tc>
        <w:tc>
          <w:tcPr>
            <w:tcW w:w="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58,407</w:t>
            </w:r>
          </w:p>
        </w:tc>
        <w:tc>
          <w:tcPr>
            <w:tcW w:w="10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230,954</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213,025</w:t>
            </w:r>
          </w:p>
        </w:tc>
        <w:tc>
          <w:tcPr>
            <w:tcW w:w="10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4"/>
        </w:trPr>
        <w:tc>
          <w:tcPr>
            <w:tcW w:w="3540" w:type="dxa"/>
            <w:vAlign w:val="bottom"/>
          </w:tcPr>
          <w:p>
            <w:pPr>
              <w:ind w:left="520"/>
              <w:spacing w:after="0"/>
              <w:rPr>
                <w:sz w:val="20"/>
                <w:szCs w:val="20"/>
                <w:color w:val="auto"/>
              </w:rPr>
            </w:pPr>
            <w:r>
              <w:rPr>
                <w:rFonts w:ascii="Arial" w:cs="Arial" w:eastAsia="Arial" w:hAnsi="Arial"/>
                <w:sz w:val="16"/>
                <w:szCs w:val="16"/>
                <w:color w:val="auto"/>
              </w:rPr>
              <w:t>Slot machine win per unit per day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387</w:t>
            </w:r>
          </w:p>
        </w:tc>
        <w:tc>
          <w:tcPr>
            <w:tcW w:w="6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350</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354</w:t>
            </w:r>
          </w:p>
        </w:tc>
        <w:tc>
          <w:tcPr>
            <w:tcW w:w="6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320</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Room statistics: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520"/>
              <w:spacing w:after="0"/>
              <w:rPr>
                <w:sz w:val="20"/>
                <w:szCs w:val="20"/>
                <w:color w:val="auto"/>
              </w:rPr>
            </w:pPr>
            <w:r>
              <w:rPr>
                <w:rFonts w:ascii="Arial" w:cs="Arial" w:eastAsia="Arial" w:hAnsi="Arial"/>
                <w:sz w:val="16"/>
                <w:szCs w:val="16"/>
                <w:color w:val="auto"/>
              </w:rPr>
              <w:t>Occupancy</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6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6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51"/>
        </w:trPr>
        <w:tc>
          <w:tcPr>
            <w:tcW w:w="3540" w:type="dxa"/>
            <w:vAlign w:val="bottom"/>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288</w:t>
            </w:r>
          </w:p>
        </w:tc>
        <w:tc>
          <w:tcPr>
            <w:tcW w:w="6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279</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284</w:t>
            </w:r>
          </w:p>
        </w:tc>
        <w:tc>
          <w:tcPr>
            <w:tcW w:w="6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274</w:t>
            </w:r>
          </w:p>
        </w:tc>
        <w:tc>
          <w:tcPr>
            <w:tcW w:w="1060" w:type="dxa"/>
            <w:vAlign w:val="bottom"/>
            <w:gridSpan w:val="3"/>
          </w:tcPr>
          <w:p>
            <w:pPr>
              <w:jc w:val="right"/>
              <w:ind w:right="68"/>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891" w:right="259" w:bottom="1440" w:gutter="0" w:footer="0" w:header="0"/>
        </w:sectPr>
      </w:pPr>
    </w:p>
    <w:bookmarkStart w:id="15" w:name="page16"/>
    <w:bookmarkEnd w:id="15"/>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 December 31,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Twelve Months Ended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Percent</w:t>
            </w: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35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w w:val="94"/>
              </w:rPr>
              <w:t>Encore Boston Harbor Supplemental Information</w:t>
            </w:r>
          </w:p>
        </w:tc>
        <w:tc>
          <w:tcPr>
            <w:tcW w:w="2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(7)</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Pr>
          <w:p>
            <w:pPr>
              <w:ind w:left="20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Casino</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115,969</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243,855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560" w:type="dxa"/>
            <w:vAlign w:val="bottom"/>
          </w:tcPr>
          <w:p>
            <w:pPr>
              <w:ind w:left="320"/>
              <w:spacing w:after="0"/>
              <w:rPr>
                <w:sz w:val="20"/>
                <w:szCs w:val="20"/>
                <w:color w:val="auto"/>
              </w:rPr>
            </w:pPr>
            <w:r>
              <w:rPr>
                <w:rFonts w:ascii="Arial" w:cs="Arial" w:eastAsia="Arial" w:hAnsi="Arial"/>
                <w:sz w:val="16"/>
                <w:szCs w:val="16"/>
                <w:color w:val="auto"/>
              </w:rPr>
              <w:t>Rooms</w:t>
            </w:r>
          </w:p>
        </w:tc>
        <w:tc>
          <w:tcPr>
            <w:tcW w:w="240" w:type="dxa"/>
            <w:vAlign w:val="bottom"/>
          </w:tcPr>
          <w:p>
            <w:pPr>
              <w:spacing w:after="0"/>
              <w:rPr>
                <w:sz w:val="19"/>
                <w:szCs w:val="19"/>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16,359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36,144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Food and beverage</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28,243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61,088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560" w:type="dxa"/>
            <w:vAlign w:val="bottom"/>
          </w:tcPr>
          <w:p>
            <w:pPr>
              <w:ind w:left="320"/>
              <w:spacing w:after="0"/>
              <w:rPr>
                <w:sz w:val="20"/>
                <w:szCs w:val="20"/>
                <w:color w:val="auto"/>
              </w:rPr>
            </w:pPr>
            <w:r>
              <w:rPr>
                <w:rFonts w:ascii="Arial" w:cs="Arial" w:eastAsia="Arial" w:hAnsi="Arial"/>
                <w:sz w:val="16"/>
                <w:szCs w:val="16"/>
                <w:color w:val="auto"/>
              </w:rPr>
              <w:t>Entertainment, retail and other</w:t>
            </w:r>
          </w:p>
        </w:tc>
        <w:tc>
          <w:tcPr>
            <w:tcW w:w="240" w:type="dxa"/>
            <w:vAlign w:val="bottom"/>
          </w:tcPr>
          <w:p>
            <w:pPr>
              <w:spacing w:after="0"/>
              <w:rPr>
                <w:sz w:val="19"/>
                <w:szCs w:val="19"/>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8,744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22,832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169,315</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363,919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15,260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23,150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Casino Statistics: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560" w:type="dxa"/>
            <w:vAlign w:val="bottom"/>
          </w:tcPr>
          <w:p>
            <w:pPr>
              <w:ind w:left="520"/>
              <w:spacing w:after="0"/>
              <w:rPr>
                <w:sz w:val="20"/>
                <w:szCs w:val="20"/>
                <w:color w:val="auto"/>
              </w:rPr>
            </w:pPr>
            <w:r>
              <w:rPr>
                <w:rFonts w:ascii="Arial" w:cs="Arial" w:eastAsia="Arial" w:hAnsi="Arial"/>
                <w:sz w:val="16"/>
                <w:szCs w:val="16"/>
                <w:color w:val="auto"/>
              </w:rPr>
              <w:t>Average number of table games</w:t>
            </w:r>
          </w:p>
        </w:tc>
        <w:tc>
          <w:tcPr>
            <w:tcW w:w="240" w:type="dxa"/>
            <w:vAlign w:val="bottom"/>
          </w:tcPr>
          <w:p>
            <w:pPr>
              <w:spacing w:after="0"/>
              <w:rPr>
                <w:sz w:val="19"/>
                <w:szCs w:val="19"/>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362,696</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778,898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560" w:type="dxa"/>
            <w:vAlign w:val="bottom"/>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69,766</w:t>
            </w:r>
          </w:p>
        </w:tc>
        <w:tc>
          <w:tcPr>
            <w:tcW w:w="120" w:type="dxa"/>
            <w:vAlign w:val="bottom"/>
          </w:tcPr>
          <w:p>
            <w:pPr>
              <w:spacing w:after="0"/>
              <w:rPr>
                <w:sz w:val="19"/>
                <w:szCs w:val="19"/>
                <w:color w:val="auto"/>
              </w:rPr>
            </w:pP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151,247</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Table games win %</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560" w:type="dxa"/>
            <w:vAlign w:val="bottom"/>
          </w:tcPr>
          <w:p>
            <w:pPr>
              <w:ind w:left="520"/>
              <w:spacing w:after="0"/>
              <w:rPr>
                <w:sz w:val="20"/>
                <w:szCs w:val="20"/>
                <w:color w:val="auto"/>
              </w:rPr>
            </w:pPr>
            <w:r>
              <w:rPr>
                <w:rFonts w:ascii="Arial" w:cs="Arial" w:eastAsia="Arial" w:hAnsi="Arial"/>
                <w:sz w:val="16"/>
                <w:szCs w:val="16"/>
                <w:color w:val="auto"/>
              </w:rPr>
              <w:t>Table games win per unit per day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4,726</w:t>
            </w:r>
          </w:p>
        </w:tc>
        <w:tc>
          <w:tcPr>
            <w:tcW w:w="120" w:type="dxa"/>
            <w:vAlign w:val="bottom"/>
          </w:tcPr>
          <w:p>
            <w:pPr>
              <w:spacing w:after="0"/>
              <w:rPr>
                <w:sz w:val="19"/>
                <w:szCs w:val="19"/>
                <w:color w:val="auto"/>
              </w:rPr>
            </w:pP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5,178</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Average number of slot machines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2,933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3,023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560" w:type="dxa"/>
            <w:vAlign w:val="bottom"/>
          </w:tcPr>
          <w:p>
            <w:pPr>
              <w:ind w:left="520"/>
              <w:spacing w:after="0"/>
              <w:rPr>
                <w:sz w:val="20"/>
                <w:szCs w:val="20"/>
                <w:color w:val="auto"/>
              </w:rPr>
            </w:pPr>
            <w:r>
              <w:rPr>
                <w:rFonts w:ascii="Arial" w:cs="Arial" w:eastAsia="Arial" w:hAnsi="Arial"/>
                <w:sz w:val="16"/>
                <w:szCs w:val="16"/>
                <w:color w:val="auto"/>
              </w:rPr>
              <w:t>Slot machine handle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856,446</w:t>
            </w:r>
          </w:p>
        </w:tc>
        <w:tc>
          <w:tcPr>
            <w:tcW w:w="120" w:type="dxa"/>
            <w:vAlign w:val="bottom"/>
          </w:tcPr>
          <w:p>
            <w:pPr>
              <w:spacing w:after="0"/>
              <w:rPr>
                <w:sz w:val="19"/>
                <w:szCs w:val="19"/>
                <w:color w:val="auto"/>
              </w:rPr>
            </w:pP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1,847,080</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67,383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138,264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560" w:type="dxa"/>
            <w:vAlign w:val="bottom"/>
          </w:tcPr>
          <w:p>
            <w:pPr>
              <w:ind w:left="520"/>
              <w:spacing w:after="0"/>
              <w:rPr>
                <w:sz w:val="20"/>
                <w:szCs w:val="20"/>
                <w:color w:val="auto"/>
              </w:rPr>
            </w:pPr>
            <w:r>
              <w:rPr>
                <w:rFonts w:ascii="Arial" w:cs="Arial" w:eastAsia="Arial" w:hAnsi="Arial"/>
                <w:sz w:val="16"/>
                <w:szCs w:val="16"/>
                <w:color w:val="auto"/>
              </w:rPr>
              <w:t>Slot machine win per unit per day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9"/>
                <w:szCs w:val="19"/>
                <w:color w:val="auto"/>
              </w:rPr>
            </w:pP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Room statistics: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560" w:type="dxa"/>
            <w:vAlign w:val="bottom"/>
          </w:tcPr>
          <w:p>
            <w:pPr>
              <w:ind w:left="520"/>
              <w:spacing w:after="0"/>
              <w:rPr>
                <w:sz w:val="20"/>
                <w:szCs w:val="20"/>
                <w:color w:val="auto"/>
              </w:rPr>
            </w:pPr>
            <w:r>
              <w:rPr>
                <w:rFonts w:ascii="Arial" w:cs="Arial" w:eastAsia="Arial" w:hAnsi="Arial"/>
                <w:sz w:val="16"/>
                <w:szCs w:val="16"/>
                <w:color w:val="auto"/>
              </w:rPr>
              <w:t>Occupancy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76.0 %</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 %</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720"/>
              <w:spacing w:after="0"/>
              <w:rPr>
                <w:sz w:val="20"/>
                <w:szCs w:val="20"/>
                <w:color w:val="auto"/>
              </w:rPr>
            </w:pPr>
            <w:r>
              <w:rPr>
                <w:rFonts w:ascii="Arial" w:cs="Arial" w:eastAsia="Arial" w:hAnsi="Arial"/>
                <w:sz w:val="16"/>
                <w:szCs w:val="16"/>
                <w:color w:val="auto"/>
              </w:rPr>
              <w:t>— %</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5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3560" w:type="dxa"/>
            <w:vAlign w:val="bottom"/>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1"/>
                <w:szCs w:val="21"/>
                <w:color w:val="auto"/>
              </w:rPr>
            </w:pP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260" w:right="20" w:hanging="252"/>
        <w:spacing w:after="0" w:line="250" w:lineRule="auto"/>
        <w:tabs>
          <w:tab w:leader="none" w:pos="227" w:val="left"/>
        </w:tabs>
        <w:numPr>
          <w:ilvl w:val="0"/>
          <w:numId w:val="5"/>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60" w:hanging="252"/>
        <w:spacing w:after="0" w:line="260" w:lineRule="auto"/>
        <w:tabs>
          <w:tab w:leader="none" w:pos="22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Refer to accompanying reconciliations of Operating Income (Loss) to Adjusted Property EBITDA and Net Income (Loss) Attributable to Wynn Resorts, Limited to Adjusted Property EBITDA.</w:t>
      </w:r>
    </w:p>
    <w:p>
      <w:pPr>
        <w:spacing w:after="0" w:line="12" w:lineRule="exact"/>
        <w:rPr>
          <w:rFonts w:ascii="Arial" w:cs="Arial" w:eastAsia="Arial" w:hAnsi="Arial"/>
          <w:sz w:val="13"/>
          <w:szCs w:val="13"/>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Encore Boston Harbor opened on June 23, 2019.</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9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34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14</w:t>
      </w:r>
    </w:p>
    <w:sectPr>
      <w:pgSz w:w="11900" w:h="16838" w:orient="portrait"/>
      <w:cols w:equalWidth="0" w:num="1">
        <w:col w:w="10219"/>
      </w:cols>
      <w:pgMar w:left="240" w:top="1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2020-02-06T15:10:06Z</dcterms:created>
  <dcterms:modified xsi:type="dcterms:W3CDTF">2020-02-06T15:10:06Z</dcterms:modified>
</cp:coreProperties>
</file>