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295275</wp:posOffset>
            </wp:positionV>
            <wp:extent cx="28028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181610</wp:posOffset>
            </wp:positionV>
            <wp:extent cx="28028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August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198755</wp:posOffset>
            </wp:positionV>
            <wp:extent cx="28028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WYNN RESORTS, LIMITED</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gridSpan w:val="2"/>
          </w:tcPr>
          <w:p>
            <w:pPr>
              <w:jc w:val="center"/>
              <w:ind w:left="256"/>
              <w:spacing w:after="0"/>
              <w:rPr>
                <w:sz w:val="20"/>
                <w:szCs w:val="20"/>
                <w:color w:val="auto"/>
              </w:rPr>
            </w:pPr>
            <w:r>
              <w:rPr>
                <w:rFonts w:ascii="Arial" w:cs="Arial" w:eastAsia="Arial" w:hAnsi="Arial"/>
                <w:sz w:val="14"/>
                <w:szCs w:val="14"/>
                <w:b w:val="1"/>
                <w:bCs w:val="1"/>
                <w:color w:val="auto"/>
                <w:w w:val="88"/>
              </w:rPr>
              <w:t>Nevada</w:t>
            </w:r>
          </w:p>
        </w:tc>
        <w:tc>
          <w:tcPr>
            <w:tcW w:w="3400" w:type="dxa"/>
            <w:vAlign w:val="bottom"/>
            <w:gridSpan w:val="3"/>
          </w:tcPr>
          <w:p>
            <w:pPr>
              <w:ind w:left="1340"/>
              <w:spacing w:after="0"/>
              <w:rPr>
                <w:sz w:val="20"/>
                <w:szCs w:val="20"/>
                <w:color w:val="auto"/>
              </w:rPr>
            </w:pPr>
            <w:r>
              <w:rPr>
                <w:rFonts w:ascii="Arial" w:cs="Arial" w:eastAsia="Arial" w:hAnsi="Arial"/>
                <w:sz w:val="14"/>
                <w:szCs w:val="14"/>
                <w:b w:val="1"/>
                <w:bCs w:val="1"/>
                <w:color w:val="auto"/>
              </w:rPr>
              <w:t>000-50028</w:t>
            </w:r>
          </w:p>
        </w:tc>
        <w:tc>
          <w:tcPr>
            <w:tcW w:w="2620" w:type="dxa"/>
            <w:vAlign w:val="bottom"/>
            <w:gridSpan w:val="2"/>
          </w:tcPr>
          <w:p>
            <w:pPr>
              <w:jc w:val="right"/>
              <w:ind w:right="1580"/>
              <w:spacing w:after="0"/>
              <w:rPr>
                <w:sz w:val="20"/>
                <w:szCs w:val="20"/>
                <w:color w:val="auto"/>
              </w:rPr>
            </w:pPr>
            <w:r>
              <w:rPr>
                <w:rFonts w:ascii="Arial" w:cs="Arial" w:eastAsia="Arial" w:hAnsi="Arial"/>
                <w:sz w:val="14"/>
                <w:szCs w:val="14"/>
                <w:b w:val="1"/>
                <w:bCs w:val="1"/>
                <w:color w:val="auto"/>
              </w:rPr>
              <w:t>46-0484987</w:t>
            </w:r>
          </w:p>
        </w:tc>
        <w:tc>
          <w:tcPr>
            <w:tcW w:w="1220" w:type="dxa"/>
            <w:vAlign w:val="bottom"/>
          </w:tcPr>
          <w:p>
            <w:pPr>
              <w:spacing w:after="0"/>
              <w:rPr>
                <w:sz w:val="16"/>
                <w:szCs w:val="16"/>
                <w:color w:val="auto"/>
              </w:rPr>
            </w:pPr>
          </w:p>
        </w:tc>
      </w:tr>
      <w:tr>
        <w:trPr>
          <w:trHeight w:val="142"/>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0" w:type="dxa"/>
            <w:vAlign w:val="bottom"/>
            <w:gridSpan w:val="2"/>
          </w:tcPr>
          <w:p>
            <w:pPr>
              <w:jc w:val="center"/>
              <w:ind w:left="256"/>
              <w:spacing w:after="0"/>
              <w:rPr>
                <w:sz w:val="20"/>
                <w:szCs w:val="20"/>
                <w:color w:val="auto"/>
              </w:rPr>
            </w:pPr>
            <w:r>
              <w:rPr>
                <w:rFonts w:ascii="Arial" w:cs="Arial" w:eastAsia="Arial" w:hAnsi="Arial"/>
                <w:sz w:val="11"/>
                <w:szCs w:val="11"/>
                <w:b w:val="1"/>
                <w:bCs w:val="1"/>
                <w:color w:val="auto"/>
                <w:w w:val="93"/>
              </w:rPr>
              <w:t>(State or other jurisdiction</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ind w:left="120"/>
              <w:spacing w:after="0"/>
              <w:rPr>
                <w:sz w:val="20"/>
                <w:szCs w:val="20"/>
                <w:color w:val="auto"/>
              </w:rPr>
            </w:pPr>
            <w:r>
              <w:rPr>
                <w:rFonts w:ascii="Arial" w:cs="Arial" w:eastAsia="Arial" w:hAnsi="Arial"/>
                <w:sz w:val="11"/>
                <w:szCs w:val="11"/>
                <w:b w:val="1"/>
                <w:bCs w:val="1"/>
                <w:color w:val="auto"/>
              </w:rPr>
              <w:t>(Commission</w:t>
            </w:r>
          </w:p>
        </w:tc>
        <w:tc>
          <w:tcPr>
            <w:tcW w:w="2620" w:type="dxa"/>
            <w:vAlign w:val="bottom"/>
            <w:gridSpan w:val="2"/>
          </w:tcPr>
          <w:p>
            <w:pPr>
              <w:jc w:val="center"/>
              <w:ind w:right="1240"/>
              <w:spacing w:after="0"/>
              <w:rPr>
                <w:sz w:val="20"/>
                <w:szCs w:val="20"/>
                <w:color w:val="auto"/>
              </w:rPr>
            </w:pPr>
            <w:r>
              <w:rPr>
                <w:rFonts w:ascii="Arial" w:cs="Arial" w:eastAsia="Arial" w:hAnsi="Arial"/>
                <w:sz w:val="11"/>
                <w:szCs w:val="11"/>
                <w:b w:val="1"/>
                <w:bCs w:val="1"/>
                <w:color w:val="auto"/>
                <w:w w:val="97"/>
              </w:rPr>
              <w:t>(I.R.S. Employer</w:t>
            </w:r>
          </w:p>
        </w:tc>
        <w:tc>
          <w:tcPr>
            <w:tcW w:w="1220" w:type="dxa"/>
            <w:vAlign w:val="bottom"/>
          </w:tcPr>
          <w:p>
            <w:pPr>
              <w:spacing w:after="0"/>
              <w:rPr>
                <w:sz w:val="12"/>
                <w:szCs w:val="12"/>
                <w:color w:val="auto"/>
              </w:rPr>
            </w:pPr>
          </w:p>
        </w:tc>
      </w:tr>
      <w:tr>
        <w:trPr>
          <w:trHeight w:val="147"/>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0" w:type="dxa"/>
            <w:vAlign w:val="bottom"/>
            <w:gridSpan w:val="2"/>
          </w:tcPr>
          <w:p>
            <w:pPr>
              <w:jc w:val="center"/>
              <w:ind w:left="256"/>
              <w:spacing w:after="0"/>
              <w:rPr>
                <w:sz w:val="20"/>
                <w:szCs w:val="20"/>
                <w:color w:val="auto"/>
              </w:rPr>
            </w:pPr>
            <w:r>
              <w:rPr>
                <w:rFonts w:ascii="Arial" w:cs="Arial" w:eastAsia="Arial" w:hAnsi="Arial"/>
                <w:sz w:val="11"/>
                <w:szCs w:val="11"/>
                <w:b w:val="1"/>
                <w:bCs w:val="1"/>
                <w:color w:val="auto"/>
                <w:w w:val="95"/>
              </w:rPr>
              <w:t>of incorporation)</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Arial" w:cs="Arial" w:eastAsia="Arial" w:hAnsi="Arial"/>
                <w:sz w:val="11"/>
                <w:szCs w:val="11"/>
                <w:b w:val="1"/>
                <w:bCs w:val="1"/>
                <w:color w:val="auto"/>
              </w:rPr>
              <w:t>File Number)</w:t>
            </w:r>
          </w:p>
        </w:tc>
        <w:tc>
          <w:tcPr>
            <w:tcW w:w="2620" w:type="dxa"/>
            <w:vAlign w:val="bottom"/>
            <w:gridSpan w:val="2"/>
          </w:tcPr>
          <w:p>
            <w:pPr>
              <w:jc w:val="center"/>
              <w:ind w:right="1220"/>
              <w:spacing w:after="0"/>
              <w:rPr>
                <w:sz w:val="20"/>
                <w:szCs w:val="20"/>
                <w:color w:val="auto"/>
              </w:rPr>
            </w:pPr>
            <w:r>
              <w:rPr>
                <w:rFonts w:ascii="Arial" w:cs="Arial" w:eastAsia="Arial" w:hAnsi="Arial"/>
                <w:sz w:val="11"/>
                <w:szCs w:val="11"/>
                <w:b w:val="1"/>
                <w:bCs w:val="1"/>
                <w:color w:val="auto"/>
                <w:w w:val="94"/>
              </w:rPr>
              <w:t>Identification No.)</w:t>
            </w:r>
          </w:p>
        </w:tc>
        <w:tc>
          <w:tcPr>
            <w:tcW w:w="1220" w:type="dxa"/>
            <w:vAlign w:val="bottom"/>
          </w:tcPr>
          <w:p>
            <w:pPr>
              <w:spacing w:after="0"/>
              <w:rPr>
                <w:sz w:val="12"/>
                <w:szCs w:val="12"/>
                <w:color w:val="auto"/>
              </w:rPr>
            </w:pPr>
          </w:p>
        </w:tc>
      </w:tr>
      <w:tr>
        <w:trPr>
          <w:trHeight w:val="199"/>
        </w:trPr>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0" w:type="dxa"/>
            <w:vAlign w:val="bottom"/>
            <w:gridSpan w:val="5"/>
          </w:tcPr>
          <w:p>
            <w:pPr>
              <w:jc w:val="center"/>
              <w:ind w:right="3019"/>
              <w:spacing w:after="0"/>
              <w:rPr>
                <w:sz w:val="20"/>
                <w:szCs w:val="20"/>
                <w:color w:val="auto"/>
              </w:rPr>
            </w:pPr>
            <w:r>
              <w:rPr>
                <w:rFonts w:ascii="Arial" w:cs="Arial" w:eastAsia="Arial" w:hAnsi="Arial"/>
                <w:sz w:val="14"/>
                <w:szCs w:val="14"/>
                <w:b w:val="1"/>
                <w:bCs w:val="1"/>
                <w:color w:val="auto"/>
                <w:w w:val="88"/>
              </w:rPr>
              <w:t>3131 Las Vegas Boulevard South</w:t>
            </w: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gridSpan w:val="2"/>
          </w:tcPr>
          <w:p>
            <w:pPr>
              <w:ind w:left="400"/>
              <w:spacing w:after="0"/>
              <w:rPr>
                <w:sz w:val="20"/>
                <w:szCs w:val="20"/>
                <w:color w:val="auto"/>
              </w:rPr>
            </w:pPr>
            <w:r>
              <w:rPr>
                <w:rFonts w:ascii="Arial" w:cs="Arial" w:eastAsia="Arial" w:hAnsi="Arial"/>
                <w:sz w:val="14"/>
                <w:szCs w:val="14"/>
                <w:b w:val="1"/>
                <w:bCs w:val="1"/>
                <w:color w:val="auto"/>
              </w:rPr>
              <w:t>Las Vegas, Nevada</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20" w:type="dxa"/>
            <w:vAlign w:val="bottom"/>
            <w:gridSpan w:val="2"/>
          </w:tcPr>
          <w:p>
            <w:pPr>
              <w:jc w:val="right"/>
              <w:ind w:right="1740"/>
              <w:spacing w:after="0"/>
              <w:rPr>
                <w:sz w:val="20"/>
                <w:szCs w:val="20"/>
                <w:color w:val="auto"/>
              </w:rPr>
            </w:pPr>
            <w:r>
              <w:rPr>
                <w:rFonts w:ascii="Arial" w:cs="Arial" w:eastAsia="Arial" w:hAnsi="Arial"/>
                <w:sz w:val="14"/>
                <w:szCs w:val="14"/>
                <w:b w:val="1"/>
                <w:bCs w:val="1"/>
                <w:color w:val="auto"/>
              </w:rPr>
              <w:t>89109</w:t>
            </w:r>
          </w:p>
        </w:tc>
        <w:tc>
          <w:tcPr>
            <w:tcW w:w="1220" w:type="dxa"/>
            <w:vAlign w:val="bottom"/>
          </w:tcPr>
          <w:p>
            <w:pPr>
              <w:spacing w:after="0"/>
              <w:rPr>
                <w:sz w:val="18"/>
                <w:szCs w:val="18"/>
                <w:color w:val="auto"/>
              </w:rPr>
            </w:pPr>
          </w:p>
        </w:tc>
      </w:tr>
      <w:tr>
        <w:trPr>
          <w:trHeight w:val="172"/>
        </w:trPr>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0" w:type="dxa"/>
            <w:vAlign w:val="bottom"/>
            <w:gridSpan w:val="5"/>
          </w:tcPr>
          <w:p>
            <w:pPr>
              <w:jc w:val="center"/>
              <w:ind w:right="3019"/>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2620" w:type="dxa"/>
            <w:vAlign w:val="bottom"/>
            <w:gridSpan w:val="2"/>
          </w:tcPr>
          <w:p>
            <w:pPr>
              <w:jc w:val="center"/>
              <w:ind w:right="1220"/>
              <w:spacing w:after="0"/>
              <w:rPr>
                <w:sz w:val="20"/>
                <w:szCs w:val="20"/>
                <w:color w:val="auto"/>
              </w:rPr>
            </w:pPr>
            <w:r>
              <w:rPr>
                <w:rFonts w:ascii="Arial" w:cs="Arial" w:eastAsia="Arial" w:hAnsi="Arial"/>
                <w:sz w:val="11"/>
                <w:szCs w:val="11"/>
                <w:b w:val="1"/>
                <w:bCs w:val="1"/>
                <w:color w:val="auto"/>
                <w:w w:val="95"/>
              </w:rPr>
              <w:t>(Zip Code)</w:t>
            </w:r>
          </w:p>
        </w:tc>
        <w:tc>
          <w:tcPr>
            <w:tcW w:w="1220" w:type="dxa"/>
            <w:vAlign w:val="bottom"/>
          </w:tcPr>
          <w:p>
            <w:pPr>
              <w:spacing w:after="0"/>
              <w:rPr>
                <w:sz w:val="14"/>
                <w:szCs w:val="14"/>
                <w:color w:val="auto"/>
              </w:rPr>
            </w:pPr>
          </w:p>
        </w:tc>
      </w:tr>
      <w:tr>
        <w:trPr>
          <w:trHeight w:val="575"/>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(702) 770-7555</w:t>
            </w: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7"/>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gridSpan w:val="2"/>
          </w:tcPr>
          <w:p>
            <w:pPr>
              <w:jc w:val="center"/>
              <w:ind w:right="39"/>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20"/>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Not Applicable</w:t>
            </w: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7"/>
        </w:trPr>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gridSpan w:val="2"/>
          </w:tcPr>
          <w:p>
            <w:pPr>
              <w:jc w:val="center"/>
              <w:ind w:right="39"/>
              <w:spacing w:after="0"/>
              <w:rPr>
                <w:sz w:val="20"/>
                <w:szCs w:val="20"/>
                <w:color w:val="auto"/>
              </w:rPr>
            </w:pPr>
            <w:r>
              <w:rPr>
                <w:rFonts w:ascii="Arial" w:cs="Arial" w:eastAsia="Arial" w:hAnsi="Arial"/>
                <w:sz w:val="11"/>
                <w:szCs w:val="11"/>
                <w:b w:val="1"/>
                <w:bCs w:val="1"/>
                <w:color w:val="auto"/>
                <w:w w:val="92"/>
              </w:rPr>
              <w:t>(Former name or former address, if changed since last report)</w:t>
            </w: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93"/>
        </w:trPr>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446"/>
        </w:trPr>
        <w:tc>
          <w:tcPr>
            <w:tcW w:w="3940" w:type="dxa"/>
            <w:vAlign w:val="bottom"/>
            <w:gridSpan w:val="5"/>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5"/>
        </w:trPr>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800" w:type="dxa"/>
            <w:vAlign w:val="bottom"/>
            <w:gridSpan w:val="2"/>
          </w:tcPr>
          <w:p>
            <w:pPr>
              <w:spacing w:after="0"/>
              <w:rPr>
                <w:sz w:val="22"/>
                <w:szCs w:val="22"/>
                <w:color w:val="auto"/>
              </w:rPr>
            </w:pPr>
          </w:p>
        </w:tc>
        <w:tc>
          <w:tcPr>
            <w:tcW w:w="3400" w:type="dxa"/>
            <w:vAlign w:val="bottom"/>
            <w:gridSpan w:val="3"/>
          </w:tcPr>
          <w:p>
            <w:pPr>
              <w:jc w:val="center"/>
              <w:ind w:right="2019"/>
              <w:spacing w:after="0"/>
              <w:rPr>
                <w:sz w:val="20"/>
                <w:szCs w:val="20"/>
                <w:color w:val="auto"/>
              </w:rPr>
            </w:pPr>
            <w:r>
              <w:rPr>
                <w:rFonts w:ascii="Arial" w:cs="Arial" w:eastAsia="Arial" w:hAnsi="Arial"/>
                <w:sz w:val="14"/>
                <w:szCs w:val="14"/>
                <w:b w:val="1"/>
                <w:bCs w:val="1"/>
                <w:color w:val="auto"/>
                <w:w w:val="91"/>
              </w:rPr>
              <w:t>Trading Symbol(s)</w:t>
            </w: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12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4"/>
        </w:trPr>
        <w:tc>
          <w:tcPr>
            <w:tcW w:w="120" w:type="dxa"/>
            <w:vAlign w:val="bottom"/>
          </w:tcPr>
          <w:p>
            <w:pPr>
              <w:spacing w:after="0"/>
              <w:rPr>
                <w:sz w:val="19"/>
                <w:szCs w:val="19"/>
                <w:color w:val="auto"/>
              </w:rPr>
            </w:pPr>
          </w:p>
        </w:tc>
        <w:tc>
          <w:tcPr>
            <w:tcW w:w="3820" w:type="dxa"/>
            <w:vAlign w:val="bottom"/>
            <w:gridSpan w:val="4"/>
          </w:tcPr>
          <w:p>
            <w:pPr>
              <w:jc w:val="center"/>
              <w:ind w:right="860"/>
              <w:spacing w:after="0"/>
              <w:rPr>
                <w:sz w:val="20"/>
                <w:szCs w:val="20"/>
                <w:color w:val="auto"/>
              </w:rPr>
            </w:pPr>
            <w:r>
              <w:rPr>
                <w:rFonts w:ascii="Arial" w:cs="Arial" w:eastAsia="Arial" w:hAnsi="Arial"/>
                <w:sz w:val="14"/>
                <w:szCs w:val="14"/>
                <w:color w:val="auto"/>
                <w:w w:val="91"/>
              </w:rPr>
              <w:t>Common stock, par value $0.01</w:t>
            </w:r>
          </w:p>
        </w:tc>
        <w:tc>
          <w:tcPr>
            <w:tcW w:w="100" w:type="dxa"/>
            <w:vAlign w:val="bottom"/>
          </w:tcPr>
          <w:p>
            <w:pPr>
              <w:spacing w:after="0"/>
              <w:rPr>
                <w:sz w:val="19"/>
                <w:szCs w:val="19"/>
                <w:color w:val="auto"/>
              </w:rPr>
            </w:pPr>
          </w:p>
        </w:tc>
        <w:tc>
          <w:tcPr>
            <w:tcW w:w="3300" w:type="dxa"/>
            <w:vAlign w:val="bottom"/>
            <w:gridSpan w:val="2"/>
          </w:tcPr>
          <w:p>
            <w:pPr>
              <w:jc w:val="center"/>
              <w:ind w:right="2119"/>
              <w:spacing w:after="0"/>
              <w:rPr>
                <w:sz w:val="20"/>
                <w:szCs w:val="20"/>
                <w:color w:val="auto"/>
              </w:rPr>
            </w:pPr>
            <w:r>
              <w:rPr>
                <w:rFonts w:ascii="Arial" w:cs="Arial" w:eastAsia="Arial" w:hAnsi="Arial"/>
                <w:sz w:val="14"/>
                <w:szCs w:val="14"/>
                <w:color w:val="auto"/>
              </w:rPr>
              <w:t>WYNN</w:t>
            </w:r>
          </w:p>
        </w:tc>
        <w:tc>
          <w:tcPr>
            <w:tcW w:w="2620" w:type="dxa"/>
            <w:vAlign w:val="bottom"/>
            <w:gridSpan w:val="2"/>
          </w:tcPr>
          <w:p>
            <w:pPr>
              <w:jc w:val="center"/>
              <w:spacing w:after="0"/>
              <w:rPr>
                <w:sz w:val="20"/>
                <w:szCs w:val="20"/>
                <w:color w:val="auto"/>
              </w:rPr>
            </w:pPr>
            <w:r>
              <w:rPr>
                <w:rFonts w:ascii="Arial" w:cs="Arial" w:eastAsia="Arial" w:hAnsi="Arial"/>
                <w:sz w:val="14"/>
                <w:szCs w:val="14"/>
                <w:color w:val="auto"/>
                <w:w w:val="91"/>
              </w:rPr>
              <w:t>Nasdaq Global Select Market</w:t>
            </w:r>
          </w:p>
        </w:tc>
        <w:tc>
          <w:tcPr>
            <w:tcW w:w="1220" w:type="dxa"/>
            <w:vAlign w:val="bottom"/>
          </w:tcPr>
          <w:p>
            <w:pPr>
              <w:spacing w:after="0"/>
              <w:rPr>
                <w:sz w:val="19"/>
                <w:szCs w:val="19"/>
                <w:color w:val="auto"/>
              </w:rPr>
            </w:pPr>
          </w:p>
        </w:tc>
      </w:tr>
      <w:tr>
        <w:trPr>
          <w:trHeight w:val="182"/>
        </w:trPr>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bl>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0"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 w:lineRule="exact"/>
        <w:rPr>
          <w:sz w:val="24"/>
          <w:szCs w:val="24"/>
          <w:color w:val="auto"/>
        </w:rPr>
      </w:pPr>
    </w:p>
    <w:p>
      <w:pPr>
        <w:spacing w:after="0" w:line="25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 w:lineRule="exact"/>
        <w:rPr>
          <w:sz w:val="24"/>
          <w:szCs w:val="24"/>
          <w:color w:val="auto"/>
        </w:rPr>
      </w:pPr>
    </w:p>
    <w:p>
      <w:pPr>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4"/>
          <w:szCs w:val="14"/>
          <w:b w:val="1"/>
          <w:bCs w:val="1"/>
          <w:color w:val="auto"/>
        </w:rPr>
        <w:t>Item 1.01</w:t>
      </w:r>
      <w:r>
        <w:rPr>
          <w:sz w:val="20"/>
          <w:szCs w:val="20"/>
          <w:color w:val="auto"/>
        </w:rPr>
        <w:tab/>
      </w:r>
      <w:r>
        <w:rPr>
          <w:rFonts w:ascii="Arial" w:cs="Arial" w:eastAsia="Arial" w:hAnsi="Arial"/>
          <w:sz w:val="13"/>
          <w:szCs w:val="13"/>
          <w:b w:val="1"/>
          <w:bCs w:val="1"/>
          <w:color w:val="auto"/>
        </w:rPr>
        <w:t>Entry into a Material Definitive Agreement.</w:t>
      </w:r>
    </w:p>
    <w:p>
      <w:pPr>
        <w:spacing w:after="0" w:line="204"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On August 26, 2020, Wynn Macau, Limited (“WML”), an indirect subsidiary of Wynn Resorts, Limited (the “Registrant”) with its ordinary shares of common stock listed on The Stock Exchange of Hong Kong Limited (the “HKSE”), completed its offering (the “Offering”) of (i) additional $250.0 million aggregate principal amount of 5.500% senior notes due 2026 (the “Additional 2026 Notes”) and (ii) $600.0 million aggregate principal amount of 5.625% senior notes due 2028 (the “2028 Notes”). The Additional 2026 Notes were issued as additional notes under an indenture dated as of June 19, 2020 (the "2026 Indenture") pursuant to which WML previously issued $750,000,000 of 5.500% senior notes due 2026 (the “Existing 2026 Notes”). The Additional 2026 Notes have identical terms, other than the issue date and the issue price, to, rank equally with and form a part of a single class of securities with the Existing 2026 Notes. The 2028 Notes were issued pursuant to an indenture, dated as of August 26, 2020 (the “2028 Indenture”), among, inter alios, WML and Deutsche Bank Trust Company Americas, as trustee.</w:t>
      </w:r>
    </w:p>
    <w:p>
      <w:pPr>
        <w:spacing w:after="0" w:line="13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WML expects to receive net proceeds of approximately $843.5 million in the aggregate from the Offering, including premium, after deducting discounts, commissions and estimated offering expenses payable by WML and excluding the accrued interest from June 19, 2020, to but not including the issue date of the Additional 2026 Notes, and to use the net proceeds to facilitate the repayment of a portion of the amounts outstanding under the term loan of the Wynn Macau Credit Facilities. The following is a brief description of certain terms and conditions of the 2026 Indenture and the Additional 2026 Notes and the 2028 Indenture and the 2028 Notes.</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Additional 2026 Notes</w:t>
      </w:r>
    </w:p>
    <w:p>
      <w:pPr>
        <w:spacing w:after="0" w:line="179"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At any time prior to June 15, 2022, WML may use the net cash proceeds from certain equity offerings to redeem up to 35% of the aggregate principal amount of the Additional 2026 Notes at a redemption price equal to 105.500% of the aggregate principal amount of the Additional 2026 Notes, plus accrued and unpaid interest, if any. At any time prior to June 15, 2022, WML may redeem the Additional 2026 Notes in whole or in part at a redemption price equal to the greater of (a) 100% of the aggregate principal amount of the Additional 2026 Notes to be redeemed, or (b) a make-whole amount as determined by an independent investment banker in accordance with the terms of the 2026 Indenture, in either case, plus accrued and unpaid interest.</w:t>
      </w:r>
    </w:p>
    <w:p>
      <w:pPr>
        <w:spacing w:after="0" w:line="131"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In addition, on or after June 15, 2022, WML may redeem the Additional 2026 Notes in whole or in part at a premium decreasing annually from 104.125% of the applicable principal amount to 100.000%, plus accrued and unpaid interest. If WML undergoes a Change of Control (as defined in the 2026 Indenture), it must offer to repurchase the Additional 2026 Notes at a price equal to 101% of the aggregate principal amount thereof, plus accrued and unpaid interest. In addition, WML may redeem the Additional 2026 Notes, in whole but not in part, at a redemption price equal to 100% of the principal amount, plus accrued and unpaid interest, in response to any change in or amendment to certain tax laws or tax positions. Further, if a holder or beneficial owner of the Additional 2026 Notes fails to meet certain requirements imposed by any Gaming Authority (as defined in the 2026 Indenture), WML may require the holder or beneficial owner to dispose of or redeem its Additional 2026 Notes.</w:t>
      </w:r>
    </w:p>
    <w:p>
      <w:pPr>
        <w:spacing w:after="0" w:line="15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the Additional 2026 Notes are issued, for a period of ten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Additional 2026 Notes will have the right to require WML to repurchase all or any part of such holder’s Additional 2026 Notes at a purchase price in cash equal to 100% of the principal amount thereof, plus accrued and unpaid interest.</w:t>
      </w:r>
    </w:p>
    <w:p>
      <w:pPr>
        <w:spacing w:after="0" w:line="14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Additional 2026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Additional 2026 Notes are not registered under the Securities Act of 1933, as amended (the “Securities Act”), and the Additional 2026 Notes are subject to restrictions on transferability and resale.</w:t>
      </w:r>
    </w:p>
    <w:p>
      <w:pPr>
        <w:spacing w:after="0" w:line="13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2026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2026 Indenture contain customary events of default, including, but not limited to: default for 30 days in the payment when due of interest on the Additional 2026 Notes; default in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772" w:right="319" w:bottom="1440" w:gutter="0" w:footer="0" w:header="0"/>
        </w:sectPr>
      </w:pPr>
    </w:p>
    <w:bookmarkStart w:id="2" w:name="page3"/>
    <w:bookmarkEnd w:id="2"/>
    <w:p>
      <w:pPr>
        <w:jc w:val="both"/>
        <w:spacing w:after="0" w:line="262" w:lineRule="auto"/>
        <w:rPr>
          <w:sz w:val="20"/>
          <w:szCs w:val="20"/>
          <w:color w:val="auto"/>
        </w:rPr>
      </w:pPr>
      <w:r>
        <w:rPr>
          <w:rFonts w:ascii="Arial" w:cs="Arial" w:eastAsia="Arial" w:hAnsi="Arial"/>
          <w:sz w:val="14"/>
          <w:szCs w:val="14"/>
          <w:color w:val="auto"/>
        </w:rPr>
        <w:t>when due of the principal of, or premium, if any, on the Additional 2026 Notes; failure to comply with any payment obligations relating to the repurchase by WML of the Additional 2026 Notes upon a change of control; failure to comply with certain covenants in the 2026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Additional 2026 Notes then outstanding will become due and payable immediately without further action or notice.</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2028 Notes</w:t>
      </w:r>
    </w:p>
    <w:p>
      <w:pPr>
        <w:spacing w:after="0" w:line="17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At any time prior to August 26, 2023, WML may use the net cash proceeds from certain equity offerings to redeem up to 35% of the aggregate principal amount of the 2028 Notes at a redemption price equal to 105.625% of the aggregate principal amount of the 2028 Notes, plus accrued and unpaid interest, if any. At any time prior to August 26, 2023, WML may redeem the 2028 Notes in whole or in part at a redemption price equal to the greater of (a) 100% of the aggregate principal amount of the 2028 Notes to be redeemed, or (b) a make-whole amount as determined by an independent investment banker in accordance with the terms of the 2028 Indenture, in either case, plus accrued and unpaid interest.</w:t>
      </w:r>
    </w:p>
    <w:p>
      <w:pPr>
        <w:spacing w:after="0" w:line="146"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In addition, on or after August 26, 2023, WML may redeem the 2028 Notes in whole or in part at a premium decreasing annually from 102.813% of the applicable principal amount to 100.000%, plus accrued and unpaid interest. If WML undergoes a Change of Control (as defined in the 2028 Indenture), it must offer to repurchase the 2028 Notes at a price equal to 101% of the aggregate principal amount thereof, plus accrued and unpaid interest. In addition, WML may redeem the 2028 Notes, in whole but not in part, at a redemption price equal to 100% of the principal amount, plus accrued and unpaid interest, in response to any change in or amendment to certain tax laws or tax positions. Further, if a holder or beneficial owner of the 2028 Notes fails to meet certain requirements imposed by any Gaming Authority (as defined in the 2028 Indenture), WML may require the holder or beneficial owner to dispose of or redeem its 2028 Notes.</w:t>
      </w:r>
    </w:p>
    <w:p>
      <w:pPr>
        <w:spacing w:after="0" w:line="13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the 2028 Notes are issued, for a period of ten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2028 Notes will have the right to require WML to repurchase all or any part of such holder’s 2028 Notes at a purchase price in cash equal to 100% of the principal amount thereof, plus accrued and unpaid interest.</w:t>
      </w:r>
    </w:p>
    <w:p>
      <w:pPr>
        <w:spacing w:after="0" w:line="14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2028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2028 Notes are not registered under the Securities Act of 1933, as amended (the “Securities Act”), and the 2028 Notes are subject to restrictions on transferability and resale.</w:t>
      </w:r>
    </w:p>
    <w:p>
      <w:pPr>
        <w:spacing w:after="0" w:line="14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The 2028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2028 Indenture contain customary events of default, including, but not limited to: default for 30 days in the payment when due of interest on the 2028 Notes; default in the payment when due of the principal of, or premium, if any, on the 2028 Notes; failure to comply with any payment obligations relating to the repurchase by WML of the 2028 Notes upon a change of control; failure to comply with certain covenants in the 2028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2028 Notes then outstanding will become due and payable immediately without further action or notice.</w:t>
      </w:r>
    </w:p>
    <w:p>
      <w:pPr>
        <w:spacing w:after="0" w:line="7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4"/>
          <w:szCs w:val="14"/>
          <w:b w:val="1"/>
          <w:bCs w:val="1"/>
          <w:color w:val="auto"/>
        </w:rPr>
        <w:t>Item 2.03</w:t>
      </w:r>
      <w:r>
        <w:rPr>
          <w:sz w:val="20"/>
          <w:szCs w:val="20"/>
          <w:color w:val="auto"/>
        </w:rPr>
        <w:tab/>
      </w:r>
      <w:r>
        <w:rPr>
          <w:rFonts w:ascii="Arial" w:cs="Arial" w:eastAsia="Arial" w:hAnsi="Arial"/>
          <w:sz w:val="13"/>
          <w:szCs w:val="13"/>
          <w:b w:val="1"/>
          <w:bCs w:val="1"/>
          <w:color w:val="auto"/>
        </w:rPr>
        <w:t>Creation of a Direct Financial Obligation.</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information set forth in Item 1.01 is incorporated herein by reference.</w:t>
      </w:r>
    </w:p>
    <w:p>
      <w:pPr>
        <w:spacing w:after="0" w:line="111"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204"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On August 26, 2020, WML filed with the HKSE (1) a notice indicating that WML submitted an application to the HKSE for the listing of and permission to deal in the Additional 2026 Notes and the 2028 Notes (the “Listing Notice”) and (2)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3" w:name="page4"/>
    <w:bookmarkEnd w:id="3"/>
    <w:p>
      <w:pPr>
        <w:jc w:val="both"/>
        <w:spacing w:after="0" w:line="262" w:lineRule="auto"/>
        <w:rPr>
          <w:sz w:val="20"/>
          <w:szCs w:val="20"/>
          <w:color w:val="auto"/>
        </w:rPr>
      </w:pPr>
      <w:r>
        <w:rPr>
          <w:rFonts w:ascii="Arial" w:cs="Arial" w:eastAsia="Arial" w:hAnsi="Arial"/>
          <w:sz w:val="14"/>
          <w:szCs w:val="14"/>
          <w:color w:val="auto"/>
        </w:rPr>
        <w:t>announcement regarding the closing of the issuance of the Additional 2026 Notes and the 2028 Notes (the “Closing Announcement”). The Registrant owns approximately 72% of WML’s ordinary shares of common stock. The Listing Notice and Closing Announcement are furnished herewith as Exhibits 99.1 and 99.2, respectively. The information contained in this Item 7.01 and the exhibits attached to this Current Report on Form 8-K shall not be deemed “filed” for purposes of Section 18 of the Securities Exchange Act of 1934, as amended, nor shall it be deemed incorporated by reference in any filing under the Securities Act, except as shall be expressly set forth by specific reference in such filing.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Item 9.01</w:t>
            </w:r>
          </w:p>
        </w:tc>
        <w:tc>
          <w:tcPr>
            <w:tcW w:w="20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Statements and Exhibits.</w:t>
            </w:r>
          </w:p>
        </w:tc>
      </w:tr>
      <w:tr>
        <w:trPr>
          <w:trHeight w:val="350"/>
        </w:trPr>
        <w:tc>
          <w:tcPr>
            <w:tcW w:w="2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color w:val="auto"/>
              </w:rPr>
              <w:t>(d) Exhibits.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w w:val="93"/>
              </w:rPr>
              <w:t>Exhibit No.</w:t>
            </w:r>
          </w:p>
        </w:tc>
        <w:tc>
          <w:tcPr>
            <w:tcW w:w="580" w:type="dxa"/>
            <w:vAlign w:val="bottom"/>
          </w:tcPr>
          <w:p>
            <w:pPr>
              <w:spacing w:after="0"/>
              <w:rPr>
                <w:sz w:val="19"/>
                <w:szCs w:val="19"/>
                <w:color w:val="auto"/>
              </w:rPr>
            </w:pPr>
          </w:p>
        </w:tc>
        <w:tc>
          <w:tcPr>
            <w:tcW w:w="10120" w:type="dxa"/>
            <w:vAlign w:val="bottom"/>
            <w:gridSpan w:val="3"/>
          </w:tcPr>
          <w:p>
            <w:pPr>
              <w:ind w:left="200"/>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66"/>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580" w:type="dxa"/>
            <w:vAlign w:val="bottom"/>
          </w:tcPr>
          <w:p>
            <w:pPr>
              <w:spacing w:after="0"/>
              <w:rPr>
                <w:sz w:val="23"/>
                <w:szCs w:val="23"/>
                <w:color w:val="auto"/>
              </w:rPr>
            </w:pPr>
          </w:p>
        </w:tc>
        <w:tc>
          <w:tcPr>
            <w:tcW w:w="10120" w:type="dxa"/>
            <w:vAlign w:val="bottom"/>
            <w:gridSpan w:val="3"/>
          </w:tcPr>
          <w:p>
            <w:pPr>
              <w:ind w:left="200"/>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Notice of Listing on The Stock Exchange of Hong Kong Limited, dated August 26, 2020</w:t>
              </w:r>
            </w:hyperlink>
          </w:p>
        </w:tc>
      </w:tr>
      <w:tr>
        <w:trPr>
          <w:trHeight w:val="212"/>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99.2</w:t>
            </w:r>
          </w:p>
        </w:tc>
        <w:tc>
          <w:tcPr>
            <w:tcW w:w="580" w:type="dxa"/>
            <w:vAlign w:val="bottom"/>
          </w:tcPr>
          <w:p>
            <w:pPr>
              <w:spacing w:after="0"/>
              <w:rPr>
                <w:sz w:val="18"/>
                <w:szCs w:val="18"/>
                <w:color w:val="auto"/>
              </w:rPr>
            </w:pPr>
          </w:p>
        </w:tc>
        <w:tc>
          <w:tcPr>
            <w:tcW w:w="10120" w:type="dxa"/>
            <w:vAlign w:val="bottom"/>
            <w:gridSpan w:val="3"/>
          </w:tcPr>
          <w:p>
            <w:pPr>
              <w:ind w:left="200"/>
              <w:spacing w:after="0"/>
              <w:rPr>
                <w:rFonts w:ascii="Arial" w:cs="Arial" w:eastAsia="Arial" w:hAnsi="Arial"/>
                <w:sz w:val="14"/>
                <w:szCs w:val="14"/>
                <w:u w:val="single" w:color="auto"/>
                <w:color w:val="0000FF"/>
              </w:rPr>
            </w:pPr>
            <w:hyperlink w:anchor="page9">
              <w:r>
                <w:rPr>
                  <w:rFonts w:ascii="Arial" w:cs="Arial" w:eastAsia="Arial" w:hAnsi="Arial"/>
                  <w:sz w:val="14"/>
                  <w:szCs w:val="14"/>
                  <w:u w:val="single" w:color="auto"/>
                  <w:color w:val="0000FF"/>
                </w:rPr>
                <w:t>Closing Announcement of Wynn Macau, Limited, dated August 26, 2020</w:t>
              </w:r>
            </w:hyperlink>
          </w:p>
        </w:tc>
      </w:tr>
      <w:tr>
        <w:trPr>
          <w:trHeight w:val="95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4" w:name="page5"/>
    <w:bookmarkEnd w:id="4"/>
    <w:p>
      <w:pPr>
        <w:jc w:val="center"/>
        <w:ind w:right="-61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WYNN RESORTS, LIMITED</w:t>
      </w:r>
    </w:p>
    <w:p>
      <w:pPr>
        <w:sectPr>
          <w:pgSz w:w="11900" w:h="16838" w:orient="portrait"/>
          <w:cols w:equalWidth="0" w:num="1">
            <w:col w:w="10640"/>
          </w:cols>
          <w:pgMar w:left="320" w:top="730" w:right="93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Dated: August 26, 2020</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33020</wp:posOffset>
            </wp:positionV>
            <wp:extent cx="26339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760" w:space="720"/>
            <w:col w:w="4160"/>
          </w:cols>
          <w:pgMar w:left="320" w:top="730" w:right="939" w:bottom="1440" w:gutter="0" w:footer="0" w:header="0"/>
          <w:type w:val="continuous"/>
        </w:sectPr>
      </w:pPr>
    </w:p>
    <w:p>
      <w:pPr>
        <w:ind w:left="6560"/>
        <w:spacing w:after="0"/>
        <w:rPr>
          <w:sz w:val="20"/>
          <w:szCs w:val="20"/>
          <w:color w:val="auto"/>
        </w:rPr>
      </w:pPr>
      <w:r>
        <w:rPr>
          <w:rFonts w:ascii="Arial" w:cs="Arial" w:eastAsia="Arial" w:hAnsi="Arial"/>
          <w:sz w:val="14"/>
          <w:szCs w:val="14"/>
          <w:color w:val="auto"/>
        </w:rPr>
        <w:t>Craig S. Billings</w:t>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2"/>
          <w:szCs w:val="12"/>
          <w:color w:val="auto"/>
        </w:rPr>
        <w:t>President, Chief Financial Officer and Treasurer</w:t>
      </w:r>
    </w:p>
    <w:p>
      <w:pPr>
        <w:spacing w:after="0" w:line="74"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0640"/>
          </w:cols>
          <w:pgMar w:left="320" w:top="730" w:right="939" w:bottom="1440" w:gutter="0" w:footer="0" w:header="0"/>
          <w:type w:val="continuous"/>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2020-08-26T15:54:05Z</dcterms:created>
  <dcterms:modified xsi:type="dcterms:W3CDTF">2020-08-26T15:54:05Z</dcterms:modified>
</cp:coreProperties>
</file>