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February 2, 2004)</w:t>
      </w:r>
    </w:p>
    <w:p>
      <w:pPr>
        <w:spacing w:after="0" w:line="20" w:lineRule="exact"/>
        <w:rPr>
          <w:sz w:val="24"/>
          <w:szCs w:val="24"/>
          <w:color w:val="auto"/>
        </w:rPr>
      </w:pPr>
      <w:r>
        <w:rPr>
          <w:sz w:val="24"/>
          <w:szCs w:val="24"/>
          <w:color w:val="auto"/>
        </w:rPr>
        <w:br w:type="column"/>
      </w:r>
    </w:p>
    <w:p>
      <w:pPr>
        <w:ind w:left="900"/>
        <w:spacing w:after="0"/>
        <w:rPr>
          <w:sz w:val="20"/>
          <w:szCs w:val="20"/>
          <w:color w:val="auto"/>
        </w:rPr>
      </w:pPr>
      <w:r>
        <w:rPr>
          <w:rFonts w:ascii="Arial" w:cs="Arial" w:eastAsia="Arial" w:hAnsi="Arial"/>
          <w:sz w:val="16"/>
          <w:szCs w:val="16"/>
          <w:b w:val="1"/>
          <w:bCs w:val="1"/>
          <w:color w:val="auto"/>
        </w:rPr>
        <w:t>Filed Pursuant to Rule 424(b)(3)</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Nos. 333-111064, 333-111064-01</w:t>
      </w:r>
    </w:p>
    <w:p>
      <w:pPr>
        <w:spacing w:after="0" w:line="179" w:lineRule="exact"/>
        <w:rPr>
          <w:sz w:val="24"/>
          <w:szCs w:val="24"/>
          <w:color w:val="auto"/>
        </w:rPr>
      </w:pPr>
    </w:p>
    <w:p>
      <w:pPr>
        <w:sectPr>
          <w:pgSz w:w="11900" w:h="16838" w:orient="portrait"/>
          <w:cols w:equalWidth="0" w:num="2">
            <w:col w:w="7380" w:space="720"/>
            <w:col w:w="3320"/>
          </w:cols>
          <w:pgMar w:left="240" w:top="233" w:right="239" w:bottom="1440" w:gutter="0" w:footer="0" w:header="0"/>
        </w:sect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 Convertible Subordinated Debentures due 2015 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Shares of 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170180</wp:posOffset>
            </wp:positionV>
            <wp:extent cx="1397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This prospectus supplement supplements the prospectus dated February 2, 2004, relating to the resale by certain of our securityholders of up to</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$250,000,000 aggregate principal amount at maturity of our 6% Convertible Subordinated Debentures due 2015 and the shares of our common stock issuable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upon conversion of the debentures. You should read this prospectus supplement in conjunction with the prospectus. This prospectus supplement is qualified by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reference to the prospectus, except to the extent that the information in this prospectus supplement supersedes the information contained in the prospectus.</w:t>
      </w:r>
    </w:p>
    <w:p>
      <w:pPr>
        <w:spacing w:after="0" w:line="174"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appearing under the heading “Selling Securityholders” in the prospectus is hereby amended by the addition or substitution, as applicable, of the following:</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Number of</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1"/>
              </w:rPr>
              <w:t>Principal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1"/>
              </w:rPr>
              <w:t>Shares of</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9"/>
              </w:rPr>
              <w:t>Amount at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Common</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Maturity of</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Amount of</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5"/>
              </w:rPr>
              <w:t>Debentures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May Be</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Stock Out-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60" w:type="dxa"/>
            <w:vAlign w:val="bottom"/>
            <w:gridSpan w:val="3"/>
          </w:tcPr>
          <w:p>
            <w:pPr>
              <w:ind w:left="440"/>
              <w:spacing w:after="0"/>
              <w:rPr>
                <w:sz w:val="20"/>
                <w:szCs w:val="20"/>
                <w:color w:val="auto"/>
              </w:rPr>
            </w:pPr>
            <w:r>
              <w:rPr>
                <w:rFonts w:ascii="Arial" w:cs="Arial" w:eastAsia="Arial" w:hAnsi="Arial"/>
                <w:sz w:val="14"/>
                <w:szCs w:val="14"/>
                <w:b w:val="1"/>
                <w:bCs w:val="1"/>
                <w:color w:val="auto"/>
              </w:rPr>
              <w:t>Name of Selling Security Holder</w:t>
            </w:r>
          </w:p>
        </w:tc>
        <w:tc>
          <w:tcPr>
            <w:tcW w:w="120" w:type="dxa"/>
            <w:vAlign w:val="bottom"/>
          </w:tcPr>
          <w:p>
            <w:pPr>
              <w:spacing w:after="0"/>
              <w:rPr>
                <w:sz w:val="15"/>
                <w:szCs w:val="15"/>
                <w:color w:val="auto"/>
              </w:rPr>
            </w:pPr>
          </w:p>
        </w:tc>
        <w:tc>
          <w:tcPr>
            <w:tcW w:w="900" w:type="dxa"/>
            <w:vAlign w:val="bottom"/>
          </w:tcPr>
          <w:p>
            <w:pPr>
              <w:jc w:val="center"/>
              <w:ind w:right="45"/>
              <w:spacing w:after="0"/>
              <w:rPr>
                <w:sz w:val="20"/>
                <w:szCs w:val="20"/>
                <w:color w:val="auto"/>
              </w:rPr>
            </w:pPr>
            <w:r>
              <w:rPr>
                <w:rFonts w:ascii="Arial" w:cs="Arial" w:eastAsia="Arial" w:hAnsi="Arial"/>
                <w:sz w:val="14"/>
                <w:szCs w:val="14"/>
                <w:b w:val="1"/>
                <w:bCs w:val="1"/>
                <w:color w:val="auto"/>
                <w:w w:val="89"/>
              </w:rPr>
              <w:t>Owned</w:t>
            </w:r>
          </w:p>
        </w:tc>
        <w:tc>
          <w:tcPr>
            <w:tcW w:w="360" w:type="dxa"/>
            <w:vAlign w:val="bottom"/>
          </w:tcPr>
          <w:p>
            <w:pPr>
              <w:spacing w:after="0"/>
              <w:rPr>
                <w:sz w:val="15"/>
                <w:szCs w:val="15"/>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Offered Hereby</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Owned(1)(2)</w:t>
            </w: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Sold(1)</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standing(3)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Sunrise Partners Limited Partnership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25,000,000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1,086,955</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1,086,955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4"/>
          </w:tcPr>
          <w:p>
            <w:pPr>
              <w:spacing w:after="0"/>
              <w:rPr>
                <w:sz w:val="20"/>
                <w:szCs w:val="20"/>
                <w:color w:val="auto"/>
              </w:rPr>
            </w:pPr>
            <w:r>
              <w:rPr>
                <w:rFonts w:ascii="Arial" w:cs="Arial" w:eastAsia="Arial" w:hAnsi="Arial"/>
                <w:sz w:val="18"/>
                <w:szCs w:val="18"/>
                <w:color w:val="auto"/>
              </w:rPr>
              <w:t>All other holders of debentures or future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4"/>
          </w:tcPr>
          <w:p>
            <w:pPr>
              <w:ind w:left="200"/>
              <w:spacing w:after="0"/>
              <w:rPr>
                <w:sz w:val="20"/>
                <w:szCs w:val="20"/>
                <w:color w:val="auto"/>
              </w:rPr>
            </w:pPr>
            <w:r>
              <w:rPr>
                <w:rFonts w:ascii="Arial" w:cs="Arial" w:eastAsia="Arial" w:hAnsi="Arial"/>
                <w:sz w:val="18"/>
                <w:szCs w:val="18"/>
                <w:color w:val="auto"/>
                <w:w w:val="95"/>
              </w:rPr>
              <w:t>transferees, pledgees, donees, assignees, or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4"/>
          </w:tcPr>
          <w:p>
            <w:pPr>
              <w:ind w:left="200"/>
              <w:spacing w:after="0"/>
              <w:rPr>
                <w:sz w:val="20"/>
                <w:szCs w:val="20"/>
                <w:color w:val="auto"/>
              </w:rPr>
            </w:pPr>
            <w:r>
              <w:rPr>
                <w:rFonts w:ascii="Arial" w:cs="Arial" w:eastAsia="Arial" w:hAnsi="Arial"/>
                <w:sz w:val="18"/>
                <w:szCs w:val="18"/>
                <w:color w:val="auto"/>
              </w:rPr>
              <w:t>successors of any such holders(2)(4)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24,155,000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24,155,000</w:t>
            </w: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1,050,215</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1,050,215</w:t>
            </w: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250,000,000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23,697,986</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10,869,550(5)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ind w:left="460" w:right="180" w:hanging="452"/>
        <w:spacing w:after="0" w:line="252"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conversion of all of the holder’s debentures at a conversion rate of 43.4782 shares of common stock per $1,000 principal amount at maturity of the debentures. This conversion rate is subject to adjustment, however, as described under “Description of the Debentures—Conversion Rights” in the accompanying prospectus. As a result, the number of shares of common stock issuable upon conversion of the debentures may increase or decrease in the future.</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that any other holders of the debentures or any future pledgees, donees, assignees, transferees or successors of or from any other such holders of the debentures, do not beneficially own any shares of common stock other than the common stock issuable upon conversion of the debentures at the initial conversion rate.</w:t>
      </w:r>
    </w:p>
    <w:p>
      <w:pPr>
        <w:spacing w:after="0" w:line="1" w:lineRule="exact"/>
        <w:rPr>
          <w:rFonts w:ascii="Arial" w:cs="Arial" w:eastAsia="Arial" w:hAnsi="Arial"/>
          <w:sz w:val="18"/>
          <w:szCs w:val="18"/>
          <w:color w:val="auto"/>
        </w:rPr>
      </w:pPr>
    </w:p>
    <w:p>
      <w:pPr>
        <w:jc w:val="both"/>
        <w:ind w:left="460" w:right="1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based on Rule 13d-3(d)(1)(i) of the Exchange Act, using 82,351,957 common shares outstanding as of November 12, 2003. In calculating this amount for each holder, we treated as outstanding the number of shares of common stock issuable upon conversion of all that holder’s debentures, but we did not assume conversion of any other holder’s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Information about other selling securityholders will be set forth in prospectus supplements or amendments to the registration statement, if required.</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Represents the number of shares of common stock into which $250,000,000 of debentures would be convertible at the conversion rate described in footnote</w:t>
      </w:r>
    </w:p>
    <w:p>
      <w:pPr>
        <w:spacing w:after="0" w:line="4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(1) above.</w:t>
      </w:r>
    </w:p>
    <w:p>
      <w:pPr>
        <w:spacing w:after="0" w:line="9" w:lineRule="exact"/>
        <w:rPr>
          <w:rFonts w:ascii="Arial" w:cs="Arial" w:eastAsia="Arial" w:hAnsi="Arial"/>
          <w:sz w:val="15"/>
          <w:szCs w:val="15"/>
          <w:color w:val="auto"/>
        </w:rPr>
      </w:pPr>
    </w:p>
    <w:p>
      <w:pPr>
        <w:ind w:left="460" w:right="660" w:hanging="452"/>
        <w:spacing w:after="0" w:line="361"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Represents the amount that the selling securityholders may sell under this prospectus divided by the sum of the number of shares of common stock outstanding as of November 12, 2003 plus the 10,869,550 shares of common stock into which the $250,000,000 debentures are convertible.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109220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Investing in the debentures and our common stock issuable upon conversion of the debentures involves risks. See “Risk Factors” in the accompanying prospectus, beginning on page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145415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25"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supplement or the investment merits of the debentures offered hereby or the shares of our common stock issuable upon conversion of the debentures. Any representation to the contrary is unlawful.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154305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1, 2004.</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2019-12-12T03:11:16Z</dcterms:created>
  <dcterms:modified xsi:type="dcterms:W3CDTF">2019-12-12T03:11:16Z</dcterms:modified>
</cp:coreProperties>
</file>