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Indenture for 5.50% Senior Notes due 2025</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February 18, 2015, Wynn Las Vegas, LLC (the “Company”) and Wynn Las Vegas Capital Corp. (“Capital Corp.” and, together with the Company, the “Issuers”) issued $1.8 billion aggregate principal amount of 5.50% Senior Notes due 2025 (the “2025 Notes”) pursuant to an Indenture, dated as of February 18, 2015 (the “2025 Indenture”), among the Issuers, the Guarantors (as defined below) and U.S. Bank National Association, as trustee (the “Trustee”).</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5.50%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are also subject to mandatory redemption requirements imposed by gaming laws and regulations of gaming authorities in Nevada.</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2025 Notes are the Issuers’ senior unsecured obligations and rank pari passu in right of payment with the Issuers’ outstanding 7 3/4% First Mortgage Notes due 2020 (the “7 3/4% 2020 Notes”), 7 7/8% First Mortgage Notes due 2020 (“7 7/8% 2020 Notes”), 5.375% First Mortgage Notes due 2022 (the “2022 Notes”) and 4.25% Senior Notes due 2023 (the “2023 Notes” and, together with the 7 3/4% 2020 Notes, the 7 7/8% 2020 Notes and the 2022 Notes, the “Existing Notes”). The 2025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2025 Notes will be released.</w:t>
      </w:r>
    </w:p>
    <w:p>
      <w:pPr>
        <w:spacing w:after="0" w:line="16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2025 Notes are jointly and severally guaranteed by all of the Issuers’ subsidiaries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7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any Guarantor, all 2025 Notes then outstanding will become due and payable immediately without further action or notice.</w:t>
      </w:r>
    </w:p>
    <w:p>
      <w:pPr>
        <w:spacing w:after="0" w:line="17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foregoing description is not complete and is qualified in its entirety by the 2025 Indenture, which is filed herewith as Exhibit 4.1 and incorporated herein by this reference.</w:t>
      </w:r>
    </w:p>
    <w:p>
      <w:pPr>
        <w:spacing w:after="0" w:line="32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2"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On February 18, 2015, Wynn Resorts, Limited announced the initial settlement of the previously announced cash tender offer (the “Tender Offer”) by the Company for any and all of the 7 3/4% 2020 Notes and 7 7/8% 2020 Notes. The Tender Offer expired at 5:00 P.M., New York City time, on February 17, 2015 (the “Expiration Time”). At the Expiration Time, valid tenders had been received with respect to approximately $1,146.501 million of the $1,226.6 million aggregate principal amount of the 7 3/4% 2020 Notes outstanding and approximately $305.866 million of the $377.01 million aggregate principal</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amount of 7 7/8% 2020 Notes outstanding (which excludes 7 3/4% Notes and 7 7/8% Notes subject to the guaranteed delivery procedures, respectively).</w:t>
      </w:r>
    </w:p>
    <w:p>
      <w:pPr>
        <w:spacing w:after="0" w:line="24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has accepted for payment all 7 3/4% 2020 Notes and all 7 7/8% 2020 Notes validly tendered prior to the Expiration Date. On February 18, 2015, such tendering holders received the tender offer consideration in the amount of $1,073.82 for each $1,000 principal amount of 7 3/4% 2020 Notes tendered and tender offer consideration in the amount of $1,054.21 for each $1,000 principal amount of 7 7/8% 2020 Notes tendered, plus accrued and unpaid interest from the last interest payment date to, but excluding, February 18, 2015 (the "settlement date"). With respect to the 7 3/4% 2020 Notes and 7 7/8% 2020 Notes accepted for purchase that were tendered and are subsequently delivered in accordance with the guaranteed delivery procedures, such tendering holders will receive payment of the tender offer consideration for such accepted 7 3/4% 2020 Notes and/or 7 7/8% 2020 Notes (to the extent that such 7 3/4% 2020 Notes and/or 7 7/8% 2020 Notes were not delivered prior to the Expiration Time) on February 20, 2015, plus accrued and unpaid interest from the last interest payment date to, but excluding, the settlement date.</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18, 2015, the Issuers also completed their previously announced offering of $1.8 billion aggregate principal amount of 2025 Notes. The Company used a portion of the net proceeds of the 2025 Notes offering to purchase the 7 3/4% 2020 Notes and 7 7/8% 2020 Notes tendered and accepted for purchase in the Tender Offer. The Company also intends to satisfy and discharge the 7 3/4% 2020 Indenture governing the 7 3/4% Notes and the 7 7/8% 2020 Notes Indenture governing the 7 7/8% 2020 Notes and to use the remaining net proceeds from the 2025 Notes offering to redeem the 7 3/4% 2020 Notes and the 7 7/8% 2020 Notes not tendered and for general corporate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copy of the press release is attached hereto as Exhibit 99.1 to this Current Report on Form 8-K and is hereby incorporated by reference.</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w w:val="88"/>
              </w:rPr>
              <w:t>Indenture, dated February 18, 2015, among the Issuers, the Guarantors named therein and the Trustee.</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3"/>
                <w:szCs w:val="23"/>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Press release, dated February 18, 2015, of Wynn Resorts, Limited.</w:t>
            </w:r>
          </w:p>
        </w:tc>
      </w:tr>
    </w:tbl>
    <w:p>
      <w:pPr>
        <w:sectPr>
          <w:pgSz w:w="11900" w:h="16838" w:orient="portrait"/>
          <w:cols w:equalWidth="0" w:num="1">
            <w:col w:w="11380"/>
          </w:cols>
          <w:pgMar w:left="240" w:top="584" w:right="27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February 18,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240" w:type="dxa"/>
            <w:vAlign w:val="bottom"/>
          </w:tcPr>
          <w:p>
            <w:pPr>
              <w:spacing w:after="0"/>
              <w:rPr>
                <w:sz w:val="20"/>
                <w:szCs w:val="20"/>
                <w:color w:val="auto"/>
              </w:rPr>
            </w:pPr>
            <w:r>
              <w:rPr>
                <w:rFonts w:ascii="Arial" w:cs="Arial" w:eastAsia="Arial" w:hAnsi="Arial"/>
                <w:sz w:val="18"/>
                <w:szCs w:val="18"/>
                <w:color w:val="auto"/>
              </w:rPr>
              <w:t>Dated: February 18, 2015</w:t>
            </w: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2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240" w:type="dxa"/>
            <w:vAlign w:val="bottom"/>
          </w:tcPr>
          <w:p>
            <w:pPr>
              <w:spacing w:after="0"/>
              <w:rPr>
                <w:sz w:val="24"/>
                <w:szCs w:val="24"/>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2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240" w:type="dxa"/>
            <w:vAlign w:val="bottom"/>
          </w:tcPr>
          <w:p>
            <w:pPr>
              <w:spacing w:after="0"/>
              <w:rPr>
                <w:sz w:val="24"/>
                <w:szCs w:val="24"/>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Stephen Cootey</w:t>
            </w:r>
          </w:p>
        </w:tc>
      </w:tr>
      <w:tr>
        <w:trPr>
          <w:trHeight w:val="27"/>
        </w:trPr>
        <w:tc>
          <w:tcPr>
            <w:tcW w:w="4240" w:type="dxa"/>
            <w:vAlign w:val="bottom"/>
          </w:tcPr>
          <w:p>
            <w:pPr>
              <w:spacing w:after="0"/>
              <w:rPr>
                <w:sz w:val="2"/>
                <w:szCs w:val="2"/>
                <w:color w:val="auto"/>
              </w:rPr>
            </w:pPr>
          </w:p>
        </w:tc>
        <w:tc>
          <w:tcPr>
            <w:tcW w:w="7140" w:type="dxa"/>
            <w:vAlign w:val="bottom"/>
            <w:gridSpan w:val="2"/>
          </w:tcPr>
          <w:p>
            <w:pPr>
              <w:spacing w:after="0"/>
              <w:rPr>
                <w:sz w:val="2"/>
                <w:szCs w:val="2"/>
                <w:color w:val="auto"/>
              </w:rPr>
            </w:pPr>
          </w:p>
        </w:tc>
      </w:tr>
      <w:tr>
        <w:trPr>
          <w:trHeight w:val="224"/>
        </w:trPr>
        <w:tc>
          <w:tcPr>
            <w:tcW w:w="4240" w:type="dxa"/>
            <w:vAlign w:val="bottom"/>
          </w:tcPr>
          <w:p>
            <w:pPr>
              <w:spacing w:after="0"/>
              <w:rPr>
                <w:sz w:val="19"/>
                <w:szCs w:val="19"/>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w w:val="77"/>
              </w:rPr>
              <w:t>Stephen</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Cootey</w:t>
            </w:r>
          </w:p>
        </w:tc>
      </w:tr>
      <w:tr>
        <w:trPr>
          <w:trHeight w:val="269"/>
        </w:trPr>
        <w:tc>
          <w:tcPr>
            <w:tcW w:w="4240" w:type="dxa"/>
            <w:vAlign w:val="bottom"/>
          </w:tcPr>
          <w:p>
            <w:pPr>
              <w:spacing w:after="0"/>
              <w:rPr>
                <w:sz w:val="23"/>
                <w:szCs w:val="23"/>
                <w:color w:val="auto"/>
              </w:rPr>
            </w:pPr>
          </w:p>
        </w:tc>
        <w:tc>
          <w:tcPr>
            <w:tcW w:w="7140" w:type="dxa"/>
            <w:vAlign w:val="bottom"/>
            <w:gridSpan w:val="2"/>
          </w:tcPr>
          <w:p>
            <w:pPr>
              <w:ind w:left="238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4240" w:type="dxa"/>
            <w:vAlign w:val="bottom"/>
          </w:tcPr>
          <w:p>
            <w:pPr>
              <w:spacing w:after="0"/>
              <w:rPr>
                <w:sz w:val="23"/>
                <w:szCs w:val="23"/>
                <w:color w:val="auto"/>
              </w:rPr>
            </w:pPr>
          </w:p>
        </w:tc>
        <w:tc>
          <w:tcPr>
            <w:tcW w:w="7140" w:type="dxa"/>
            <w:vAlign w:val="bottom"/>
            <w:gridSpan w:val="2"/>
          </w:tcPr>
          <w:p>
            <w:pPr>
              <w:ind w:left="238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79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4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w w:val="88"/>
              </w:rPr>
              <w:t>Indenture, dated February 18, 2015, among the Issuers, the Guarantors named therein and the Trustee.</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3"/>
                <w:szCs w:val="23"/>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Press release, dated February 18, 2015, of Wynn Resorts, Limited.</w:t>
            </w:r>
          </w:p>
        </w:tc>
      </w:tr>
    </w:tbl>
    <w:p>
      <w:pPr>
        <w:sectPr>
          <w:pgSz w:w="11900" w:h="16838" w:orient="portrait"/>
          <w:cols w:equalWidth="0" w:num="1">
            <w:col w:w="10179"/>
          </w:cols>
          <w:pgMar w:left="280" w:top="796"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4.1</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221615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WYNN LAS VEGAS CAPITAL CORP.,</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joint and several obligors</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KEVYN, LLC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WLV EVENTS,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WORLD TRAVEL,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SHOW PERFORMERS,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SUNRISE,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guarantors</w:t>
      </w:r>
    </w:p>
    <w:p>
      <w:pPr>
        <w:spacing w:after="0" w:line="242"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5.50%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Dated as of February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869315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706755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1680" w:type="dxa"/>
            <w:vAlign w:val="bottom"/>
          </w:tcPr>
          <w:p>
            <w:pPr>
              <w:spacing w:after="0"/>
              <w:rPr>
                <w:sz w:val="24"/>
                <w:szCs w:val="24"/>
                <w:color w:val="auto"/>
              </w:rPr>
            </w:pPr>
          </w:p>
        </w:tc>
        <w:tc>
          <w:tcPr>
            <w:tcW w:w="7680" w:type="dxa"/>
            <w:vAlign w:val="bottom"/>
          </w:tcPr>
          <w:p>
            <w:pPr>
              <w:jc w:val="center"/>
              <w:ind w:left="212"/>
              <w:spacing w:after="0"/>
              <w:rPr>
                <w:sz w:val="20"/>
                <w:szCs w:val="20"/>
                <w:color w:val="auto"/>
              </w:rPr>
            </w:pPr>
            <w:r>
              <w:rPr>
                <w:rFonts w:ascii="Arial" w:cs="Arial" w:eastAsia="Arial" w:hAnsi="Arial"/>
                <w:sz w:val="22"/>
                <w:szCs w:val="22"/>
                <w:b w:val="1"/>
                <w:bCs w:val="1"/>
                <w:color w:val="auto"/>
                <w:w w:val="97"/>
              </w:rPr>
              <w:t>TABLE OF CONTENTS</w:t>
            </w:r>
          </w:p>
        </w:tc>
        <w:tc>
          <w:tcPr>
            <w:tcW w:w="1920" w:type="dxa"/>
            <w:vAlign w:val="bottom"/>
          </w:tcPr>
          <w:p>
            <w:pPr>
              <w:spacing w:after="0"/>
              <w:rPr>
                <w:sz w:val="24"/>
                <w:szCs w:val="24"/>
                <w:color w:val="auto"/>
              </w:rPr>
            </w:pPr>
          </w:p>
        </w:tc>
      </w:tr>
      <w:tr>
        <w:trPr>
          <w:trHeight w:val="837"/>
        </w:trPr>
        <w:tc>
          <w:tcPr>
            <w:tcW w:w="16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920" w:type="dxa"/>
            <w:vAlign w:val="bottom"/>
          </w:tcPr>
          <w:p>
            <w:pPr>
              <w:jc w:val="right"/>
              <w:ind w:right="332"/>
              <w:spacing w:after="0"/>
              <w:rPr>
                <w:sz w:val="20"/>
                <w:szCs w:val="20"/>
                <w:color w:val="auto"/>
              </w:rPr>
            </w:pPr>
            <w:r>
              <w:rPr>
                <w:rFonts w:ascii="Arial" w:cs="Arial" w:eastAsia="Arial" w:hAnsi="Arial"/>
                <w:sz w:val="22"/>
                <w:szCs w:val="22"/>
                <w:i w:val="1"/>
                <w:iCs w:val="1"/>
                <w:color w:val="auto"/>
              </w:rPr>
              <w:t>Page</w:t>
            </w:r>
          </w:p>
        </w:tc>
      </w:tr>
      <w:tr>
        <w:trPr>
          <w:trHeight w:val="297"/>
        </w:trPr>
        <w:tc>
          <w:tcPr>
            <w:tcW w:w="1680" w:type="dxa"/>
            <w:vAlign w:val="bottom"/>
          </w:tcPr>
          <w:p>
            <w:pPr>
              <w:spacing w:after="0"/>
              <w:rPr>
                <w:sz w:val="24"/>
                <w:szCs w:val="24"/>
                <w:color w:val="auto"/>
              </w:rPr>
            </w:pPr>
          </w:p>
        </w:tc>
        <w:tc>
          <w:tcPr>
            <w:tcW w:w="7680" w:type="dxa"/>
            <w:vAlign w:val="bottom"/>
          </w:tcPr>
          <w:p>
            <w:pPr>
              <w:jc w:val="center"/>
              <w:ind w:left="212"/>
              <w:spacing w:after="0"/>
              <w:rPr>
                <w:sz w:val="20"/>
                <w:szCs w:val="20"/>
                <w:color w:val="auto"/>
              </w:rPr>
            </w:pPr>
            <w:r>
              <w:rPr>
                <w:rFonts w:ascii="Arial" w:cs="Arial" w:eastAsia="Arial" w:hAnsi="Arial"/>
                <w:sz w:val="22"/>
                <w:szCs w:val="22"/>
                <w:color w:val="auto"/>
                <w:w w:val="95"/>
              </w:rPr>
              <w:t>ARTICLE 1.</w:t>
            </w:r>
          </w:p>
        </w:tc>
        <w:tc>
          <w:tcPr>
            <w:tcW w:w="1920" w:type="dxa"/>
            <w:vAlign w:val="bottom"/>
          </w:tcPr>
          <w:p>
            <w:pPr>
              <w:spacing w:after="0"/>
              <w:rPr>
                <w:sz w:val="24"/>
                <w:szCs w:val="24"/>
                <w:color w:val="auto"/>
              </w:rPr>
            </w:pPr>
          </w:p>
        </w:tc>
      </w:tr>
      <w:tr>
        <w:trPr>
          <w:trHeight w:val="297"/>
        </w:trPr>
        <w:tc>
          <w:tcPr>
            <w:tcW w:w="1680" w:type="dxa"/>
            <w:vAlign w:val="bottom"/>
          </w:tcPr>
          <w:p>
            <w:pPr>
              <w:spacing w:after="0"/>
              <w:rPr>
                <w:sz w:val="24"/>
                <w:szCs w:val="24"/>
                <w:color w:val="auto"/>
              </w:rPr>
            </w:pPr>
          </w:p>
        </w:tc>
        <w:tc>
          <w:tcPr>
            <w:tcW w:w="7680" w:type="dxa"/>
            <w:vAlign w:val="bottom"/>
          </w:tcPr>
          <w:p>
            <w:pPr>
              <w:jc w:val="center"/>
              <w:ind w:left="192"/>
              <w:spacing w:after="0"/>
              <w:rPr>
                <w:sz w:val="20"/>
                <w:szCs w:val="20"/>
                <w:color w:val="auto"/>
              </w:rPr>
            </w:pPr>
            <w:r>
              <w:rPr>
                <w:rFonts w:ascii="Arial" w:cs="Arial" w:eastAsia="Arial" w:hAnsi="Arial"/>
                <w:sz w:val="22"/>
                <w:szCs w:val="22"/>
                <w:color w:val="auto"/>
                <w:w w:val="94"/>
              </w:rPr>
              <w:t>DEFINITIONS AND INCORPORATION BY REFERENCE</w:t>
            </w:r>
          </w:p>
        </w:tc>
        <w:tc>
          <w:tcPr>
            <w:tcW w:w="1920" w:type="dxa"/>
            <w:vAlign w:val="bottom"/>
          </w:tcPr>
          <w:p>
            <w:pPr>
              <w:spacing w:after="0"/>
              <w:rPr>
                <w:sz w:val="24"/>
                <w:szCs w:val="24"/>
                <w:color w:val="auto"/>
              </w:rPr>
            </w:pPr>
          </w:p>
        </w:tc>
      </w:tr>
      <w:tr>
        <w:trPr>
          <w:trHeight w:val="621"/>
        </w:trPr>
        <w:tc>
          <w:tcPr>
            <w:tcW w:w="1680" w:type="dxa"/>
            <w:vAlign w:val="bottom"/>
          </w:tcPr>
          <w:p>
            <w:pPr>
              <w:spacing w:after="0"/>
              <w:rPr>
                <w:sz w:val="20"/>
                <w:szCs w:val="20"/>
                <w:color w:val="auto"/>
              </w:rPr>
            </w:pPr>
            <w:r>
              <w:rPr>
                <w:rFonts w:ascii="Arial" w:cs="Arial" w:eastAsia="Arial" w:hAnsi="Arial"/>
                <w:sz w:val="22"/>
                <w:szCs w:val="22"/>
                <w:color w:val="auto"/>
              </w:rPr>
              <w:t>Section 1.01</w:t>
            </w:r>
          </w:p>
        </w:tc>
        <w:tc>
          <w:tcPr>
            <w:tcW w:w="7680" w:type="dxa"/>
            <w:vAlign w:val="bottom"/>
          </w:tcPr>
          <w:p>
            <w:pPr>
              <w:ind w:left="620"/>
              <w:spacing w:after="0"/>
              <w:rPr>
                <w:sz w:val="20"/>
                <w:szCs w:val="20"/>
                <w:color w:val="auto"/>
              </w:rPr>
            </w:pPr>
            <w:r>
              <w:rPr>
                <w:rFonts w:ascii="Arial" w:cs="Arial" w:eastAsia="Arial" w:hAnsi="Arial"/>
                <w:sz w:val="22"/>
                <w:szCs w:val="22"/>
                <w:color w:val="auto"/>
              </w:rPr>
              <w:t>Definitions.</w:t>
            </w:r>
          </w:p>
        </w:tc>
        <w:tc>
          <w:tcPr>
            <w:tcW w:w="19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1.02</w:t>
            </w:r>
          </w:p>
        </w:tc>
        <w:tc>
          <w:tcPr>
            <w:tcW w:w="7680" w:type="dxa"/>
            <w:vAlign w:val="bottom"/>
          </w:tcPr>
          <w:p>
            <w:pPr>
              <w:ind w:left="620"/>
              <w:spacing w:after="0"/>
              <w:rPr>
                <w:sz w:val="20"/>
                <w:szCs w:val="20"/>
                <w:color w:val="auto"/>
              </w:rPr>
            </w:pPr>
            <w:r>
              <w:rPr>
                <w:rFonts w:ascii="Arial" w:cs="Arial" w:eastAsia="Arial" w:hAnsi="Arial"/>
                <w:sz w:val="22"/>
                <w:szCs w:val="22"/>
                <w:color w:val="auto"/>
              </w:rPr>
              <w:t>Other Definitions.</w:t>
            </w:r>
          </w:p>
        </w:tc>
        <w:tc>
          <w:tcPr>
            <w:tcW w:w="19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1.03</w:t>
            </w:r>
          </w:p>
        </w:tc>
        <w:tc>
          <w:tcPr>
            <w:tcW w:w="7680" w:type="dxa"/>
            <w:vAlign w:val="bottom"/>
          </w:tcPr>
          <w:p>
            <w:pPr>
              <w:ind w:left="620"/>
              <w:spacing w:after="0"/>
              <w:rPr>
                <w:sz w:val="20"/>
                <w:szCs w:val="20"/>
                <w:color w:val="auto"/>
              </w:rPr>
            </w:pPr>
            <w:r>
              <w:rPr>
                <w:rFonts w:ascii="Arial" w:cs="Arial" w:eastAsia="Arial" w:hAnsi="Arial"/>
                <w:sz w:val="22"/>
                <w:szCs w:val="22"/>
                <w:color w:val="auto"/>
              </w:rPr>
              <w:t>Rules of Construction.</w:t>
            </w:r>
          </w:p>
        </w:tc>
        <w:tc>
          <w:tcPr>
            <w:tcW w:w="19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621"/>
        </w:trPr>
        <w:tc>
          <w:tcPr>
            <w:tcW w:w="1680" w:type="dxa"/>
            <w:vAlign w:val="bottom"/>
          </w:tcPr>
          <w:p>
            <w:pPr>
              <w:spacing w:after="0"/>
              <w:rPr>
                <w:sz w:val="24"/>
                <w:szCs w:val="24"/>
                <w:color w:val="auto"/>
              </w:rPr>
            </w:pPr>
          </w:p>
        </w:tc>
        <w:tc>
          <w:tcPr>
            <w:tcW w:w="7680" w:type="dxa"/>
            <w:vAlign w:val="bottom"/>
          </w:tcPr>
          <w:p>
            <w:pPr>
              <w:jc w:val="center"/>
              <w:ind w:left="212"/>
              <w:spacing w:after="0"/>
              <w:rPr>
                <w:sz w:val="20"/>
                <w:szCs w:val="20"/>
                <w:color w:val="auto"/>
              </w:rPr>
            </w:pPr>
            <w:r>
              <w:rPr>
                <w:rFonts w:ascii="Arial" w:cs="Arial" w:eastAsia="Arial" w:hAnsi="Arial"/>
                <w:sz w:val="22"/>
                <w:szCs w:val="22"/>
                <w:color w:val="auto"/>
                <w:w w:val="95"/>
              </w:rPr>
              <w:t>ARTICLE 2.</w:t>
            </w:r>
          </w:p>
        </w:tc>
        <w:tc>
          <w:tcPr>
            <w:tcW w:w="1920" w:type="dxa"/>
            <w:vAlign w:val="bottom"/>
          </w:tcPr>
          <w:p>
            <w:pPr>
              <w:spacing w:after="0"/>
              <w:rPr>
                <w:sz w:val="24"/>
                <w:szCs w:val="24"/>
                <w:color w:val="auto"/>
              </w:rPr>
            </w:pPr>
          </w:p>
        </w:tc>
      </w:tr>
      <w:tr>
        <w:trPr>
          <w:trHeight w:val="297"/>
        </w:trPr>
        <w:tc>
          <w:tcPr>
            <w:tcW w:w="1680" w:type="dxa"/>
            <w:vAlign w:val="bottom"/>
          </w:tcPr>
          <w:p>
            <w:pPr>
              <w:spacing w:after="0"/>
              <w:rPr>
                <w:sz w:val="24"/>
                <w:szCs w:val="24"/>
                <w:color w:val="auto"/>
              </w:rPr>
            </w:pPr>
          </w:p>
        </w:tc>
        <w:tc>
          <w:tcPr>
            <w:tcW w:w="7680" w:type="dxa"/>
            <w:vAlign w:val="bottom"/>
          </w:tcPr>
          <w:p>
            <w:pPr>
              <w:jc w:val="center"/>
              <w:ind w:left="192"/>
              <w:spacing w:after="0"/>
              <w:rPr>
                <w:sz w:val="20"/>
                <w:szCs w:val="20"/>
                <w:color w:val="auto"/>
              </w:rPr>
            </w:pPr>
            <w:r>
              <w:rPr>
                <w:rFonts w:ascii="Arial" w:cs="Arial" w:eastAsia="Arial" w:hAnsi="Arial"/>
                <w:sz w:val="22"/>
                <w:szCs w:val="22"/>
                <w:color w:val="auto"/>
                <w:w w:val="93"/>
              </w:rPr>
              <w:t>THE NOTES</w:t>
            </w:r>
          </w:p>
        </w:tc>
        <w:tc>
          <w:tcPr>
            <w:tcW w:w="1920" w:type="dxa"/>
            <w:vAlign w:val="bottom"/>
          </w:tcPr>
          <w:p>
            <w:pPr>
              <w:spacing w:after="0"/>
              <w:rPr>
                <w:sz w:val="24"/>
                <w:szCs w:val="24"/>
                <w:color w:val="auto"/>
              </w:rPr>
            </w:pPr>
          </w:p>
        </w:tc>
      </w:tr>
      <w:tr>
        <w:trPr>
          <w:trHeight w:val="621"/>
        </w:trPr>
        <w:tc>
          <w:tcPr>
            <w:tcW w:w="1680" w:type="dxa"/>
            <w:vAlign w:val="bottom"/>
          </w:tcPr>
          <w:p>
            <w:pPr>
              <w:spacing w:after="0"/>
              <w:rPr>
                <w:sz w:val="20"/>
                <w:szCs w:val="20"/>
                <w:color w:val="auto"/>
              </w:rPr>
            </w:pPr>
            <w:r>
              <w:rPr>
                <w:rFonts w:ascii="Arial" w:cs="Arial" w:eastAsia="Arial" w:hAnsi="Arial"/>
                <w:sz w:val="22"/>
                <w:szCs w:val="22"/>
                <w:color w:val="auto"/>
              </w:rPr>
              <w:t>Section 2.01</w:t>
            </w:r>
          </w:p>
        </w:tc>
        <w:tc>
          <w:tcPr>
            <w:tcW w:w="7680" w:type="dxa"/>
            <w:vAlign w:val="bottom"/>
          </w:tcPr>
          <w:p>
            <w:pPr>
              <w:ind w:left="620"/>
              <w:spacing w:after="0"/>
              <w:rPr>
                <w:sz w:val="20"/>
                <w:szCs w:val="20"/>
                <w:color w:val="auto"/>
              </w:rPr>
            </w:pPr>
            <w:r>
              <w:rPr>
                <w:rFonts w:ascii="Arial" w:cs="Arial" w:eastAsia="Arial" w:hAnsi="Arial"/>
                <w:sz w:val="22"/>
                <w:szCs w:val="22"/>
                <w:color w:val="auto"/>
              </w:rPr>
              <w:t>Form and Dating.</w:t>
            </w:r>
          </w:p>
        </w:tc>
        <w:tc>
          <w:tcPr>
            <w:tcW w:w="19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2.02</w:t>
            </w:r>
          </w:p>
        </w:tc>
        <w:tc>
          <w:tcPr>
            <w:tcW w:w="7680" w:type="dxa"/>
            <w:vAlign w:val="bottom"/>
          </w:tcPr>
          <w:p>
            <w:pPr>
              <w:ind w:left="620"/>
              <w:spacing w:after="0"/>
              <w:rPr>
                <w:sz w:val="20"/>
                <w:szCs w:val="20"/>
                <w:color w:val="auto"/>
              </w:rPr>
            </w:pPr>
            <w:r>
              <w:rPr>
                <w:rFonts w:ascii="Arial" w:cs="Arial" w:eastAsia="Arial" w:hAnsi="Arial"/>
                <w:sz w:val="22"/>
                <w:szCs w:val="22"/>
                <w:color w:val="auto"/>
              </w:rPr>
              <w:t>Execution and Authentication.</w:t>
            </w:r>
          </w:p>
        </w:tc>
        <w:tc>
          <w:tcPr>
            <w:tcW w:w="19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2.03</w:t>
            </w:r>
          </w:p>
        </w:tc>
        <w:tc>
          <w:tcPr>
            <w:tcW w:w="7680" w:type="dxa"/>
            <w:vAlign w:val="bottom"/>
          </w:tcPr>
          <w:p>
            <w:pPr>
              <w:ind w:left="620"/>
              <w:spacing w:after="0"/>
              <w:rPr>
                <w:sz w:val="20"/>
                <w:szCs w:val="20"/>
                <w:color w:val="auto"/>
              </w:rPr>
            </w:pPr>
            <w:r>
              <w:rPr>
                <w:rFonts w:ascii="Arial" w:cs="Arial" w:eastAsia="Arial" w:hAnsi="Arial"/>
                <w:sz w:val="22"/>
                <w:szCs w:val="22"/>
                <w:color w:val="auto"/>
              </w:rPr>
              <w:t>Registrar and Paying Agent.</w:t>
            </w:r>
          </w:p>
        </w:tc>
        <w:tc>
          <w:tcPr>
            <w:tcW w:w="19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2.04</w:t>
            </w:r>
          </w:p>
        </w:tc>
        <w:tc>
          <w:tcPr>
            <w:tcW w:w="7680" w:type="dxa"/>
            <w:vAlign w:val="bottom"/>
          </w:tcPr>
          <w:p>
            <w:pPr>
              <w:ind w:left="620"/>
              <w:spacing w:after="0"/>
              <w:rPr>
                <w:sz w:val="20"/>
                <w:szCs w:val="20"/>
                <w:color w:val="auto"/>
              </w:rPr>
            </w:pPr>
            <w:r>
              <w:rPr>
                <w:rFonts w:ascii="Arial" w:cs="Arial" w:eastAsia="Arial" w:hAnsi="Arial"/>
                <w:sz w:val="22"/>
                <w:szCs w:val="22"/>
                <w:color w:val="auto"/>
              </w:rPr>
              <w:t>Paying Agent to Hold Money in Trust.</w:t>
            </w:r>
          </w:p>
        </w:tc>
        <w:tc>
          <w:tcPr>
            <w:tcW w:w="1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2.05</w:t>
            </w:r>
          </w:p>
        </w:tc>
        <w:tc>
          <w:tcPr>
            <w:tcW w:w="7680" w:type="dxa"/>
            <w:vAlign w:val="bottom"/>
          </w:tcPr>
          <w:p>
            <w:pPr>
              <w:ind w:left="620"/>
              <w:spacing w:after="0"/>
              <w:rPr>
                <w:sz w:val="20"/>
                <w:szCs w:val="20"/>
                <w:color w:val="auto"/>
              </w:rPr>
            </w:pPr>
            <w:r>
              <w:rPr>
                <w:rFonts w:ascii="Arial" w:cs="Arial" w:eastAsia="Arial" w:hAnsi="Arial"/>
                <w:sz w:val="22"/>
                <w:szCs w:val="22"/>
                <w:color w:val="auto"/>
              </w:rPr>
              <w:t>Holder Lists.</w:t>
            </w:r>
          </w:p>
        </w:tc>
        <w:tc>
          <w:tcPr>
            <w:tcW w:w="1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2.06</w:t>
            </w:r>
          </w:p>
        </w:tc>
        <w:tc>
          <w:tcPr>
            <w:tcW w:w="7680" w:type="dxa"/>
            <w:vAlign w:val="bottom"/>
          </w:tcPr>
          <w:p>
            <w:pPr>
              <w:ind w:left="620"/>
              <w:spacing w:after="0"/>
              <w:rPr>
                <w:sz w:val="20"/>
                <w:szCs w:val="20"/>
                <w:color w:val="auto"/>
              </w:rPr>
            </w:pPr>
            <w:r>
              <w:rPr>
                <w:rFonts w:ascii="Arial" w:cs="Arial" w:eastAsia="Arial" w:hAnsi="Arial"/>
                <w:sz w:val="22"/>
                <w:szCs w:val="22"/>
                <w:color w:val="auto"/>
              </w:rPr>
              <w:t>Transfer and Exchange.</w:t>
            </w:r>
          </w:p>
        </w:tc>
        <w:tc>
          <w:tcPr>
            <w:tcW w:w="1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2.07</w:t>
            </w:r>
          </w:p>
        </w:tc>
        <w:tc>
          <w:tcPr>
            <w:tcW w:w="7680" w:type="dxa"/>
            <w:vAlign w:val="bottom"/>
          </w:tcPr>
          <w:p>
            <w:pPr>
              <w:ind w:left="620"/>
              <w:spacing w:after="0"/>
              <w:rPr>
                <w:sz w:val="20"/>
                <w:szCs w:val="20"/>
                <w:color w:val="auto"/>
              </w:rPr>
            </w:pPr>
            <w:r>
              <w:rPr>
                <w:rFonts w:ascii="Arial" w:cs="Arial" w:eastAsia="Arial" w:hAnsi="Arial"/>
                <w:sz w:val="22"/>
                <w:szCs w:val="22"/>
                <w:color w:val="auto"/>
              </w:rPr>
              <w:t>Replacement Notes.</w:t>
            </w:r>
          </w:p>
        </w:tc>
        <w:tc>
          <w:tcPr>
            <w:tcW w:w="19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2.08</w:t>
            </w:r>
          </w:p>
        </w:tc>
        <w:tc>
          <w:tcPr>
            <w:tcW w:w="7680" w:type="dxa"/>
            <w:vAlign w:val="bottom"/>
          </w:tcPr>
          <w:p>
            <w:pPr>
              <w:ind w:left="620"/>
              <w:spacing w:after="0"/>
              <w:rPr>
                <w:sz w:val="20"/>
                <w:szCs w:val="20"/>
                <w:color w:val="auto"/>
              </w:rPr>
            </w:pPr>
            <w:r>
              <w:rPr>
                <w:rFonts w:ascii="Arial" w:cs="Arial" w:eastAsia="Arial" w:hAnsi="Arial"/>
                <w:sz w:val="22"/>
                <w:szCs w:val="22"/>
                <w:color w:val="auto"/>
              </w:rPr>
              <w:t>Outstanding Notes.</w:t>
            </w:r>
          </w:p>
        </w:tc>
        <w:tc>
          <w:tcPr>
            <w:tcW w:w="19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2.09</w:t>
            </w:r>
          </w:p>
        </w:tc>
        <w:tc>
          <w:tcPr>
            <w:tcW w:w="7680" w:type="dxa"/>
            <w:vAlign w:val="bottom"/>
          </w:tcPr>
          <w:p>
            <w:pPr>
              <w:ind w:left="620"/>
              <w:spacing w:after="0"/>
              <w:rPr>
                <w:sz w:val="20"/>
                <w:szCs w:val="20"/>
                <w:color w:val="auto"/>
              </w:rPr>
            </w:pPr>
            <w:r>
              <w:rPr>
                <w:rFonts w:ascii="Arial" w:cs="Arial" w:eastAsia="Arial" w:hAnsi="Arial"/>
                <w:sz w:val="22"/>
                <w:szCs w:val="22"/>
                <w:color w:val="auto"/>
              </w:rPr>
              <w:t>Treasury Notes.</w:t>
            </w:r>
          </w:p>
        </w:tc>
        <w:tc>
          <w:tcPr>
            <w:tcW w:w="19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2.10</w:t>
            </w:r>
          </w:p>
        </w:tc>
        <w:tc>
          <w:tcPr>
            <w:tcW w:w="7680" w:type="dxa"/>
            <w:vAlign w:val="bottom"/>
          </w:tcPr>
          <w:p>
            <w:pPr>
              <w:ind w:left="620"/>
              <w:spacing w:after="0"/>
              <w:rPr>
                <w:sz w:val="20"/>
                <w:szCs w:val="20"/>
                <w:color w:val="auto"/>
              </w:rPr>
            </w:pPr>
            <w:r>
              <w:rPr>
                <w:rFonts w:ascii="Arial" w:cs="Arial" w:eastAsia="Arial" w:hAnsi="Arial"/>
                <w:sz w:val="22"/>
                <w:szCs w:val="22"/>
                <w:color w:val="auto"/>
              </w:rPr>
              <w:t>Temporary Notes.</w:t>
            </w:r>
          </w:p>
        </w:tc>
        <w:tc>
          <w:tcPr>
            <w:tcW w:w="19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2.11</w:t>
            </w:r>
          </w:p>
        </w:tc>
        <w:tc>
          <w:tcPr>
            <w:tcW w:w="7680" w:type="dxa"/>
            <w:vAlign w:val="bottom"/>
          </w:tcPr>
          <w:p>
            <w:pPr>
              <w:ind w:left="620"/>
              <w:spacing w:after="0"/>
              <w:rPr>
                <w:sz w:val="20"/>
                <w:szCs w:val="20"/>
                <w:color w:val="auto"/>
              </w:rPr>
            </w:pPr>
            <w:r>
              <w:rPr>
                <w:rFonts w:ascii="Arial" w:cs="Arial" w:eastAsia="Arial" w:hAnsi="Arial"/>
                <w:sz w:val="22"/>
                <w:szCs w:val="22"/>
                <w:color w:val="auto"/>
              </w:rPr>
              <w:t>Cancellation.</w:t>
            </w:r>
          </w:p>
        </w:tc>
        <w:tc>
          <w:tcPr>
            <w:tcW w:w="19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2.12</w:t>
            </w:r>
          </w:p>
        </w:tc>
        <w:tc>
          <w:tcPr>
            <w:tcW w:w="7680" w:type="dxa"/>
            <w:vAlign w:val="bottom"/>
          </w:tcPr>
          <w:p>
            <w:pPr>
              <w:ind w:left="620"/>
              <w:spacing w:after="0"/>
              <w:rPr>
                <w:sz w:val="20"/>
                <w:szCs w:val="20"/>
                <w:color w:val="auto"/>
              </w:rPr>
            </w:pPr>
            <w:r>
              <w:rPr>
                <w:rFonts w:ascii="Arial" w:cs="Arial" w:eastAsia="Arial" w:hAnsi="Arial"/>
                <w:sz w:val="22"/>
                <w:szCs w:val="22"/>
                <w:color w:val="auto"/>
              </w:rPr>
              <w:t>Defaulted Interest.</w:t>
            </w:r>
          </w:p>
        </w:tc>
        <w:tc>
          <w:tcPr>
            <w:tcW w:w="19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2.13</w:t>
            </w:r>
          </w:p>
        </w:tc>
        <w:tc>
          <w:tcPr>
            <w:tcW w:w="7680" w:type="dxa"/>
            <w:vAlign w:val="bottom"/>
          </w:tcPr>
          <w:p>
            <w:pPr>
              <w:ind w:left="620"/>
              <w:spacing w:after="0"/>
              <w:rPr>
                <w:sz w:val="20"/>
                <w:szCs w:val="20"/>
                <w:color w:val="auto"/>
              </w:rPr>
            </w:pPr>
            <w:r>
              <w:rPr>
                <w:rFonts w:ascii="Arial" w:cs="Arial" w:eastAsia="Arial" w:hAnsi="Arial"/>
                <w:sz w:val="22"/>
                <w:szCs w:val="22"/>
                <w:color w:val="auto"/>
              </w:rPr>
              <w:t>Issuance of Additional Notes.</w:t>
            </w:r>
          </w:p>
        </w:tc>
        <w:tc>
          <w:tcPr>
            <w:tcW w:w="19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621"/>
        </w:trPr>
        <w:tc>
          <w:tcPr>
            <w:tcW w:w="1680" w:type="dxa"/>
            <w:vAlign w:val="bottom"/>
          </w:tcPr>
          <w:p>
            <w:pPr>
              <w:spacing w:after="0"/>
              <w:rPr>
                <w:sz w:val="24"/>
                <w:szCs w:val="24"/>
                <w:color w:val="auto"/>
              </w:rPr>
            </w:pPr>
          </w:p>
        </w:tc>
        <w:tc>
          <w:tcPr>
            <w:tcW w:w="7680" w:type="dxa"/>
            <w:vAlign w:val="bottom"/>
          </w:tcPr>
          <w:p>
            <w:pPr>
              <w:jc w:val="center"/>
              <w:ind w:left="212"/>
              <w:spacing w:after="0"/>
              <w:rPr>
                <w:sz w:val="20"/>
                <w:szCs w:val="20"/>
                <w:color w:val="auto"/>
              </w:rPr>
            </w:pPr>
            <w:r>
              <w:rPr>
                <w:rFonts w:ascii="Arial" w:cs="Arial" w:eastAsia="Arial" w:hAnsi="Arial"/>
                <w:sz w:val="22"/>
                <w:szCs w:val="22"/>
                <w:color w:val="auto"/>
                <w:w w:val="95"/>
              </w:rPr>
              <w:t>ARTICLE 3.</w:t>
            </w:r>
          </w:p>
        </w:tc>
        <w:tc>
          <w:tcPr>
            <w:tcW w:w="1920" w:type="dxa"/>
            <w:vAlign w:val="bottom"/>
          </w:tcPr>
          <w:p>
            <w:pPr>
              <w:spacing w:after="0"/>
              <w:rPr>
                <w:sz w:val="24"/>
                <w:szCs w:val="24"/>
                <w:color w:val="auto"/>
              </w:rPr>
            </w:pPr>
          </w:p>
        </w:tc>
      </w:tr>
      <w:tr>
        <w:trPr>
          <w:trHeight w:val="297"/>
        </w:trPr>
        <w:tc>
          <w:tcPr>
            <w:tcW w:w="1680" w:type="dxa"/>
            <w:vAlign w:val="bottom"/>
          </w:tcPr>
          <w:p>
            <w:pPr>
              <w:spacing w:after="0"/>
              <w:rPr>
                <w:sz w:val="24"/>
                <w:szCs w:val="24"/>
                <w:color w:val="auto"/>
              </w:rPr>
            </w:pPr>
          </w:p>
        </w:tc>
        <w:tc>
          <w:tcPr>
            <w:tcW w:w="7680" w:type="dxa"/>
            <w:vAlign w:val="bottom"/>
          </w:tcPr>
          <w:p>
            <w:pPr>
              <w:jc w:val="center"/>
              <w:ind w:left="192"/>
              <w:spacing w:after="0"/>
              <w:rPr>
                <w:sz w:val="20"/>
                <w:szCs w:val="20"/>
                <w:color w:val="auto"/>
              </w:rPr>
            </w:pPr>
            <w:r>
              <w:rPr>
                <w:rFonts w:ascii="Arial" w:cs="Arial" w:eastAsia="Arial" w:hAnsi="Arial"/>
                <w:sz w:val="22"/>
                <w:szCs w:val="22"/>
                <w:color w:val="auto"/>
                <w:w w:val="94"/>
              </w:rPr>
              <w:t>REDEMPTION AND PREPAYMENT</w:t>
            </w:r>
          </w:p>
        </w:tc>
        <w:tc>
          <w:tcPr>
            <w:tcW w:w="1920" w:type="dxa"/>
            <w:vAlign w:val="bottom"/>
          </w:tcPr>
          <w:p>
            <w:pPr>
              <w:spacing w:after="0"/>
              <w:rPr>
                <w:sz w:val="24"/>
                <w:szCs w:val="24"/>
                <w:color w:val="auto"/>
              </w:rPr>
            </w:pPr>
          </w:p>
        </w:tc>
      </w:tr>
      <w:tr>
        <w:trPr>
          <w:trHeight w:val="621"/>
        </w:trPr>
        <w:tc>
          <w:tcPr>
            <w:tcW w:w="1680" w:type="dxa"/>
            <w:vAlign w:val="bottom"/>
          </w:tcPr>
          <w:p>
            <w:pPr>
              <w:spacing w:after="0"/>
              <w:rPr>
                <w:sz w:val="20"/>
                <w:szCs w:val="20"/>
                <w:color w:val="auto"/>
              </w:rPr>
            </w:pPr>
            <w:r>
              <w:rPr>
                <w:rFonts w:ascii="Arial" w:cs="Arial" w:eastAsia="Arial" w:hAnsi="Arial"/>
                <w:sz w:val="22"/>
                <w:szCs w:val="22"/>
                <w:color w:val="auto"/>
              </w:rPr>
              <w:t>Section 3.01</w:t>
            </w:r>
          </w:p>
        </w:tc>
        <w:tc>
          <w:tcPr>
            <w:tcW w:w="7680" w:type="dxa"/>
            <w:vAlign w:val="bottom"/>
          </w:tcPr>
          <w:p>
            <w:pPr>
              <w:ind w:left="620"/>
              <w:spacing w:after="0"/>
              <w:rPr>
                <w:sz w:val="20"/>
                <w:szCs w:val="20"/>
                <w:color w:val="auto"/>
              </w:rPr>
            </w:pPr>
            <w:r>
              <w:rPr>
                <w:rFonts w:ascii="Arial" w:cs="Arial" w:eastAsia="Arial" w:hAnsi="Arial"/>
                <w:sz w:val="22"/>
                <w:szCs w:val="22"/>
                <w:color w:val="auto"/>
              </w:rPr>
              <w:t>Notices to Trustee.</w:t>
            </w:r>
          </w:p>
        </w:tc>
        <w:tc>
          <w:tcPr>
            <w:tcW w:w="19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3.02</w:t>
            </w:r>
          </w:p>
        </w:tc>
        <w:tc>
          <w:tcPr>
            <w:tcW w:w="7680" w:type="dxa"/>
            <w:vAlign w:val="bottom"/>
          </w:tcPr>
          <w:p>
            <w:pPr>
              <w:ind w:left="620"/>
              <w:spacing w:after="0"/>
              <w:rPr>
                <w:sz w:val="20"/>
                <w:szCs w:val="20"/>
                <w:color w:val="auto"/>
              </w:rPr>
            </w:pPr>
            <w:r>
              <w:rPr>
                <w:rFonts w:ascii="Arial" w:cs="Arial" w:eastAsia="Arial" w:hAnsi="Arial"/>
                <w:sz w:val="22"/>
                <w:szCs w:val="22"/>
                <w:color w:val="auto"/>
              </w:rPr>
              <w:t>Selection of Notes to Be Redeemed or Purchased.</w:t>
            </w:r>
          </w:p>
        </w:tc>
        <w:tc>
          <w:tcPr>
            <w:tcW w:w="19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3.03</w:t>
            </w:r>
          </w:p>
        </w:tc>
        <w:tc>
          <w:tcPr>
            <w:tcW w:w="7680" w:type="dxa"/>
            <w:vAlign w:val="bottom"/>
          </w:tcPr>
          <w:p>
            <w:pPr>
              <w:ind w:left="620"/>
              <w:spacing w:after="0"/>
              <w:rPr>
                <w:sz w:val="20"/>
                <w:szCs w:val="20"/>
                <w:color w:val="auto"/>
              </w:rPr>
            </w:pPr>
            <w:r>
              <w:rPr>
                <w:rFonts w:ascii="Arial" w:cs="Arial" w:eastAsia="Arial" w:hAnsi="Arial"/>
                <w:sz w:val="22"/>
                <w:szCs w:val="22"/>
                <w:color w:val="auto"/>
              </w:rPr>
              <w:t>Notice of Redemption.</w:t>
            </w:r>
          </w:p>
        </w:tc>
        <w:tc>
          <w:tcPr>
            <w:tcW w:w="19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3.04</w:t>
            </w:r>
          </w:p>
        </w:tc>
        <w:tc>
          <w:tcPr>
            <w:tcW w:w="7680" w:type="dxa"/>
            <w:vAlign w:val="bottom"/>
          </w:tcPr>
          <w:p>
            <w:pPr>
              <w:ind w:left="620"/>
              <w:spacing w:after="0"/>
              <w:rPr>
                <w:sz w:val="20"/>
                <w:szCs w:val="20"/>
                <w:color w:val="auto"/>
              </w:rPr>
            </w:pPr>
            <w:r>
              <w:rPr>
                <w:rFonts w:ascii="Arial" w:cs="Arial" w:eastAsia="Arial" w:hAnsi="Arial"/>
                <w:sz w:val="22"/>
                <w:szCs w:val="22"/>
                <w:color w:val="auto"/>
              </w:rPr>
              <w:t>Effect of Notice of Redemption.</w:t>
            </w:r>
          </w:p>
        </w:tc>
        <w:tc>
          <w:tcPr>
            <w:tcW w:w="19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3.05</w:t>
            </w:r>
          </w:p>
        </w:tc>
        <w:tc>
          <w:tcPr>
            <w:tcW w:w="7680" w:type="dxa"/>
            <w:vAlign w:val="bottom"/>
          </w:tcPr>
          <w:p>
            <w:pPr>
              <w:ind w:left="620"/>
              <w:spacing w:after="0"/>
              <w:rPr>
                <w:sz w:val="20"/>
                <w:szCs w:val="20"/>
                <w:color w:val="auto"/>
              </w:rPr>
            </w:pPr>
            <w:r>
              <w:rPr>
                <w:rFonts w:ascii="Arial" w:cs="Arial" w:eastAsia="Arial" w:hAnsi="Arial"/>
                <w:sz w:val="22"/>
                <w:szCs w:val="22"/>
                <w:color w:val="auto"/>
              </w:rPr>
              <w:t>Deposit of Redemption or Purchase Price.</w:t>
            </w:r>
          </w:p>
        </w:tc>
        <w:tc>
          <w:tcPr>
            <w:tcW w:w="19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3.06</w:t>
            </w:r>
          </w:p>
        </w:tc>
        <w:tc>
          <w:tcPr>
            <w:tcW w:w="7680" w:type="dxa"/>
            <w:vAlign w:val="bottom"/>
          </w:tcPr>
          <w:p>
            <w:pPr>
              <w:ind w:left="620"/>
              <w:spacing w:after="0"/>
              <w:rPr>
                <w:sz w:val="20"/>
                <w:szCs w:val="20"/>
                <w:color w:val="auto"/>
              </w:rPr>
            </w:pPr>
            <w:r>
              <w:rPr>
                <w:rFonts w:ascii="Arial" w:cs="Arial" w:eastAsia="Arial" w:hAnsi="Arial"/>
                <w:sz w:val="22"/>
                <w:szCs w:val="22"/>
                <w:color w:val="auto"/>
              </w:rPr>
              <w:t>Notes Redeemed or Purchased in Part.</w:t>
            </w:r>
          </w:p>
        </w:tc>
        <w:tc>
          <w:tcPr>
            <w:tcW w:w="19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3.07</w:t>
            </w:r>
          </w:p>
        </w:tc>
        <w:tc>
          <w:tcPr>
            <w:tcW w:w="7680" w:type="dxa"/>
            <w:vAlign w:val="bottom"/>
          </w:tcPr>
          <w:p>
            <w:pPr>
              <w:ind w:left="620"/>
              <w:spacing w:after="0"/>
              <w:rPr>
                <w:sz w:val="20"/>
                <w:szCs w:val="20"/>
                <w:color w:val="auto"/>
              </w:rPr>
            </w:pPr>
            <w:r>
              <w:rPr>
                <w:rFonts w:ascii="Arial" w:cs="Arial" w:eastAsia="Arial" w:hAnsi="Arial"/>
                <w:sz w:val="22"/>
                <w:szCs w:val="22"/>
                <w:color w:val="auto"/>
              </w:rPr>
              <w:t>Optional Redemption.</w:t>
            </w:r>
          </w:p>
        </w:tc>
        <w:tc>
          <w:tcPr>
            <w:tcW w:w="19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3.08</w:t>
            </w:r>
          </w:p>
        </w:tc>
        <w:tc>
          <w:tcPr>
            <w:tcW w:w="7680" w:type="dxa"/>
            <w:vAlign w:val="bottom"/>
          </w:tcPr>
          <w:p>
            <w:pPr>
              <w:ind w:left="620"/>
              <w:spacing w:after="0"/>
              <w:rPr>
                <w:sz w:val="20"/>
                <w:szCs w:val="20"/>
                <w:color w:val="auto"/>
              </w:rPr>
            </w:pPr>
            <w:r>
              <w:rPr>
                <w:rFonts w:ascii="Arial" w:cs="Arial" w:eastAsia="Arial" w:hAnsi="Arial"/>
                <w:sz w:val="22"/>
                <w:szCs w:val="22"/>
                <w:color w:val="auto"/>
              </w:rPr>
              <w:t>Mandatory Redemption.</w:t>
            </w:r>
          </w:p>
        </w:tc>
        <w:tc>
          <w:tcPr>
            <w:tcW w:w="19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3.09</w:t>
            </w:r>
          </w:p>
        </w:tc>
        <w:tc>
          <w:tcPr>
            <w:tcW w:w="7680" w:type="dxa"/>
            <w:vAlign w:val="bottom"/>
          </w:tcPr>
          <w:p>
            <w:pPr>
              <w:ind w:left="620"/>
              <w:spacing w:after="0"/>
              <w:rPr>
                <w:sz w:val="20"/>
                <w:szCs w:val="20"/>
                <w:color w:val="auto"/>
              </w:rPr>
            </w:pPr>
            <w:r>
              <w:rPr>
                <w:rFonts w:ascii="Arial" w:cs="Arial" w:eastAsia="Arial" w:hAnsi="Arial"/>
                <w:sz w:val="22"/>
                <w:szCs w:val="22"/>
                <w:color w:val="auto"/>
              </w:rPr>
              <w:t>Mandatory Disposition or Redemption Pursuant to Gaming Laws.</w:t>
            </w:r>
          </w:p>
        </w:tc>
        <w:tc>
          <w:tcPr>
            <w:tcW w:w="1920" w:type="dxa"/>
            <w:vAlign w:val="bottom"/>
          </w:tcPr>
          <w:p>
            <w:pPr>
              <w:jc w:val="right"/>
              <w:spacing w:after="0"/>
              <w:rPr>
                <w:sz w:val="20"/>
                <w:szCs w:val="20"/>
                <w:color w:val="auto"/>
              </w:rPr>
            </w:pPr>
            <w:r>
              <w:rPr>
                <w:rFonts w:ascii="Arial" w:cs="Arial" w:eastAsia="Arial" w:hAnsi="Arial"/>
                <w:sz w:val="22"/>
                <w:szCs w:val="22"/>
                <w:color w:val="auto"/>
              </w:rPr>
              <w:t>38</w:t>
            </w:r>
          </w:p>
        </w:tc>
      </w:tr>
    </w:tbl>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4.</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COVENANTS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9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1680" w:type="dxa"/>
            <w:vAlign w:val="bottom"/>
          </w:tcPr>
          <w:p>
            <w:pPr>
              <w:spacing w:after="0"/>
              <w:rPr>
                <w:sz w:val="20"/>
                <w:szCs w:val="20"/>
                <w:color w:val="auto"/>
              </w:rPr>
            </w:pPr>
            <w:r>
              <w:rPr>
                <w:rFonts w:ascii="Arial" w:cs="Arial" w:eastAsia="Arial" w:hAnsi="Arial"/>
                <w:sz w:val="22"/>
                <w:szCs w:val="22"/>
                <w:color w:val="auto"/>
              </w:rPr>
              <w:t>Section 4.01</w:t>
            </w:r>
          </w:p>
        </w:tc>
        <w:tc>
          <w:tcPr>
            <w:tcW w:w="7420" w:type="dxa"/>
            <w:vAlign w:val="bottom"/>
          </w:tcPr>
          <w:p>
            <w:pPr>
              <w:ind w:left="620"/>
              <w:spacing w:after="0"/>
              <w:rPr>
                <w:sz w:val="20"/>
                <w:szCs w:val="20"/>
                <w:color w:val="auto"/>
              </w:rPr>
            </w:pPr>
            <w:r>
              <w:rPr>
                <w:rFonts w:ascii="Arial" w:cs="Arial" w:eastAsia="Arial" w:hAnsi="Arial"/>
                <w:sz w:val="22"/>
                <w:szCs w:val="22"/>
                <w:color w:val="auto"/>
              </w:rPr>
              <w:t>Payment of Notes.</w:t>
            </w:r>
          </w:p>
        </w:tc>
        <w:tc>
          <w:tcPr>
            <w:tcW w:w="21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4.02</w:t>
            </w:r>
          </w:p>
        </w:tc>
        <w:tc>
          <w:tcPr>
            <w:tcW w:w="7420" w:type="dxa"/>
            <w:vAlign w:val="bottom"/>
          </w:tcPr>
          <w:p>
            <w:pPr>
              <w:ind w:left="620"/>
              <w:spacing w:after="0"/>
              <w:rPr>
                <w:sz w:val="20"/>
                <w:szCs w:val="20"/>
                <w:color w:val="auto"/>
              </w:rPr>
            </w:pPr>
            <w:r>
              <w:rPr>
                <w:rFonts w:ascii="Arial" w:cs="Arial" w:eastAsia="Arial" w:hAnsi="Arial"/>
                <w:sz w:val="22"/>
                <w:szCs w:val="22"/>
                <w:color w:val="auto"/>
              </w:rPr>
              <w:t>Maintenance of Office or Agency.</w:t>
            </w:r>
          </w:p>
        </w:tc>
        <w:tc>
          <w:tcPr>
            <w:tcW w:w="21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4.03</w:t>
            </w:r>
          </w:p>
        </w:tc>
        <w:tc>
          <w:tcPr>
            <w:tcW w:w="7420" w:type="dxa"/>
            <w:vAlign w:val="bottom"/>
          </w:tcPr>
          <w:p>
            <w:pPr>
              <w:ind w:left="620"/>
              <w:spacing w:after="0"/>
              <w:rPr>
                <w:sz w:val="20"/>
                <w:szCs w:val="20"/>
                <w:color w:val="auto"/>
              </w:rPr>
            </w:pPr>
            <w:r>
              <w:rPr>
                <w:rFonts w:ascii="Arial" w:cs="Arial" w:eastAsia="Arial" w:hAnsi="Arial"/>
                <w:sz w:val="22"/>
                <w:szCs w:val="22"/>
                <w:color w:val="auto"/>
              </w:rPr>
              <w:t>Reports.</w:t>
            </w:r>
          </w:p>
        </w:tc>
        <w:tc>
          <w:tcPr>
            <w:tcW w:w="21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4.04</w:t>
            </w:r>
          </w:p>
        </w:tc>
        <w:tc>
          <w:tcPr>
            <w:tcW w:w="7420" w:type="dxa"/>
            <w:vAlign w:val="bottom"/>
          </w:tcPr>
          <w:p>
            <w:pPr>
              <w:ind w:left="620"/>
              <w:spacing w:after="0"/>
              <w:rPr>
                <w:sz w:val="20"/>
                <w:szCs w:val="20"/>
                <w:color w:val="auto"/>
              </w:rPr>
            </w:pPr>
            <w:r>
              <w:rPr>
                <w:rFonts w:ascii="Arial" w:cs="Arial" w:eastAsia="Arial" w:hAnsi="Arial"/>
                <w:sz w:val="22"/>
                <w:szCs w:val="22"/>
                <w:color w:val="auto"/>
              </w:rPr>
              <w:t>Compliance Certificate.</w:t>
            </w:r>
          </w:p>
        </w:tc>
        <w:tc>
          <w:tcPr>
            <w:tcW w:w="21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4.05</w:t>
            </w:r>
          </w:p>
        </w:tc>
        <w:tc>
          <w:tcPr>
            <w:tcW w:w="7420" w:type="dxa"/>
            <w:vAlign w:val="bottom"/>
          </w:tcPr>
          <w:p>
            <w:pPr>
              <w:ind w:left="620"/>
              <w:spacing w:after="0"/>
              <w:rPr>
                <w:sz w:val="20"/>
                <w:szCs w:val="20"/>
                <w:color w:val="auto"/>
              </w:rPr>
            </w:pPr>
            <w:r>
              <w:rPr>
                <w:rFonts w:ascii="Arial" w:cs="Arial" w:eastAsia="Arial" w:hAnsi="Arial"/>
                <w:sz w:val="22"/>
                <w:szCs w:val="22"/>
                <w:color w:val="auto"/>
              </w:rPr>
              <w:t>Taxes.</w:t>
            </w:r>
          </w:p>
        </w:tc>
        <w:tc>
          <w:tcPr>
            <w:tcW w:w="21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4.06</w:t>
            </w:r>
          </w:p>
        </w:tc>
        <w:tc>
          <w:tcPr>
            <w:tcW w:w="7420" w:type="dxa"/>
            <w:vAlign w:val="bottom"/>
          </w:tcPr>
          <w:p>
            <w:pPr>
              <w:ind w:left="620"/>
              <w:spacing w:after="0"/>
              <w:rPr>
                <w:sz w:val="20"/>
                <w:szCs w:val="20"/>
                <w:color w:val="auto"/>
              </w:rPr>
            </w:pPr>
            <w:r>
              <w:rPr>
                <w:rFonts w:ascii="Arial" w:cs="Arial" w:eastAsia="Arial" w:hAnsi="Arial"/>
                <w:sz w:val="22"/>
                <w:szCs w:val="22"/>
                <w:color w:val="auto"/>
              </w:rPr>
              <w:t>Stay, Extension and Usury Laws.</w:t>
            </w:r>
          </w:p>
        </w:tc>
        <w:tc>
          <w:tcPr>
            <w:tcW w:w="21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4.07</w:t>
            </w:r>
          </w:p>
        </w:tc>
        <w:tc>
          <w:tcPr>
            <w:tcW w:w="7420" w:type="dxa"/>
            <w:vAlign w:val="bottom"/>
          </w:tcPr>
          <w:p>
            <w:pPr>
              <w:ind w:left="620"/>
              <w:spacing w:after="0"/>
              <w:rPr>
                <w:sz w:val="20"/>
                <w:szCs w:val="20"/>
                <w:color w:val="auto"/>
              </w:rPr>
            </w:pPr>
            <w:r>
              <w:rPr>
                <w:rFonts w:ascii="Arial" w:cs="Arial" w:eastAsia="Arial" w:hAnsi="Arial"/>
                <w:sz w:val="22"/>
                <w:szCs w:val="22"/>
                <w:color w:val="auto"/>
              </w:rPr>
              <w:t>Limitation on Liens Securing Indebtedness</w:t>
            </w:r>
          </w:p>
        </w:tc>
        <w:tc>
          <w:tcPr>
            <w:tcW w:w="21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4.08</w:t>
            </w:r>
          </w:p>
        </w:tc>
        <w:tc>
          <w:tcPr>
            <w:tcW w:w="7420" w:type="dxa"/>
            <w:vAlign w:val="bottom"/>
          </w:tcPr>
          <w:p>
            <w:pPr>
              <w:ind w:left="620"/>
              <w:spacing w:after="0"/>
              <w:rPr>
                <w:sz w:val="20"/>
                <w:szCs w:val="20"/>
                <w:color w:val="auto"/>
              </w:rPr>
            </w:pPr>
            <w:r>
              <w:rPr>
                <w:rFonts w:ascii="Arial" w:cs="Arial" w:eastAsia="Arial" w:hAnsi="Arial"/>
                <w:sz w:val="22"/>
                <w:szCs w:val="22"/>
                <w:color w:val="auto"/>
              </w:rPr>
              <w:t>Limitation on Sale and Lease-Back Transactions.</w:t>
            </w:r>
          </w:p>
        </w:tc>
        <w:tc>
          <w:tcPr>
            <w:tcW w:w="21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4.09</w:t>
            </w:r>
          </w:p>
        </w:tc>
        <w:tc>
          <w:tcPr>
            <w:tcW w:w="7420" w:type="dxa"/>
            <w:vAlign w:val="bottom"/>
          </w:tcPr>
          <w:p>
            <w:pPr>
              <w:ind w:left="620"/>
              <w:spacing w:after="0"/>
              <w:rPr>
                <w:sz w:val="20"/>
                <w:szCs w:val="20"/>
                <w:color w:val="auto"/>
              </w:rPr>
            </w:pPr>
            <w:r>
              <w:rPr>
                <w:rFonts w:ascii="Arial" w:cs="Arial" w:eastAsia="Arial" w:hAnsi="Arial"/>
                <w:sz w:val="22"/>
                <w:szCs w:val="22"/>
                <w:color w:val="auto"/>
              </w:rPr>
              <w:t>Exempted Liens and Sale and Lease-Back Transactions.</w:t>
            </w:r>
          </w:p>
        </w:tc>
        <w:tc>
          <w:tcPr>
            <w:tcW w:w="21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4.10</w:t>
            </w:r>
          </w:p>
        </w:tc>
        <w:tc>
          <w:tcPr>
            <w:tcW w:w="7420" w:type="dxa"/>
            <w:vAlign w:val="bottom"/>
          </w:tcPr>
          <w:p>
            <w:pPr>
              <w:ind w:left="620"/>
              <w:spacing w:after="0"/>
              <w:rPr>
                <w:sz w:val="20"/>
                <w:szCs w:val="20"/>
                <w:color w:val="auto"/>
              </w:rPr>
            </w:pPr>
            <w:r>
              <w:rPr>
                <w:rFonts w:ascii="Arial" w:cs="Arial" w:eastAsia="Arial" w:hAnsi="Arial"/>
                <w:sz w:val="22"/>
                <w:szCs w:val="22"/>
                <w:color w:val="auto"/>
              </w:rPr>
              <w:t>Corporate and Organizational Existence.</w:t>
            </w:r>
          </w:p>
        </w:tc>
        <w:tc>
          <w:tcPr>
            <w:tcW w:w="21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4.11</w:t>
            </w:r>
          </w:p>
        </w:tc>
        <w:tc>
          <w:tcPr>
            <w:tcW w:w="7420" w:type="dxa"/>
            <w:vAlign w:val="bottom"/>
          </w:tcPr>
          <w:p>
            <w:pPr>
              <w:ind w:left="620"/>
              <w:spacing w:after="0"/>
              <w:rPr>
                <w:sz w:val="20"/>
                <w:szCs w:val="20"/>
                <w:color w:val="auto"/>
              </w:rPr>
            </w:pPr>
            <w:r>
              <w:rPr>
                <w:rFonts w:ascii="Arial" w:cs="Arial" w:eastAsia="Arial" w:hAnsi="Arial"/>
                <w:sz w:val="22"/>
                <w:szCs w:val="22"/>
                <w:color w:val="auto"/>
              </w:rPr>
              <w:t>Offer to Purchase Upon Change of Control.</w:t>
            </w:r>
          </w:p>
        </w:tc>
        <w:tc>
          <w:tcPr>
            <w:tcW w:w="21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621"/>
        </w:trPr>
        <w:tc>
          <w:tcPr>
            <w:tcW w:w="1680" w:type="dxa"/>
            <w:vAlign w:val="bottom"/>
          </w:tcPr>
          <w:p>
            <w:pPr>
              <w:spacing w:after="0"/>
              <w:rPr>
                <w:sz w:val="24"/>
                <w:szCs w:val="24"/>
                <w:color w:val="auto"/>
              </w:rPr>
            </w:pPr>
          </w:p>
        </w:tc>
        <w:tc>
          <w:tcPr>
            <w:tcW w:w="7420" w:type="dxa"/>
            <w:vAlign w:val="bottom"/>
          </w:tcPr>
          <w:p>
            <w:pPr>
              <w:jc w:val="center"/>
              <w:ind w:left="472"/>
              <w:spacing w:after="0"/>
              <w:rPr>
                <w:sz w:val="20"/>
                <w:szCs w:val="20"/>
                <w:color w:val="auto"/>
              </w:rPr>
            </w:pPr>
            <w:r>
              <w:rPr>
                <w:rFonts w:ascii="Arial" w:cs="Arial" w:eastAsia="Arial" w:hAnsi="Arial"/>
                <w:sz w:val="22"/>
                <w:szCs w:val="22"/>
                <w:color w:val="auto"/>
                <w:w w:val="95"/>
              </w:rPr>
              <w:t>ARTICLE 5.</w:t>
            </w:r>
          </w:p>
        </w:tc>
        <w:tc>
          <w:tcPr>
            <w:tcW w:w="2180" w:type="dxa"/>
            <w:vAlign w:val="bottom"/>
          </w:tcPr>
          <w:p>
            <w:pPr>
              <w:spacing w:after="0"/>
              <w:rPr>
                <w:sz w:val="24"/>
                <w:szCs w:val="24"/>
                <w:color w:val="auto"/>
              </w:rPr>
            </w:pPr>
          </w:p>
        </w:tc>
      </w:tr>
      <w:tr>
        <w:trPr>
          <w:trHeight w:val="297"/>
        </w:trPr>
        <w:tc>
          <w:tcPr>
            <w:tcW w:w="1680" w:type="dxa"/>
            <w:vAlign w:val="bottom"/>
          </w:tcPr>
          <w:p>
            <w:pPr>
              <w:spacing w:after="0"/>
              <w:rPr>
                <w:sz w:val="24"/>
                <w:szCs w:val="24"/>
                <w:color w:val="auto"/>
              </w:rPr>
            </w:pPr>
          </w:p>
        </w:tc>
        <w:tc>
          <w:tcPr>
            <w:tcW w:w="7420" w:type="dxa"/>
            <w:vAlign w:val="bottom"/>
          </w:tcPr>
          <w:p>
            <w:pPr>
              <w:jc w:val="center"/>
              <w:ind w:left="472"/>
              <w:spacing w:after="0"/>
              <w:rPr>
                <w:sz w:val="20"/>
                <w:szCs w:val="20"/>
                <w:color w:val="auto"/>
              </w:rPr>
            </w:pPr>
            <w:r>
              <w:rPr>
                <w:rFonts w:ascii="Arial" w:cs="Arial" w:eastAsia="Arial" w:hAnsi="Arial"/>
                <w:sz w:val="22"/>
                <w:szCs w:val="22"/>
                <w:color w:val="auto"/>
                <w:w w:val="88"/>
              </w:rPr>
              <w:t>SUCCESSORS</w:t>
            </w:r>
          </w:p>
        </w:tc>
        <w:tc>
          <w:tcPr>
            <w:tcW w:w="2180" w:type="dxa"/>
            <w:vAlign w:val="bottom"/>
          </w:tcPr>
          <w:p>
            <w:pPr>
              <w:spacing w:after="0"/>
              <w:rPr>
                <w:sz w:val="24"/>
                <w:szCs w:val="24"/>
                <w:color w:val="auto"/>
              </w:rPr>
            </w:pPr>
          </w:p>
        </w:tc>
      </w:tr>
      <w:tr>
        <w:trPr>
          <w:trHeight w:val="621"/>
        </w:trPr>
        <w:tc>
          <w:tcPr>
            <w:tcW w:w="1680" w:type="dxa"/>
            <w:vAlign w:val="bottom"/>
          </w:tcPr>
          <w:p>
            <w:pPr>
              <w:spacing w:after="0"/>
              <w:rPr>
                <w:sz w:val="20"/>
                <w:szCs w:val="20"/>
                <w:color w:val="auto"/>
              </w:rPr>
            </w:pPr>
            <w:r>
              <w:rPr>
                <w:rFonts w:ascii="Arial" w:cs="Arial" w:eastAsia="Arial" w:hAnsi="Arial"/>
                <w:sz w:val="22"/>
                <w:szCs w:val="22"/>
                <w:color w:val="auto"/>
              </w:rPr>
              <w:t>Section 5.01</w:t>
            </w:r>
          </w:p>
        </w:tc>
        <w:tc>
          <w:tcPr>
            <w:tcW w:w="7420" w:type="dxa"/>
            <w:vAlign w:val="bottom"/>
          </w:tcPr>
          <w:p>
            <w:pPr>
              <w:ind w:left="620"/>
              <w:spacing w:after="0"/>
              <w:rPr>
                <w:sz w:val="20"/>
                <w:szCs w:val="20"/>
                <w:color w:val="auto"/>
              </w:rPr>
            </w:pPr>
            <w:r>
              <w:rPr>
                <w:rFonts w:ascii="Arial" w:cs="Arial" w:eastAsia="Arial" w:hAnsi="Arial"/>
                <w:sz w:val="22"/>
                <w:szCs w:val="22"/>
                <w:color w:val="auto"/>
              </w:rPr>
              <w:t>Merger, Consolidation, or Sale of Assets.</w:t>
            </w:r>
          </w:p>
        </w:tc>
        <w:tc>
          <w:tcPr>
            <w:tcW w:w="21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5.02</w:t>
            </w:r>
          </w:p>
        </w:tc>
        <w:tc>
          <w:tcPr>
            <w:tcW w:w="7420" w:type="dxa"/>
            <w:vAlign w:val="bottom"/>
          </w:tcPr>
          <w:p>
            <w:pPr>
              <w:ind w:left="620"/>
              <w:spacing w:after="0"/>
              <w:rPr>
                <w:sz w:val="20"/>
                <w:szCs w:val="20"/>
                <w:color w:val="auto"/>
              </w:rPr>
            </w:pPr>
            <w:r>
              <w:rPr>
                <w:rFonts w:ascii="Arial" w:cs="Arial" w:eastAsia="Arial" w:hAnsi="Arial"/>
                <w:sz w:val="22"/>
                <w:szCs w:val="22"/>
                <w:color w:val="auto"/>
              </w:rPr>
              <w:t>Successor Corporation Substituted.</w:t>
            </w:r>
          </w:p>
        </w:tc>
        <w:tc>
          <w:tcPr>
            <w:tcW w:w="21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621"/>
        </w:trPr>
        <w:tc>
          <w:tcPr>
            <w:tcW w:w="1680" w:type="dxa"/>
            <w:vAlign w:val="bottom"/>
          </w:tcPr>
          <w:p>
            <w:pPr>
              <w:spacing w:after="0"/>
              <w:rPr>
                <w:sz w:val="24"/>
                <w:szCs w:val="24"/>
                <w:color w:val="auto"/>
              </w:rPr>
            </w:pPr>
          </w:p>
        </w:tc>
        <w:tc>
          <w:tcPr>
            <w:tcW w:w="7420" w:type="dxa"/>
            <w:vAlign w:val="bottom"/>
          </w:tcPr>
          <w:p>
            <w:pPr>
              <w:jc w:val="center"/>
              <w:ind w:left="472"/>
              <w:spacing w:after="0"/>
              <w:rPr>
                <w:sz w:val="20"/>
                <w:szCs w:val="20"/>
                <w:color w:val="auto"/>
              </w:rPr>
            </w:pPr>
            <w:r>
              <w:rPr>
                <w:rFonts w:ascii="Arial" w:cs="Arial" w:eastAsia="Arial" w:hAnsi="Arial"/>
                <w:sz w:val="22"/>
                <w:szCs w:val="22"/>
                <w:color w:val="auto"/>
                <w:w w:val="95"/>
              </w:rPr>
              <w:t>ARTICLE 6.</w:t>
            </w:r>
          </w:p>
        </w:tc>
        <w:tc>
          <w:tcPr>
            <w:tcW w:w="2180" w:type="dxa"/>
            <w:vAlign w:val="bottom"/>
          </w:tcPr>
          <w:p>
            <w:pPr>
              <w:spacing w:after="0"/>
              <w:rPr>
                <w:sz w:val="24"/>
                <w:szCs w:val="24"/>
                <w:color w:val="auto"/>
              </w:rPr>
            </w:pPr>
          </w:p>
        </w:tc>
      </w:tr>
      <w:tr>
        <w:trPr>
          <w:trHeight w:val="297"/>
        </w:trPr>
        <w:tc>
          <w:tcPr>
            <w:tcW w:w="1680" w:type="dxa"/>
            <w:vAlign w:val="bottom"/>
          </w:tcPr>
          <w:p>
            <w:pPr>
              <w:spacing w:after="0"/>
              <w:rPr>
                <w:sz w:val="24"/>
                <w:szCs w:val="24"/>
                <w:color w:val="auto"/>
              </w:rPr>
            </w:pPr>
          </w:p>
        </w:tc>
        <w:tc>
          <w:tcPr>
            <w:tcW w:w="7420" w:type="dxa"/>
            <w:vAlign w:val="bottom"/>
          </w:tcPr>
          <w:p>
            <w:pPr>
              <w:jc w:val="center"/>
              <w:ind w:left="472"/>
              <w:spacing w:after="0"/>
              <w:rPr>
                <w:sz w:val="20"/>
                <w:szCs w:val="20"/>
                <w:color w:val="auto"/>
              </w:rPr>
            </w:pPr>
            <w:r>
              <w:rPr>
                <w:rFonts w:ascii="Arial" w:cs="Arial" w:eastAsia="Arial" w:hAnsi="Arial"/>
                <w:sz w:val="22"/>
                <w:szCs w:val="22"/>
                <w:color w:val="auto"/>
                <w:w w:val="94"/>
              </w:rPr>
              <w:t>DEFAULTS AND REMEDIES</w:t>
            </w:r>
          </w:p>
        </w:tc>
        <w:tc>
          <w:tcPr>
            <w:tcW w:w="2180" w:type="dxa"/>
            <w:vAlign w:val="bottom"/>
          </w:tcPr>
          <w:p>
            <w:pPr>
              <w:spacing w:after="0"/>
              <w:rPr>
                <w:sz w:val="24"/>
                <w:szCs w:val="24"/>
                <w:color w:val="auto"/>
              </w:rPr>
            </w:pPr>
          </w:p>
        </w:tc>
      </w:tr>
      <w:tr>
        <w:trPr>
          <w:trHeight w:val="621"/>
        </w:trPr>
        <w:tc>
          <w:tcPr>
            <w:tcW w:w="1680" w:type="dxa"/>
            <w:vAlign w:val="bottom"/>
          </w:tcPr>
          <w:p>
            <w:pPr>
              <w:spacing w:after="0"/>
              <w:rPr>
                <w:sz w:val="20"/>
                <w:szCs w:val="20"/>
                <w:color w:val="auto"/>
              </w:rPr>
            </w:pPr>
            <w:r>
              <w:rPr>
                <w:rFonts w:ascii="Arial" w:cs="Arial" w:eastAsia="Arial" w:hAnsi="Arial"/>
                <w:sz w:val="22"/>
                <w:szCs w:val="22"/>
                <w:color w:val="auto"/>
              </w:rPr>
              <w:t>Section 6.01</w:t>
            </w:r>
          </w:p>
        </w:tc>
        <w:tc>
          <w:tcPr>
            <w:tcW w:w="7420" w:type="dxa"/>
            <w:vAlign w:val="bottom"/>
          </w:tcPr>
          <w:p>
            <w:pPr>
              <w:ind w:left="620"/>
              <w:spacing w:after="0"/>
              <w:rPr>
                <w:sz w:val="20"/>
                <w:szCs w:val="20"/>
                <w:color w:val="auto"/>
              </w:rPr>
            </w:pPr>
            <w:r>
              <w:rPr>
                <w:rFonts w:ascii="Arial" w:cs="Arial" w:eastAsia="Arial" w:hAnsi="Arial"/>
                <w:sz w:val="22"/>
                <w:szCs w:val="22"/>
                <w:color w:val="auto"/>
              </w:rPr>
              <w:t>Events of Default.</w:t>
            </w:r>
          </w:p>
        </w:tc>
        <w:tc>
          <w:tcPr>
            <w:tcW w:w="21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6.02</w:t>
            </w:r>
          </w:p>
        </w:tc>
        <w:tc>
          <w:tcPr>
            <w:tcW w:w="7420" w:type="dxa"/>
            <w:vAlign w:val="bottom"/>
          </w:tcPr>
          <w:p>
            <w:pPr>
              <w:ind w:left="620"/>
              <w:spacing w:after="0"/>
              <w:rPr>
                <w:sz w:val="20"/>
                <w:szCs w:val="20"/>
                <w:color w:val="auto"/>
              </w:rPr>
            </w:pPr>
            <w:r>
              <w:rPr>
                <w:rFonts w:ascii="Arial" w:cs="Arial" w:eastAsia="Arial" w:hAnsi="Arial"/>
                <w:sz w:val="22"/>
                <w:szCs w:val="22"/>
                <w:color w:val="auto"/>
              </w:rPr>
              <w:t>Acceleration.</w:t>
            </w:r>
          </w:p>
        </w:tc>
        <w:tc>
          <w:tcPr>
            <w:tcW w:w="21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6.03</w:t>
            </w:r>
          </w:p>
        </w:tc>
        <w:tc>
          <w:tcPr>
            <w:tcW w:w="7420" w:type="dxa"/>
            <w:vAlign w:val="bottom"/>
          </w:tcPr>
          <w:p>
            <w:pPr>
              <w:ind w:left="620"/>
              <w:spacing w:after="0"/>
              <w:rPr>
                <w:sz w:val="20"/>
                <w:szCs w:val="20"/>
                <w:color w:val="auto"/>
              </w:rPr>
            </w:pPr>
            <w:r>
              <w:rPr>
                <w:rFonts w:ascii="Arial" w:cs="Arial" w:eastAsia="Arial" w:hAnsi="Arial"/>
                <w:sz w:val="22"/>
                <w:szCs w:val="22"/>
                <w:color w:val="auto"/>
              </w:rPr>
              <w:t>Other Remedies.</w:t>
            </w:r>
          </w:p>
        </w:tc>
        <w:tc>
          <w:tcPr>
            <w:tcW w:w="21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6.04</w:t>
            </w:r>
          </w:p>
        </w:tc>
        <w:tc>
          <w:tcPr>
            <w:tcW w:w="7420" w:type="dxa"/>
            <w:vAlign w:val="bottom"/>
          </w:tcPr>
          <w:p>
            <w:pPr>
              <w:ind w:left="620"/>
              <w:spacing w:after="0"/>
              <w:rPr>
                <w:sz w:val="20"/>
                <w:szCs w:val="20"/>
                <w:color w:val="auto"/>
              </w:rPr>
            </w:pPr>
            <w:r>
              <w:rPr>
                <w:rFonts w:ascii="Arial" w:cs="Arial" w:eastAsia="Arial" w:hAnsi="Arial"/>
                <w:sz w:val="22"/>
                <w:szCs w:val="22"/>
                <w:color w:val="auto"/>
              </w:rPr>
              <w:t>Waiver of Past Defaults.</w:t>
            </w:r>
          </w:p>
        </w:tc>
        <w:tc>
          <w:tcPr>
            <w:tcW w:w="21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6.05</w:t>
            </w:r>
          </w:p>
        </w:tc>
        <w:tc>
          <w:tcPr>
            <w:tcW w:w="7420" w:type="dxa"/>
            <w:vAlign w:val="bottom"/>
          </w:tcPr>
          <w:p>
            <w:pPr>
              <w:ind w:left="620"/>
              <w:spacing w:after="0"/>
              <w:rPr>
                <w:sz w:val="20"/>
                <w:szCs w:val="20"/>
                <w:color w:val="auto"/>
              </w:rPr>
            </w:pPr>
            <w:r>
              <w:rPr>
                <w:rFonts w:ascii="Arial" w:cs="Arial" w:eastAsia="Arial" w:hAnsi="Arial"/>
                <w:sz w:val="22"/>
                <w:szCs w:val="22"/>
                <w:color w:val="auto"/>
              </w:rPr>
              <w:t>Control by Majority.</w:t>
            </w:r>
          </w:p>
        </w:tc>
        <w:tc>
          <w:tcPr>
            <w:tcW w:w="21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6.06</w:t>
            </w:r>
          </w:p>
        </w:tc>
        <w:tc>
          <w:tcPr>
            <w:tcW w:w="7420" w:type="dxa"/>
            <w:vAlign w:val="bottom"/>
          </w:tcPr>
          <w:p>
            <w:pPr>
              <w:ind w:left="620"/>
              <w:spacing w:after="0"/>
              <w:rPr>
                <w:sz w:val="20"/>
                <w:szCs w:val="20"/>
                <w:color w:val="auto"/>
              </w:rPr>
            </w:pPr>
            <w:r>
              <w:rPr>
                <w:rFonts w:ascii="Arial" w:cs="Arial" w:eastAsia="Arial" w:hAnsi="Arial"/>
                <w:sz w:val="22"/>
                <w:szCs w:val="22"/>
                <w:color w:val="auto"/>
              </w:rPr>
              <w:t>Limitation on Suits.</w:t>
            </w:r>
          </w:p>
        </w:tc>
        <w:tc>
          <w:tcPr>
            <w:tcW w:w="21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6.07</w:t>
            </w:r>
          </w:p>
        </w:tc>
        <w:tc>
          <w:tcPr>
            <w:tcW w:w="7420" w:type="dxa"/>
            <w:vAlign w:val="bottom"/>
          </w:tcPr>
          <w:p>
            <w:pPr>
              <w:ind w:left="620"/>
              <w:spacing w:after="0"/>
              <w:rPr>
                <w:sz w:val="20"/>
                <w:szCs w:val="20"/>
                <w:color w:val="auto"/>
              </w:rPr>
            </w:pPr>
            <w:r>
              <w:rPr>
                <w:rFonts w:ascii="Arial" w:cs="Arial" w:eastAsia="Arial" w:hAnsi="Arial"/>
                <w:sz w:val="22"/>
                <w:szCs w:val="22"/>
                <w:color w:val="auto"/>
              </w:rPr>
              <w:t>Rights of Holders of Notes to Receive Payment.</w:t>
            </w:r>
          </w:p>
        </w:tc>
        <w:tc>
          <w:tcPr>
            <w:tcW w:w="21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6.08</w:t>
            </w:r>
          </w:p>
        </w:tc>
        <w:tc>
          <w:tcPr>
            <w:tcW w:w="7420" w:type="dxa"/>
            <w:vAlign w:val="bottom"/>
          </w:tcPr>
          <w:p>
            <w:pPr>
              <w:ind w:left="620"/>
              <w:spacing w:after="0"/>
              <w:rPr>
                <w:sz w:val="20"/>
                <w:szCs w:val="20"/>
                <w:color w:val="auto"/>
              </w:rPr>
            </w:pPr>
            <w:r>
              <w:rPr>
                <w:rFonts w:ascii="Arial" w:cs="Arial" w:eastAsia="Arial" w:hAnsi="Arial"/>
                <w:sz w:val="22"/>
                <w:szCs w:val="22"/>
                <w:color w:val="auto"/>
              </w:rPr>
              <w:t>Collection Suit by Trustee.</w:t>
            </w:r>
          </w:p>
        </w:tc>
        <w:tc>
          <w:tcPr>
            <w:tcW w:w="21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6.09</w:t>
            </w:r>
          </w:p>
        </w:tc>
        <w:tc>
          <w:tcPr>
            <w:tcW w:w="7420" w:type="dxa"/>
            <w:vAlign w:val="bottom"/>
          </w:tcPr>
          <w:p>
            <w:pPr>
              <w:ind w:left="620"/>
              <w:spacing w:after="0"/>
              <w:rPr>
                <w:sz w:val="20"/>
                <w:szCs w:val="20"/>
                <w:color w:val="auto"/>
              </w:rPr>
            </w:pPr>
            <w:r>
              <w:rPr>
                <w:rFonts w:ascii="Arial" w:cs="Arial" w:eastAsia="Arial" w:hAnsi="Arial"/>
                <w:sz w:val="22"/>
                <w:szCs w:val="22"/>
                <w:color w:val="auto"/>
              </w:rPr>
              <w:t>Trustee May File Proofs of Claim.</w:t>
            </w:r>
          </w:p>
        </w:tc>
        <w:tc>
          <w:tcPr>
            <w:tcW w:w="21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6.10</w:t>
            </w:r>
          </w:p>
        </w:tc>
        <w:tc>
          <w:tcPr>
            <w:tcW w:w="7420" w:type="dxa"/>
            <w:vAlign w:val="bottom"/>
          </w:tcPr>
          <w:p>
            <w:pPr>
              <w:ind w:left="620"/>
              <w:spacing w:after="0"/>
              <w:rPr>
                <w:sz w:val="20"/>
                <w:szCs w:val="20"/>
                <w:color w:val="auto"/>
              </w:rPr>
            </w:pPr>
            <w:r>
              <w:rPr>
                <w:rFonts w:ascii="Arial" w:cs="Arial" w:eastAsia="Arial" w:hAnsi="Arial"/>
                <w:sz w:val="22"/>
                <w:szCs w:val="22"/>
                <w:color w:val="auto"/>
              </w:rPr>
              <w:t>Priorities.</w:t>
            </w:r>
          </w:p>
        </w:tc>
        <w:tc>
          <w:tcPr>
            <w:tcW w:w="21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6.11</w:t>
            </w:r>
          </w:p>
        </w:tc>
        <w:tc>
          <w:tcPr>
            <w:tcW w:w="7420" w:type="dxa"/>
            <w:vAlign w:val="bottom"/>
          </w:tcPr>
          <w:p>
            <w:pPr>
              <w:ind w:left="620"/>
              <w:spacing w:after="0"/>
              <w:rPr>
                <w:sz w:val="20"/>
                <w:szCs w:val="20"/>
                <w:color w:val="auto"/>
              </w:rPr>
            </w:pPr>
            <w:r>
              <w:rPr>
                <w:rFonts w:ascii="Arial" w:cs="Arial" w:eastAsia="Arial" w:hAnsi="Arial"/>
                <w:sz w:val="22"/>
                <w:szCs w:val="22"/>
                <w:color w:val="auto"/>
              </w:rPr>
              <w:t>Undertaking for Costs.</w:t>
            </w:r>
          </w:p>
        </w:tc>
        <w:tc>
          <w:tcPr>
            <w:tcW w:w="21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621"/>
        </w:trPr>
        <w:tc>
          <w:tcPr>
            <w:tcW w:w="1680" w:type="dxa"/>
            <w:vAlign w:val="bottom"/>
          </w:tcPr>
          <w:p>
            <w:pPr>
              <w:spacing w:after="0"/>
              <w:rPr>
                <w:sz w:val="24"/>
                <w:szCs w:val="24"/>
                <w:color w:val="auto"/>
              </w:rPr>
            </w:pPr>
          </w:p>
        </w:tc>
        <w:tc>
          <w:tcPr>
            <w:tcW w:w="7420" w:type="dxa"/>
            <w:vAlign w:val="bottom"/>
          </w:tcPr>
          <w:p>
            <w:pPr>
              <w:jc w:val="center"/>
              <w:ind w:left="472"/>
              <w:spacing w:after="0"/>
              <w:rPr>
                <w:sz w:val="20"/>
                <w:szCs w:val="20"/>
                <w:color w:val="auto"/>
              </w:rPr>
            </w:pPr>
            <w:r>
              <w:rPr>
                <w:rFonts w:ascii="Arial" w:cs="Arial" w:eastAsia="Arial" w:hAnsi="Arial"/>
                <w:sz w:val="22"/>
                <w:szCs w:val="22"/>
                <w:color w:val="auto"/>
                <w:w w:val="95"/>
              </w:rPr>
              <w:t>ARTICLE 7.</w:t>
            </w:r>
          </w:p>
        </w:tc>
        <w:tc>
          <w:tcPr>
            <w:tcW w:w="2180" w:type="dxa"/>
            <w:vAlign w:val="bottom"/>
          </w:tcPr>
          <w:p>
            <w:pPr>
              <w:spacing w:after="0"/>
              <w:rPr>
                <w:sz w:val="24"/>
                <w:szCs w:val="24"/>
                <w:color w:val="auto"/>
              </w:rPr>
            </w:pPr>
          </w:p>
        </w:tc>
      </w:tr>
      <w:tr>
        <w:trPr>
          <w:trHeight w:val="297"/>
        </w:trPr>
        <w:tc>
          <w:tcPr>
            <w:tcW w:w="1680" w:type="dxa"/>
            <w:vAlign w:val="bottom"/>
          </w:tcPr>
          <w:p>
            <w:pPr>
              <w:spacing w:after="0"/>
              <w:rPr>
                <w:sz w:val="24"/>
                <w:szCs w:val="24"/>
                <w:color w:val="auto"/>
              </w:rPr>
            </w:pPr>
          </w:p>
        </w:tc>
        <w:tc>
          <w:tcPr>
            <w:tcW w:w="7420" w:type="dxa"/>
            <w:vAlign w:val="bottom"/>
          </w:tcPr>
          <w:p>
            <w:pPr>
              <w:jc w:val="center"/>
              <w:ind w:left="452"/>
              <w:spacing w:after="0"/>
              <w:rPr>
                <w:sz w:val="20"/>
                <w:szCs w:val="20"/>
                <w:color w:val="auto"/>
              </w:rPr>
            </w:pPr>
            <w:r>
              <w:rPr>
                <w:rFonts w:ascii="Arial" w:cs="Arial" w:eastAsia="Arial" w:hAnsi="Arial"/>
                <w:sz w:val="22"/>
                <w:szCs w:val="22"/>
                <w:color w:val="auto"/>
                <w:w w:val="91"/>
              </w:rPr>
              <w:t>TRUSTEE</w:t>
            </w:r>
          </w:p>
        </w:tc>
        <w:tc>
          <w:tcPr>
            <w:tcW w:w="2180" w:type="dxa"/>
            <w:vAlign w:val="bottom"/>
          </w:tcPr>
          <w:p>
            <w:pPr>
              <w:spacing w:after="0"/>
              <w:rPr>
                <w:sz w:val="24"/>
                <w:szCs w:val="24"/>
                <w:color w:val="auto"/>
              </w:rPr>
            </w:pPr>
          </w:p>
        </w:tc>
      </w:tr>
      <w:tr>
        <w:trPr>
          <w:trHeight w:val="621"/>
        </w:trPr>
        <w:tc>
          <w:tcPr>
            <w:tcW w:w="1680" w:type="dxa"/>
            <w:vAlign w:val="bottom"/>
          </w:tcPr>
          <w:p>
            <w:pPr>
              <w:spacing w:after="0"/>
              <w:rPr>
                <w:sz w:val="20"/>
                <w:szCs w:val="20"/>
                <w:color w:val="auto"/>
              </w:rPr>
            </w:pPr>
            <w:r>
              <w:rPr>
                <w:rFonts w:ascii="Arial" w:cs="Arial" w:eastAsia="Arial" w:hAnsi="Arial"/>
                <w:sz w:val="22"/>
                <w:szCs w:val="22"/>
                <w:color w:val="auto"/>
              </w:rPr>
              <w:t>Section 7.01</w:t>
            </w:r>
          </w:p>
        </w:tc>
        <w:tc>
          <w:tcPr>
            <w:tcW w:w="7420" w:type="dxa"/>
            <w:vAlign w:val="bottom"/>
          </w:tcPr>
          <w:p>
            <w:pPr>
              <w:ind w:left="620"/>
              <w:spacing w:after="0"/>
              <w:rPr>
                <w:sz w:val="20"/>
                <w:szCs w:val="20"/>
                <w:color w:val="auto"/>
              </w:rPr>
            </w:pPr>
            <w:r>
              <w:rPr>
                <w:rFonts w:ascii="Arial" w:cs="Arial" w:eastAsia="Arial" w:hAnsi="Arial"/>
                <w:sz w:val="22"/>
                <w:szCs w:val="22"/>
                <w:color w:val="auto"/>
              </w:rPr>
              <w:t>Duties of Trustee.</w:t>
            </w:r>
          </w:p>
        </w:tc>
        <w:tc>
          <w:tcPr>
            <w:tcW w:w="21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7.02</w:t>
            </w:r>
          </w:p>
        </w:tc>
        <w:tc>
          <w:tcPr>
            <w:tcW w:w="7420" w:type="dxa"/>
            <w:vAlign w:val="bottom"/>
          </w:tcPr>
          <w:p>
            <w:pPr>
              <w:ind w:left="620"/>
              <w:spacing w:after="0"/>
              <w:rPr>
                <w:sz w:val="20"/>
                <w:szCs w:val="20"/>
                <w:color w:val="auto"/>
              </w:rPr>
            </w:pPr>
            <w:r>
              <w:rPr>
                <w:rFonts w:ascii="Arial" w:cs="Arial" w:eastAsia="Arial" w:hAnsi="Arial"/>
                <w:sz w:val="22"/>
                <w:szCs w:val="22"/>
                <w:color w:val="auto"/>
              </w:rPr>
              <w:t>Rights of Trustee.</w:t>
            </w:r>
          </w:p>
        </w:tc>
        <w:tc>
          <w:tcPr>
            <w:tcW w:w="21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7.03</w:t>
            </w:r>
          </w:p>
        </w:tc>
        <w:tc>
          <w:tcPr>
            <w:tcW w:w="7420" w:type="dxa"/>
            <w:vAlign w:val="bottom"/>
          </w:tcPr>
          <w:p>
            <w:pPr>
              <w:ind w:left="620"/>
              <w:spacing w:after="0"/>
              <w:rPr>
                <w:sz w:val="20"/>
                <w:szCs w:val="20"/>
                <w:color w:val="auto"/>
              </w:rPr>
            </w:pPr>
            <w:r>
              <w:rPr>
                <w:rFonts w:ascii="Arial" w:cs="Arial" w:eastAsia="Arial" w:hAnsi="Arial"/>
                <w:sz w:val="22"/>
                <w:szCs w:val="22"/>
                <w:color w:val="auto"/>
              </w:rPr>
              <w:t>Individual Rights of Trustee.</w:t>
            </w:r>
          </w:p>
        </w:tc>
        <w:tc>
          <w:tcPr>
            <w:tcW w:w="21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7.04</w:t>
            </w:r>
          </w:p>
        </w:tc>
        <w:tc>
          <w:tcPr>
            <w:tcW w:w="7420" w:type="dxa"/>
            <w:vAlign w:val="bottom"/>
          </w:tcPr>
          <w:p>
            <w:pPr>
              <w:ind w:left="620"/>
              <w:spacing w:after="0"/>
              <w:rPr>
                <w:sz w:val="20"/>
                <w:szCs w:val="20"/>
                <w:color w:val="auto"/>
              </w:rPr>
            </w:pPr>
            <w:r>
              <w:rPr>
                <w:rFonts w:ascii="Arial" w:cs="Arial" w:eastAsia="Arial" w:hAnsi="Arial"/>
                <w:sz w:val="22"/>
                <w:szCs w:val="22"/>
                <w:color w:val="auto"/>
              </w:rPr>
              <w:t>Trustee’s Disclaimer.</w:t>
            </w:r>
          </w:p>
        </w:tc>
        <w:tc>
          <w:tcPr>
            <w:tcW w:w="21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7.05</w:t>
            </w:r>
          </w:p>
        </w:tc>
        <w:tc>
          <w:tcPr>
            <w:tcW w:w="7420" w:type="dxa"/>
            <w:vAlign w:val="bottom"/>
          </w:tcPr>
          <w:p>
            <w:pPr>
              <w:ind w:left="620"/>
              <w:spacing w:after="0"/>
              <w:rPr>
                <w:sz w:val="20"/>
                <w:szCs w:val="20"/>
                <w:color w:val="auto"/>
              </w:rPr>
            </w:pPr>
            <w:r>
              <w:rPr>
                <w:rFonts w:ascii="Arial" w:cs="Arial" w:eastAsia="Arial" w:hAnsi="Arial"/>
                <w:sz w:val="22"/>
                <w:szCs w:val="22"/>
                <w:color w:val="auto"/>
              </w:rPr>
              <w:t>Notice of Defaults.</w:t>
            </w:r>
          </w:p>
        </w:tc>
        <w:tc>
          <w:tcPr>
            <w:tcW w:w="2180" w:type="dxa"/>
            <w:vAlign w:val="bottom"/>
          </w:tcPr>
          <w:p>
            <w:pPr>
              <w:jc w:val="right"/>
              <w:spacing w:after="0"/>
              <w:rPr>
                <w:sz w:val="20"/>
                <w:szCs w:val="20"/>
                <w:color w:val="auto"/>
              </w:rPr>
            </w:pPr>
            <w:r>
              <w:rPr>
                <w:rFonts w:ascii="Arial" w:cs="Arial" w:eastAsia="Arial" w:hAnsi="Arial"/>
                <w:sz w:val="22"/>
                <w:szCs w:val="22"/>
                <w:color w:val="auto"/>
              </w:rPr>
              <w:t>56</w:t>
            </w:r>
          </w:p>
        </w:tc>
      </w:tr>
    </w:tbl>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132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Section 7.06</w:t>
            </w:r>
          </w:p>
        </w:tc>
        <w:tc>
          <w:tcPr>
            <w:tcW w:w="8700" w:type="dxa"/>
            <w:vAlign w:val="bottom"/>
          </w:tcPr>
          <w:p>
            <w:pPr>
              <w:ind w:left="560"/>
              <w:spacing w:after="0"/>
              <w:rPr>
                <w:sz w:val="20"/>
                <w:szCs w:val="20"/>
                <w:color w:val="auto"/>
              </w:rPr>
            </w:pPr>
            <w:r>
              <w:rPr>
                <w:rFonts w:ascii="Arial" w:cs="Arial" w:eastAsia="Arial" w:hAnsi="Arial"/>
                <w:sz w:val="22"/>
                <w:szCs w:val="22"/>
                <w:color w:val="auto"/>
              </w:rPr>
              <w:t>Compensation and Indemnity.</w:t>
            </w:r>
          </w:p>
        </w:tc>
        <w:tc>
          <w:tcPr>
            <w:tcW w:w="8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7.07</w:t>
            </w:r>
          </w:p>
        </w:tc>
        <w:tc>
          <w:tcPr>
            <w:tcW w:w="8700" w:type="dxa"/>
            <w:vAlign w:val="bottom"/>
          </w:tcPr>
          <w:p>
            <w:pPr>
              <w:ind w:left="560"/>
              <w:spacing w:after="0"/>
              <w:rPr>
                <w:sz w:val="20"/>
                <w:szCs w:val="20"/>
                <w:color w:val="auto"/>
              </w:rPr>
            </w:pPr>
            <w:r>
              <w:rPr>
                <w:rFonts w:ascii="Arial" w:cs="Arial" w:eastAsia="Arial" w:hAnsi="Arial"/>
                <w:sz w:val="22"/>
                <w:szCs w:val="22"/>
                <w:color w:val="auto"/>
              </w:rPr>
              <w:t>Replacement of Trustee.</w:t>
            </w:r>
          </w:p>
        </w:tc>
        <w:tc>
          <w:tcPr>
            <w:tcW w:w="8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7.08</w:t>
            </w:r>
          </w:p>
        </w:tc>
        <w:tc>
          <w:tcPr>
            <w:tcW w:w="8700" w:type="dxa"/>
            <w:vAlign w:val="bottom"/>
          </w:tcPr>
          <w:p>
            <w:pPr>
              <w:ind w:left="560"/>
              <w:spacing w:after="0"/>
              <w:rPr>
                <w:sz w:val="20"/>
                <w:szCs w:val="20"/>
                <w:color w:val="auto"/>
              </w:rPr>
            </w:pPr>
            <w:r>
              <w:rPr>
                <w:rFonts w:ascii="Arial" w:cs="Arial" w:eastAsia="Arial" w:hAnsi="Arial"/>
                <w:sz w:val="22"/>
                <w:szCs w:val="22"/>
                <w:color w:val="auto"/>
              </w:rPr>
              <w:t>Successor Trustee by Merger, etc.</w:t>
            </w:r>
          </w:p>
        </w:tc>
        <w:tc>
          <w:tcPr>
            <w:tcW w:w="8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7.09</w:t>
            </w:r>
          </w:p>
        </w:tc>
        <w:tc>
          <w:tcPr>
            <w:tcW w:w="8700" w:type="dxa"/>
            <w:vAlign w:val="bottom"/>
          </w:tcPr>
          <w:p>
            <w:pPr>
              <w:ind w:left="560"/>
              <w:spacing w:after="0"/>
              <w:rPr>
                <w:sz w:val="20"/>
                <w:szCs w:val="20"/>
                <w:color w:val="auto"/>
              </w:rPr>
            </w:pPr>
            <w:r>
              <w:rPr>
                <w:rFonts w:ascii="Arial" w:cs="Arial" w:eastAsia="Arial" w:hAnsi="Arial"/>
                <w:sz w:val="22"/>
                <w:szCs w:val="22"/>
                <w:color w:val="auto"/>
              </w:rPr>
              <w:t>Eligibility; Disqualification.</w:t>
            </w:r>
          </w:p>
        </w:tc>
        <w:tc>
          <w:tcPr>
            <w:tcW w:w="8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621"/>
        </w:trPr>
        <w:tc>
          <w:tcPr>
            <w:tcW w:w="1740" w:type="dxa"/>
            <w:vAlign w:val="bottom"/>
          </w:tcPr>
          <w:p>
            <w:pPr>
              <w:spacing w:after="0"/>
              <w:rPr>
                <w:sz w:val="24"/>
                <w:szCs w:val="24"/>
                <w:color w:val="auto"/>
              </w:rPr>
            </w:pPr>
          </w:p>
        </w:tc>
        <w:tc>
          <w:tcPr>
            <w:tcW w:w="8700" w:type="dxa"/>
            <w:vAlign w:val="bottom"/>
          </w:tcPr>
          <w:p>
            <w:pPr>
              <w:jc w:val="center"/>
              <w:ind w:right="712"/>
              <w:spacing w:after="0"/>
              <w:rPr>
                <w:sz w:val="20"/>
                <w:szCs w:val="20"/>
                <w:color w:val="auto"/>
              </w:rPr>
            </w:pPr>
            <w:r>
              <w:rPr>
                <w:rFonts w:ascii="Arial" w:cs="Arial" w:eastAsia="Arial" w:hAnsi="Arial"/>
                <w:sz w:val="22"/>
                <w:szCs w:val="22"/>
                <w:color w:val="auto"/>
                <w:w w:val="95"/>
              </w:rPr>
              <w:t>ARTICLE 8.</w:t>
            </w:r>
          </w:p>
        </w:tc>
        <w:tc>
          <w:tcPr>
            <w:tcW w:w="840" w:type="dxa"/>
            <w:vAlign w:val="bottom"/>
          </w:tcPr>
          <w:p>
            <w:pPr>
              <w:spacing w:after="0"/>
              <w:rPr>
                <w:sz w:val="24"/>
                <w:szCs w:val="24"/>
                <w:color w:val="auto"/>
              </w:rPr>
            </w:pPr>
          </w:p>
        </w:tc>
      </w:tr>
      <w:tr>
        <w:trPr>
          <w:trHeight w:val="297"/>
        </w:trPr>
        <w:tc>
          <w:tcPr>
            <w:tcW w:w="1740" w:type="dxa"/>
            <w:vAlign w:val="bottom"/>
          </w:tcPr>
          <w:p>
            <w:pPr>
              <w:spacing w:after="0"/>
              <w:rPr>
                <w:sz w:val="24"/>
                <w:szCs w:val="24"/>
                <w:color w:val="auto"/>
              </w:rPr>
            </w:pPr>
          </w:p>
        </w:tc>
        <w:tc>
          <w:tcPr>
            <w:tcW w:w="8700" w:type="dxa"/>
            <w:vAlign w:val="bottom"/>
          </w:tcPr>
          <w:p>
            <w:pPr>
              <w:jc w:val="center"/>
              <w:ind w:right="672"/>
              <w:spacing w:after="0"/>
              <w:rPr>
                <w:sz w:val="20"/>
                <w:szCs w:val="20"/>
                <w:color w:val="auto"/>
              </w:rPr>
            </w:pPr>
            <w:r>
              <w:rPr>
                <w:rFonts w:ascii="Arial" w:cs="Arial" w:eastAsia="Arial" w:hAnsi="Arial"/>
                <w:sz w:val="22"/>
                <w:szCs w:val="22"/>
                <w:color w:val="auto"/>
                <w:w w:val="96"/>
              </w:rPr>
              <w:t>LEGAL DEFEASANCE AND COVENANT DEFEASANCE</w:t>
            </w:r>
          </w:p>
        </w:tc>
        <w:tc>
          <w:tcPr>
            <w:tcW w:w="840" w:type="dxa"/>
            <w:vAlign w:val="bottom"/>
          </w:tcPr>
          <w:p>
            <w:pPr>
              <w:spacing w:after="0"/>
              <w:rPr>
                <w:sz w:val="24"/>
                <w:szCs w:val="24"/>
                <w:color w:val="auto"/>
              </w:rPr>
            </w:pP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Section 8.01</w:t>
            </w:r>
          </w:p>
        </w:tc>
        <w:tc>
          <w:tcPr>
            <w:tcW w:w="8700" w:type="dxa"/>
            <w:vAlign w:val="bottom"/>
          </w:tcPr>
          <w:p>
            <w:pPr>
              <w:ind w:left="560"/>
              <w:spacing w:after="0"/>
              <w:rPr>
                <w:sz w:val="20"/>
                <w:szCs w:val="20"/>
                <w:color w:val="auto"/>
              </w:rPr>
            </w:pPr>
            <w:r>
              <w:rPr>
                <w:rFonts w:ascii="Arial" w:cs="Arial" w:eastAsia="Arial" w:hAnsi="Arial"/>
                <w:sz w:val="22"/>
                <w:szCs w:val="22"/>
                <w:color w:val="auto"/>
              </w:rPr>
              <w:t>Option to Effect Legal Defeasance or Covenant Defeasance.</w:t>
            </w:r>
          </w:p>
        </w:tc>
        <w:tc>
          <w:tcPr>
            <w:tcW w:w="8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8.02</w:t>
            </w:r>
          </w:p>
        </w:tc>
        <w:tc>
          <w:tcPr>
            <w:tcW w:w="8700" w:type="dxa"/>
            <w:vAlign w:val="bottom"/>
          </w:tcPr>
          <w:p>
            <w:pPr>
              <w:ind w:left="560"/>
              <w:spacing w:after="0"/>
              <w:rPr>
                <w:sz w:val="20"/>
                <w:szCs w:val="20"/>
                <w:color w:val="auto"/>
              </w:rPr>
            </w:pPr>
            <w:r>
              <w:rPr>
                <w:rFonts w:ascii="Arial" w:cs="Arial" w:eastAsia="Arial" w:hAnsi="Arial"/>
                <w:sz w:val="22"/>
                <w:szCs w:val="22"/>
                <w:color w:val="auto"/>
              </w:rPr>
              <w:t>Legal Defeasance and Discharge.</w:t>
            </w:r>
          </w:p>
        </w:tc>
        <w:tc>
          <w:tcPr>
            <w:tcW w:w="8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8.03</w:t>
            </w:r>
          </w:p>
        </w:tc>
        <w:tc>
          <w:tcPr>
            <w:tcW w:w="8700" w:type="dxa"/>
            <w:vAlign w:val="bottom"/>
          </w:tcPr>
          <w:p>
            <w:pPr>
              <w:ind w:left="560"/>
              <w:spacing w:after="0"/>
              <w:rPr>
                <w:sz w:val="20"/>
                <w:szCs w:val="20"/>
                <w:color w:val="auto"/>
              </w:rPr>
            </w:pPr>
            <w:r>
              <w:rPr>
                <w:rFonts w:ascii="Arial" w:cs="Arial" w:eastAsia="Arial" w:hAnsi="Arial"/>
                <w:sz w:val="22"/>
                <w:szCs w:val="22"/>
                <w:color w:val="auto"/>
              </w:rPr>
              <w:t>Covenant Defeasance.</w:t>
            </w:r>
          </w:p>
        </w:tc>
        <w:tc>
          <w:tcPr>
            <w:tcW w:w="8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8.04</w:t>
            </w:r>
          </w:p>
        </w:tc>
        <w:tc>
          <w:tcPr>
            <w:tcW w:w="8700" w:type="dxa"/>
            <w:vAlign w:val="bottom"/>
          </w:tcPr>
          <w:p>
            <w:pPr>
              <w:ind w:left="560"/>
              <w:spacing w:after="0"/>
              <w:rPr>
                <w:sz w:val="20"/>
                <w:szCs w:val="20"/>
                <w:color w:val="auto"/>
              </w:rPr>
            </w:pPr>
            <w:r>
              <w:rPr>
                <w:rFonts w:ascii="Arial" w:cs="Arial" w:eastAsia="Arial" w:hAnsi="Arial"/>
                <w:sz w:val="22"/>
                <w:szCs w:val="22"/>
                <w:color w:val="auto"/>
              </w:rPr>
              <w:t>Conditions to Legal or Covenant Defeasance.</w:t>
            </w:r>
          </w:p>
        </w:tc>
        <w:tc>
          <w:tcPr>
            <w:tcW w:w="8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66"/>
        </w:trPr>
        <w:tc>
          <w:tcPr>
            <w:tcW w:w="1740" w:type="dxa"/>
            <w:vAlign w:val="bottom"/>
          </w:tcPr>
          <w:p>
            <w:pPr>
              <w:spacing w:after="0"/>
              <w:rPr>
                <w:sz w:val="23"/>
                <w:szCs w:val="23"/>
                <w:color w:val="auto"/>
              </w:rPr>
            </w:pPr>
          </w:p>
        </w:tc>
        <w:tc>
          <w:tcPr>
            <w:tcW w:w="8700" w:type="dxa"/>
            <w:vAlign w:val="bottom"/>
          </w:tcPr>
          <w:p>
            <w:pPr>
              <w:ind w:left="560"/>
              <w:spacing w:after="0"/>
              <w:rPr>
                <w:sz w:val="20"/>
                <w:szCs w:val="20"/>
                <w:color w:val="auto"/>
              </w:rPr>
            </w:pPr>
            <w:r>
              <w:rPr>
                <w:rFonts w:ascii="Arial" w:cs="Arial" w:eastAsia="Arial" w:hAnsi="Arial"/>
                <w:sz w:val="22"/>
                <w:szCs w:val="22"/>
                <w:color w:val="auto"/>
                <w:w w:val="96"/>
              </w:rPr>
              <w:t>Deposited Money and Government Securities to be Held in Trust; Other Miscellaneous</w:t>
            </w:r>
          </w:p>
        </w:tc>
        <w:tc>
          <w:tcPr>
            <w:tcW w:w="840" w:type="dxa"/>
            <w:vAlign w:val="bottom"/>
          </w:tcPr>
          <w:p>
            <w:pPr>
              <w:spacing w:after="0"/>
              <w:rPr>
                <w:sz w:val="23"/>
                <w:szCs w:val="23"/>
                <w:color w:val="auto"/>
              </w:rPr>
            </w:pP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Section 8.05</w:t>
            </w:r>
          </w:p>
        </w:tc>
        <w:tc>
          <w:tcPr>
            <w:tcW w:w="8700" w:type="dxa"/>
            <w:vAlign w:val="bottom"/>
          </w:tcPr>
          <w:p>
            <w:pPr>
              <w:ind w:left="560"/>
              <w:spacing w:after="0"/>
              <w:rPr>
                <w:sz w:val="20"/>
                <w:szCs w:val="20"/>
                <w:color w:val="auto"/>
              </w:rPr>
            </w:pPr>
            <w:r>
              <w:rPr>
                <w:rFonts w:ascii="Arial" w:cs="Arial" w:eastAsia="Arial" w:hAnsi="Arial"/>
                <w:sz w:val="22"/>
                <w:szCs w:val="22"/>
                <w:color w:val="auto"/>
              </w:rPr>
              <w:t>Provisions.</w:t>
            </w:r>
          </w:p>
        </w:tc>
        <w:tc>
          <w:tcPr>
            <w:tcW w:w="8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8.06</w:t>
            </w:r>
          </w:p>
        </w:tc>
        <w:tc>
          <w:tcPr>
            <w:tcW w:w="8700" w:type="dxa"/>
            <w:vAlign w:val="bottom"/>
          </w:tcPr>
          <w:p>
            <w:pPr>
              <w:ind w:left="560"/>
              <w:spacing w:after="0"/>
              <w:rPr>
                <w:sz w:val="20"/>
                <w:szCs w:val="20"/>
                <w:color w:val="auto"/>
              </w:rPr>
            </w:pPr>
            <w:r>
              <w:rPr>
                <w:rFonts w:ascii="Arial" w:cs="Arial" w:eastAsia="Arial" w:hAnsi="Arial"/>
                <w:sz w:val="22"/>
                <w:szCs w:val="22"/>
                <w:color w:val="auto"/>
              </w:rPr>
              <w:t>Repayment to Issuers.</w:t>
            </w:r>
          </w:p>
        </w:tc>
        <w:tc>
          <w:tcPr>
            <w:tcW w:w="8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8.07</w:t>
            </w:r>
          </w:p>
        </w:tc>
        <w:tc>
          <w:tcPr>
            <w:tcW w:w="8700" w:type="dxa"/>
            <w:vAlign w:val="bottom"/>
          </w:tcPr>
          <w:p>
            <w:pPr>
              <w:ind w:left="560"/>
              <w:spacing w:after="0"/>
              <w:rPr>
                <w:sz w:val="20"/>
                <w:szCs w:val="20"/>
                <w:color w:val="auto"/>
              </w:rPr>
            </w:pPr>
            <w:r>
              <w:rPr>
                <w:rFonts w:ascii="Arial" w:cs="Arial" w:eastAsia="Arial" w:hAnsi="Arial"/>
                <w:sz w:val="22"/>
                <w:szCs w:val="22"/>
                <w:color w:val="auto"/>
              </w:rPr>
              <w:t>Reinstatement.</w:t>
            </w:r>
          </w:p>
        </w:tc>
        <w:tc>
          <w:tcPr>
            <w:tcW w:w="8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621"/>
        </w:trPr>
        <w:tc>
          <w:tcPr>
            <w:tcW w:w="1740" w:type="dxa"/>
            <w:vAlign w:val="bottom"/>
          </w:tcPr>
          <w:p>
            <w:pPr>
              <w:spacing w:after="0"/>
              <w:rPr>
                <w:sz w:val="24"/>
                <w:szCs w:val="24"/>
                <w:color w:val="auto"/>
              </w:rPr>
            </w:pPr>
          </w:p>
        </w:tc>
        <w:tc>
          <w:tcPr>
            <w:tcW w:w="8700" w:type="dxa"/>
            <w:vAlign w:val="bottom"/>
          </w:tcPr>
          <w:p>
            <w:pPr>
              <w:jc w:val="center"/>
              <w:ind w:right="712"/>
              <w:spacing w:after="0"/>
              <w:rPr>
                <w:sz w:val="20"/>
                <w:szCs w:val="20"/>
                <w:color w:val="auto"/>
              </w:rPr>
            </w:pPr>
            <w:r>
              <w:rPr>
                <w:rFonts w:ascii="Arial" w:cs="Arial" w:eastAsia="Arial" w:hAnsi="Arial"/>
                <w:sz w:val="22"/>
                <w:szCs w:val="22"/>
                <w:color w:val="auto"/>
                <w:w w:val="95"/>
              </w:rPr>
              <w:t>ARTICLE 9.</w:t>
            </w:r>
          </w:p>
        </w:tc>
        <w:tc>
          <w:tcPr>
            <w:tcW w:w="840" w:type="dxa"/>
            <w:vAlign w:val="bottom"/>
          </w:tcPr>
          <w:p>
            <w:pPr>
              <w:spacing w:after="0"/>
              <w:rPr>
                <w:sz w:val="24"/>
                <w:szCs w:val="24"/>
                <w:color w:val="auto"/>
              </w:rPr>
            </w:pPr>
          </w:p>
        </w:tc>
      </w:tr>
      <w:tr>
        <w:trPr>
          <w:trHeight w:val="297"/>
        </w:trPr>
        <w:tc>
          <w:tcPr>
            <w:tcW w:w="1740" w:type="dxa"/>
            <w:vAlign w:val="bottom"/>
          </w:tcPr>
          <w:p>
            <w:pPr>
              <w:spacing w:after="0"/>
              <w:rPr>
                <w:sz w:val="24"/>
                <w:szCs w:val="24"/>
                <w:color w:val="auto"/>
              </w:rPr>
            </w:pPr>
          </w:p>
        </w:tc>
        <w:tc>
          <w:tcPr>
            <w:tcW w:w="8700" w:type="dxa"/>
            <w:vAlign w:val="bottom"/>
          </w:tcPr>
          <w:p>
            <w:pPr>
              <w:jc w:val="center"/>
              <w:ind w:right="732"/>
              <w:spacing w:after="0"/>
              <w:rPr>
                <w:sz w:val="20"/>
                <w:szCs w:val="20"/>
                <w:color w:val="auto"/>
              </w:rPr>
            </w:pPr>
            <w:r>
              <w:rPr>
                <w:rFonts w:ascii="Arial" w:cs="Arial" w:eastAsia="Arial" w:hAnsi="Arial"/>
                <w:sz w:val="22"/>
                <w:szCs w:val="22"/>
                <w:color w:val="auto"/>
                <w:w w:val="95"/>
              </w:rPr>
              <w:t>AMENDMENT, SUPPLEMENT AND WAIVER</w:t>
            </w:r>
          </w:p>
        </w:tc>
        <w:tc>
          <w:tcPr>
            <w:tcW w:w="840" w:type="dxa"/>
            <w:vAlign w:val="bottom"/>
          </w:tcPr>
          <w:p>
            <w:pPr>
              <w:spacing w:after="0"/>
              <w:rPr>
                <w:sz w:val="24"/>
                <w:szCs w:val="24"/>
                <w:color w:val="auto"/>
              </w:rPr>
            </w:pP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Section 9.01</w:t>
            </w:r>
          </w:p>
        </w:tc>
        <w:tc>
          <w:tcPr>
            <w:tcW w:w="8700" w:type="dxa"/>
            <w:vAlign w:val="bottom"/>
          </w:tcPr>
          <w:p>
            <w:pPr>
              <w:ind w:left="560"/>
              <w:spacing w:after="0"/>
              <w:rPr>
                <w:sz w:val="20"/>
                <w:szCs w:val="20"/>
                <w:color w:val="auto"/>
              </w:rPr>
            </w:pPr>
            <w:r>
              <w:rPr>
                <w:rFonts w:ascii="Arial" w:cs="Arial" w:eastAsia="Arial" w:hAnsi="Arial"/>
                <w:sz w:val="22"/>
                <w:szCs w:val="22"/>
                <w:color w:val="auto"/>
              </w:rPr>
              <w:t>Without Consent of Holders of Notes.</w:t>
            </w:r>
          </w:p>
        </w:tc>
        <w:tc>
          <w:tcPr>
            <w:tcW w:w="8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9.02</w:t>
            </w:r>
          </w:p>
        </w:tc>
        <w:tc>
          <w:tcPr>
            <w:tcW w:w="8700" w:type="dxa"/>
            <w:vAlign w:val="bottom"/>
          </w:tcPr>
          <w:p>
            <w:pPr>
              <w:ind w:left="560"/>
              <w:spacing w:after="0"/>
              <w:rPr>
                <w:sz w:val="20"/>
                <w:szCs w:val="20"/>
                <w:color w:val="auto"/>
              </w:rPr>
            </w:pPr>
            <w:r>
              <w:rPr>
                <w:rFonts w:ascii="Arial" w:cs="Arial" w:eastAsia="Arial" w:hAnsi="Arial"/>
                <w:sz w:val="22"/>
                <w:szCs w:val="22"/>
                <w:color w:val="auto"/>
              </w:rPr>
              <w:t>With Consent of Holders of Notes.</w:t>
            </w:r>
          </w:p>
        </w:tc>
        <w:tc>
          <w:tcPr>
            <w:tcW w:w="84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9.03</w:t>
            </w:r>
          </w:p>
        </w:tc>
        <w:tc>
          <w:tcPr>
            <w:tcW w:w="8700" w:type="dxa"/>
            <w:vAlign w:val="bottom"/>
          </w:tcPr>
          <w:p>
            <w:pPr>
              <w:ind w:left="560"/>
              <w:spacing w:after="0"/>
              <w:rPr>
                <w:sz w:val="20"/>
                <w:szCs w:val="20"/>
                <w:color w:val="auto"/>
              </w:rPr>
            </w:pPr>
            <w:r>
              <w:rPr>
                <w:rFonts w:ascii="Arial" w:cs="Arial" w:eastAsia="Arial" w:hAnsi="Arial"/>
                <w:sz w:val="22"/>
                <w:szCs w:val="22"/>
                <w:color w:val="auto"/>
              </w:rPr>
              <w:t>Revocation and Effect of Consents.</w:t>
            </w:r>
          </w:p>
        </w:tc>
        <w:tc>
          <w:tcPr>
            <w:tcW w:w="8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9.04</w:t>
            </w:r>
          </w:p>
        </w:tc>
        <w:tc>
          <w:tcPr>
            <w:tcW w:w="8700" w:type="dxa"/>
            <w:vAlign w:val="bottom"/>
          </w:tcPr>
          <w:p>
            <w:pPr>
              <w:ind w:left="560"/>
              <w:spacing w:after="0"/>
              <w:rPr>
                <w:sz w:val="20"/>
                <w:szCs w:val="20"/>
                <w:color w:val="auto"/>
              </w:rPr>
            </w:pPr>
            <w:r>
              <w:rPr>
                <w:rFonts w:ascii="Arial" w:cs="Arial" w:eastAsia="Arial" w:hAnsi="Arial"/>
                <w:sz w:val="22"/>
                <w:szCs w:val="22"/>
                <w:color w:val="auto"/>
              </w:rPr>
              <w:t>Notation on or Exchange of Notes.</w:t>
            </w:r>
          </w:p>
        </w:tc>
        <w:tc>
          <w:tcPr>
            <w:tcW w:w="8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9.05</w:t>
            </w:r>
          </w:p>
        </w:tc>
        <w:tc>
          <w:tcPr>
            <w:tcW w:w="8700" w:type="dxa"/>
            <w:vAlign w:val="bottom"/>
          </w:tcPr>
          <w:p>
            <w:pPr>
              <w:ind w:left="560"/>
              <w:spacing w:after="0"/>
              <w:rPr>
                <w:sz w:val="20"/>
                <w:szCs w:val="20"/>
                <w:color w:val="auto"/>
              </w:rPr>
            </w:pPr>
            <w:r>
              <w:rPr>
                <w:rFonts w:ascii="Arial" w:cs="Arial" w:eastAsia="Arial" w:hAnsi="Arial"/>
                <w:sz w:val="22"/>
                <w:szCs w:val="22"/>
                <w:color w:val="auto"/>
              </w:rPr>
              <w:t>Trustee to Sign Amendments, etc.</w:t>
            </w:r>
          </w:p>
        </w:tc>
        <w:tc>
          <w:tcPr>
            <w:tcW w:w="84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621"/>
        </w:trPr>
        <w:tc>
          <w:tcPr>
            <w:tcW w:w="1740" w:type="dxa"/>
            <w:vAlign w:val="bottom"/>
          </w:tcPr>
          <w:p>
            <w:pPr>
              <w:spacing w:after="0"/>
              <w:rPr>
                <w:sz w:val="24"/>
                <w:szCs w:val="24"/>
                <w:color w:val="auto"/>
              </w:rPr>
            </w:pPr>
          </w:p>
        </w:tc>
        <w:tc>
          <w:tcPr>
            <w:tcW w:w="8700" w:type="dxa"/>
            <w:vAlign w:val="bottom"/>
          </w:tcPr>
          <w:p>
            <w:pPr>
              <w:jc w:val="center"/>
              <w:ind w:right="732"/>
              <w:spacing w:after="0"/>
              <w:rPr>
                <w:sz w:val="20"/>
                <w:szCs w:val="20"/>
                <w:color w:val="auto"/>
              </w:rPr>
            </w:pPr>
            <w:r>
              <w:rPr>
                <w:rFonts w:ascii="Arial" w:cs="Arial" w:eastAsia="Arial" w:hAnsi="Arial"/>
                <w:sz w:val="22"/>
                <w:szCs w:val="22"/>
                <w:color w:val="auto"/>
                <w:w w:val="94"/>
              </w:rPr>
              <w:t>ARTICLE 10.</w:t>
            </w:r>
          </w:p>
        </w:tc>
        <w:tc>
          <w:tcPr>
            <w:tcW w:w="840" w:type="dxa"/>
            <w:vAlign w:val="bottom"/>
          </w:tcPr>
          <w:p>
            <w:pPr>
              <w:spacing w:after="0"/>
              <w:rPr>
                <w:sz w:val="24"/>
                <w:szCs w:val="24"/>
                <w:color w:val="auto"/>
              </w:rPr>
            </w:pPr>
          </w:p>
        </w:tc>
      </w:tr>
      <w:tr>
        <w:trPr>
          <w:trHeight w:val="297"/>
        </w:trPr>
        <w:tc>
          <w:tcPr>
            <w:tcW w:w="1740" w:type="dxa"/>
            <w:vAlign w:val="bottom"/>
          </w:tcPr>
          <w:p>
            <w:pPr>
              <w:spacing w:after="0"/>
              <w:rPr>
                <w:sz w:val="24"/>
                <w:szCs w:val="24"/>
                <w:color w:val="auto"/>
              </w:rPr>
            </w:pPr>
          </w:p>
        </w:tc>
        <w:tc>
          <w:tcPr>
            <w:tcW w:w="8700" w:type="dxa"/>
            <w:vAlign w:val="bottom"/>
          </w:tcPr>
          <w:p>
            <w:pPr>
              <w:jc w:val="center"/>
              <w:ind w:right="732"/>
              <w:spacing w:after="0"/>
              <w:rPr>
                <w:sz w:val="20"/>
                <w:szCs w:val="20"/>
                <w:color w:val="auto"/>
              </w:rPr>
            </w:pPr>
            <w:r>
              <w:rPr>
                <w:rFonts w:ascii="Arial" w:cs="Arial" w:eastAsia="Arial" w:hAnsi="Arial"/>
                <w:sz w:val="22"/>
                <w:szCs w:val="22"/>
                <w:color w:val="auto"/>
                <w:w w:val="96"/>
              </w:rPr>
              <w:t>COLLATERAL AND SECURITY</w:t>
            </w:r>
          </w:p>
        </w:tc>
        <w:tc>
          <w:tcPr>
            <w:tcW w:w="840" w:type="dxa"/>
            <w:vAlign w:val="bottom"/>
          </w:tcPr>
          <w:p>
            <w:pPr>
              <w:spacing w:after="0"/>
              <w:rPr>
                <w:sz w:val="24"/>
                <w:szCs w:val="24"/>
                <w:color w:val="auto"/>
              </w:rPr>
            </w:pP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Section 10.01</w:t>
            </w:r>
          </w:p>
        </w:tc>
        <w:tc>
          <w:tcPr>
            <w:tcW w:w="8700" w:type="dxa"/>
            <w:vAlign w:val="bottom"/>
          </w:tcPr>
          <w:p>
            <w:pPr>
              <w:ind w:left="560"/>
              <w:spacing w:after="0"/>
              <w:rPr>
                <w:sz w:val="20"/>
                <w:szCs w:val="20"/>
                <w:color w:val="auto"/>
              </w:rPr>
            </w:pPr>
            <w:r>
              <w:rPr>
                <w:rFonts w:ascii="Arial" w:cs="Arial" w:eastAsia="Arial" w:hAnsi="Arial"/>
                <w:sz w:val="22"/>
                <w:szCs w:val="22"/>
                <w:color w:val="auto"/>
              </w:rPr>
              <w:t>Collateral Documents.</w:t>
            </w:r>
          </w:p>
        </w:tc>
        <w:tc>
          <w:tcPr>
            <w:tcW w:w="84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10.02</w:t>
            </w:r>
          </w:p>
        </w:tc>
        <w:tc>
          <w:tcPr>
            <w:tcW w:w="8700" w:type="dxa"/>
            <w:vAlign w:val="bottom"/>
          </w:tcPr>
          <w:p>
            <w:pPr>
              <w:ind w:left="560"/>
              <w:spacing w:after="0"/>
              <w:rPr>
                <w:sz w:val="20"/>
                <w:szCs w:val="20"/>
                <w:color w:val="auto"/>
              </w:rPr>
            </w:pPr>
            <w:r>
              <w:rPr>
                <w:rFonts w:ascii="Arial" w:cs="Arial" w:eastAsia="Arial" w:hAnsi="Arial"/>
                <w:sz w:val="22"/>
                <w:szCs w:val="22"/>
                <w:color w:val="auto"/>
              </w:rPr>
              <w:t>Recording and Opinions.</w:t>
            </w:r>
          </w:p>
        </w:tc>
        <w:tc>
          <w:tcPr>
            <w:tcW w:w="84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10.03</w:t>
            </w:r>
          </w:p>
        </w:tc>
        <w:tc>
          <w:tcPr>
            <w:tcW w:w="8700" w:type="dxa"/>
            <w:vAlign w:val="bottom"/>
          </w:tcPr>
          <w:p>
            <w:pPr>
              <w:ind w:left="560"/>
              <w:spacing w:after="0"/>
              <w:rPr>
                <w:sz w:val="20"/>
                <w:szCs w:val="20"/>
                <w:color w:val="auto"/>
              </w:rPr>
            </w:pPr>
            <w:r>
              <w:rPr>
                <w:rFonts w:ascii="Arial" w:cs="Arial" w:eastAsia="Arial" w:hAnsi="Arial"/>
                <w:sz w:val="22"/>
                <w:szCs w:val="22"/>
                <w:color w:val="auto"/>
              </w:rPr>
              <w:t>Release of Collateral.</w:t>
            </w:r>
          </w:p>
        </w:tc>
        <w:tc>
          <w:tcPr>
            <w:tcW w:w="8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10.04</w:t>
            </w:r>
          </w:p>
        </w:tc>
        <w:tc>
          <w:tcPr>
            <w:tcW w:w="8700" w:type="dxa"/>
            <w:vAlign w:val="bottom"/>
          </w:tcPr>
          <w:p>
            <w:pPr>
              <w:ind w:left="560"/>
              <w:spacing w:after="0"/>
              <w:rPr>
                <w:sz w:val="20"/>
                <w:szCs w:val="20"/>
                <w:color w:val="auto"/>
              </w:rPr>
            </w:pPr>
            <w:r>
              <w:rPr>
                <w:rFonts w:ascii="Arial" w:cs="Arial" w:eastAsia="Arial" w:hAnsi="Arial"/>
                <w:sz w:val="22"/>
                <w:szCs w:val="22"/>
                <w:color w:val="auto"/>
                <w:w w:val="98"/>
              </w:rPr>
              <w:t>Authorization of Actions to Be Taken by the Trustee Under the Collateral Documents.</w:t>
            </w:r>
          </w:p>
        </w:tc>
        <w:tc>
          <w:tcPr>
            <w:tcW w:w="8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10.05</w:t>
            </w:r>
          </w:p>
        </w:tc>
        <w:tc>
          <w:tcPr>
            <w:tcW w:w="8700" w:type="dxa"/>
            <w:vAlign w:val="bottom"/>
          </w:tcPr>
          <w:p>
            <w:pPr>
              <w:ind w:left="560"/>
              <w:spacing w:after="0"/>
              <w:rPr>
                <w:sz w:val="20"/>
                <w:szCs w:val="20"/>
                <w:color w:val="auto"/>
              </w:rPr>
            </w:pPr>
            <w:r>
              <w:rPr>
                <w:rFonts w:ascii="Arial" w:cs="Arial" w:eastAsia="Arial" w:hAnsi="Arial"/>
                <w:sz w:val="22"/>
                <w:szCs w:val="22"/>
                <w:color w:val="auto"/>
              </w:rPr>
              <w:t>Authorization of Receipt of Funds by the Trustee Under the Collateral Documents.</w:t>
            </w:r>
          </w:p>
        </w:tc>
        <w:tc>
          <w:tcPr>
            <w:tcW w:w="8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10.06</w:t>
            </w:r>
          </w:p>
        </w:tc>
        <w:tc>
          <w:tcPr>
            <w:tcW w:w="8700" w:type="dxa"/>
            <w:vAlign w:val="bottom"/>
          </w:tcPr>
          <w:p>
            <w:pPr>
              <w:ind w:left="560"/>
              <w:spacing w:after="0"/>
              <w:rPr>
                <w:sz w:val="20"/>
                <w:szCs w:val="20"/>
                <w:color w:val="auto"/>
              </w:rPr>
            </w:pPr>
            <w:r>
              <w:rPr>
                <w:rFonts w:ascii="Arial" w:cs="Arial" w:eastAsia="Arial" w:hAnsi="Arial"/>
                <w:sz w:val="22"/>
                <w:szCs w:val="22"/>
                <w:color w:val="auto"/>
              </w:rPr>
              <w:t>Rights in the Pledged Collateral.</w:t>
            </w:r>
          </w:p>
        </w:tc>
        <w:tc>
          <w:tcPr>
            <w:tcW w:w="8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10.07</w:t>
            </w:r>
          </w:p>
        </w:tc>
        <w:tc>
          <w:tcPr>
            <w:tcW w:w="8700" w:type="dxa"/>
            <w:vAlign w:val="bottom"/>
          </w:tcPr>
          <w:p>
            <w:pPr>
              <w:ind w:left="560"/>
              <w:spacing w:after="0"/>
              <w:rPr>
                <w:sz w:val="20"/>
                <w:szCs w:val="20"/>
                <w:color w:val="auto"/>
              </w:rPr>
            </w:pPr>
            <w:r>
              <w:rPr>
                <w:rFonts w:ascii="Arial" w:cs="Arial" w:eastAsia="Arial" w:hAnsi="Arial"/>
                <w:sz w:val="22"/>
                <w:szCs w:val="22"/>
                <w:color w:val="auto"/>
              </w:rPr>
              <w:t>Termination of Security Interest.</w:t>
            </w:r>
          </w:p>
        </w:tc>
        <w:tc>
          <w:tcPr>
            <w:tcW w:w="84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621"/>
        </w:trPr>
        <w:tc>
          <w:tcPr>
            <w:tcW w:w="1740" w:type="dxa"/>
            <w:vAlign w:val="bottom"/>
          </w:tcPr>
          <w:p>
            <w:pPr>
              <w:spacing w:after="0"/>
              <w:rPr>
                <w:sz w:val="24"/>
                <w:szCs w:val="24"/>
                <w:color w:val="auto"/>
              </w:rPr>
            </w:pPr>
          </w:p>
        </w:tc>
        <w:tc>
          <w:tcPr>
            <w:tcW w:w="8700" w:type="dxa"/>
            <w:vAlign w:val="bottom"/>
          </w:tcPr>
          <w:p>
            <w:pPr>
              <w:jc w:val="center"/>
              <w:ind w:right="732"/>
              <w:spacing w:after="0"/>
              <w:rPr>
                <w:sz w:val="20"/>
                <w:szCs w:val="20"/>
                <w:color w:val="auto"/>
              </w:rPr>
            </w:pPr>
            <w:r>
              <w:rPr>
                <w:rFonts w:ascii="Arial" w:cs="Arial" w:eastAsia="Arial" w:hAnsi="Arial"/>
                <w:sz w:val="22"/>
                <w:szCs w:val="22"/>
                <w:color w:val="auto"/>
                <w:w w:val="94"/>
              </w:rPr>
              <w:t>ARTICLE 11.</w:t>
            </w:r>
          </w:p>
        </w:tc>
        <w:tc>
          <w:tcPr>
            <w:tcW w:w="840" w:type="dxa"/>
            <w:vAlign w:val="bottom"/>
          </w:tcPr>
          <w:p>
            <w:pPr>
              <w:spacing w:after="0"/>
              <w:rPr>
                <w:sz w:val="24"/>
                <w:szCs w:val="24"/>
                <w:color w:val="auto"/>
              </w:rPr>
            </w:pPr>
          </w:p>
        </w:tc>
      </w:tr>
      <w:tr>
        <w:trPr>
          <w:trHeight w:val="297"/>
        </w:trPr>
        <w:tc>
          <w:tcPr>
            <w:tcW w:w="1740" w:type="dxa"/>
            <w:vAlign w:val="bottom"/>
          </w:tcPr>
          <w:p>
            <w:pPr>
              <w:spacing w:after="0"/>
              <w:rPr>
                <w:sz w:val="24"/>
                <w:szCs w:val="24"/>
                <w:color w:val="auto"/>
              </w:rPr>
            </w:pPr>
          </w:p>
        </w:tc>
        <w:tc>
          <w:tcPr>
            <w:tcW w:w="8700" w:type="dxa"/>
            <w:vAlign w:val="bottom"/>
          </w:tcPr>
          <w:p>
            <w:pPr>
              <w:jc w:val="center"/>
              <w:ind w:right="732"/>
              <w:spacing w:after="0"/>
              <w:rPr>
                <w:sz w:val="20"/>
                <w:szCs w:val="20"/>
                <w:color w:val="auto"/>
              </w:rPr>
            </w:pPr>
            <w:r>
              <w:rPr>
                <w:rFonts w:ascii="Arial" w:cs="Arial" w:eastAsia="Arial" w:hAnsi="Arial"/>
                <w:sz w:val="22"/>
                <w:szCs w:val="22"/>
                <w:color w:val="auto"/>
                <w:w w:val="94"/>
              </w:rPr>
              <w:t>NOTE GUARANTEES</w:t>
            </w:r>
          </w:p>
        </w:tc>
        <w:tc>
          <w:tcPr>
            <w:tcW w:w="840" w:type="dxa"/>
            <w:vAlign w:val="bottom"/>
          </w:tcPr>
          <w:p>
            <w:pPr>
              <w:spacing w:after="0"/>
              <w:rPr>
                <w:sz w:val="24"/>
                <w:szCs w:val="24"/>
                <w:color w:val="auto"/>
              </w:rPr>
            </w:pP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Section 11.01</w:t>
            </w:r>
          </w:p>
        </w:tc>
        <w:tc>
          <w:tcPr>
            <w:tcW w:w="8700" w:type="dxa"/>
            <w:vAlign w:val="bottom"/>
          </w:tcPr>
          <w:p>
            <w:pPr>
              <w:ind w:left="560"/>
              <w:spacing w:after="0"/>
              <w:rPr>
                <w:sz w:val="20"/>
                <w:szCs w:val="20"/>
                <w:color w:val="auto"/>
              </w:rPr>
            </w:pPr>
            <w:r>
              <w:rPr>
                <w:rFonts w:ascii="Arial" w:cs="Arial" w:eastAsia="Arial" w:hAnsi="Arial"/>
                <w:sz w:val="22"/>
                <w:szCs w:val="22"/>
                <w:color w:val="auto"/>
              </w:rPr>
              <w:t>Note Guarantee.</w:t>
            </w:r>
          </w:p>
        </w:tc>
        <w:tc>
          <w:tcPr>
            <w:tcW w:w="840" w:type="dxa"/>
            <w:vAlign w:val="bottom"/>
          </w:tcPr>
          <w:p>
            <w:pPr>
              <w:jc w:val="right"/>
              <w:spacing w:after="0"/>
              <w:rPr>
                <w:sz w:val="20"/>
                <w:szCs w:val="20"/>
                <w:color w:val="auto"/>
              </w:rPr>
            </w:pPr>
            <w:r>
              <w:rPr>
                <w:rFonts w:ascii="Arial" w:cs="Arial" w:eastAsia="Arial" w:hAnsi="Arial"/>
                <w:sz w:val="22"/>
                <w:szCs w:val="22"/>
                <w:color w:val="auto"/>
              </w:rPr>
              <w:t>70</w:t>
            </w:r>
          </w:p>
        </w:tc>
      </w:tr>
    </w:tbl>
    <w:p>
      <w:pPr>
        <w:spacing w:after="0" w:line="200" w:lineRule="exact"/>
        <w:rPr>
          <w:sz w:val="20"/>
          <w:szCs w:val="20"/>
          <w:color w:val="auto"/>
        </w:rPr>
      </w:pPr>
    </w:p>
    <w:p>
      <w:pPr>
        <w:sectPr>
          <w:pgSz w:w="11900" w:h="16838" w:orient="portrait"/>
          <w:cols w:equalWidth="0" w:num="1">
            <w:col w:w="11280"/>
          </w:cols>
          <w:pgMar w:left="280" w:top="996" w:right="339" w:bottom="1440" w:gutter="0" w:footer="0" w:header="0"/>
        </w:sect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80"/>
          </w:cols>
          <w:pgMar w:left="280" w:top="996"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Section 11.02</w:t>
            </w:r>
          </w:p>
        </w:tc>
        <w:tc>
          <w:tcPr>
            <w:tcW w:w="8240" w:type="dxa"/>
            <w:vAlign w:val="bottom"/>
          </w:tcPr>
          <w:p>
            <w:pPr>
              <w:ind w:left="560"/>
              <w:spacing w:after="0"/>
              <w:rPr>
                <w:sz w:val="20"/>
                <w:szCs w:val="20"/>
                <w:color w:val="auto"/>
              </w:rPr>
            </w:pPr>
            <w:r>
              <w:rPr>
                <w:rFonts w:ascii="Arial" w:cs="Arial" w:eastAsia="Arial" w:hAnsi="Arial"/>
                <w:sz w:val="22"/>
                <w:szCs w:val="22"/>
                <w:color w:val="auto"/>
              </w:rPr>
              <w:t>Limitation on Guarantor Liability.</w:t>
            </w:r>
          </w:p>
        </w:tc>
        <w:tc>
          <w:tcPr>
            <w:tcW w:w="130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11.03</w:t>
            </w:r>
          </w:p>
        </w:tc>
        <w:tc>
          <w:tcPr>
            <w:tcW w:w="8240" w:type="dxa"/>
            <w:vAlign w:val="bottom"/>
          </w:tcPr>
          <w:p>
            <w:pPr>
              <w:ind w:left="560"/>
              <w:spacing w:after="0"/>
              <w:rPr>
                <w:sz w:val="20"/>
                <w:szCs w:val="20"/>
                <w:color w:val="auto"/>
              </w:rPr>
            </w:pPr>
            <w:r>
              <w:rPr>
                <w:rFonts w:ascii="Arial" w:cs="Arial" w:eastAsia="Arial" w:hAnsi="Arial"/>
                <w:sz w:val="22"/>
                <w:szCs w:val="22"/>
                <w:color w:val="auto"/>
              </w:rPr>
              <w:t>Execution and Delivery of Note Guarantee.</w:t>
            </w:r>
          </w:p>
        </w:tc>
        <w:tc>
          <w:tcPr>
            <w:tcW w:w="130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11.04</w:t>
            </w:r>
          </w:p>
        </w:tc>
        <w:tc>
          <w:tcPr>
            <w:tcW w:w="8240" w:type="dxa"/>
            <w:vAlign w:val="bottom"/>
          </w:tcPr>
          <w:p>
            <w:pPr>
              <w:ind w:left="560"/>
              <w:spacing w:after="0"/>
              <w:rPr>
                <w:sz w:val="20"/>
                <w:szCs w:val="20"/>
                <w:color w:val="auto"/>
              </w:rPr>
            </w:pPr>
            <w:r>
              <w:rPr>
                <w:rFonts w:ascii="Arial" w:cs="Arial" w:eastAsia="Arial" w:hAnsi="Arial"/>
                <w:sz w:val="22"/>
                <w:szCs w:val="22"/>
                <w:color w:val="auto"/>
              </w:rPr>
              <w:t>Guarantors May Consolidate, etc., on Certain Terms.</w:t>
            </w:r>
          </w:p>
        </w:tc>
        <w:tc>
          <w:tcPr>
            <w:tcW w:w="130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11.05</w:t>
            </w:r>
          </w:p>
        </w:tc>
        <w:tc>
          <w:tcPr>
            <w:tcW w:w="8240" w:type="dxa"/>
            <w:vAlign w:val="bottom"/>
          </w:tcPr>
          <w:p>
            <w:pPr>
              <w:ind w:left="560"/>
              <w:spacing w:after="0"/>
              <w:rPr>
                <w:sz w:val="20"/>
                <w:szCs w:val="20"/>
                <w:color w:val="auto"/>
              </w:rPr>
            </w:pPr>
            <w:r>
              <w:rPr>
                <w:rFonts w:ascii="Arial" w:cs="Arial" w:eastAsia="Arial" w:hAnsi="Arial"/>
                <w:sz w:val="22"/>
                <w:szCs w:val="22"/>
                <w:color w:val="auto"/>
              </w:rPr>
              <w:t>Release of Guarantees.</w:t>
            </w:r>
          </w:p>
        </w:tc>
        <w:tc>
          <w:tcPr>
            <w:tcW w:w="13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11.06</w:t>
            </w:r>
          </w:p>
        </w:tc>
        <w:tc>
          <w:tcPr>
            <w:tcW w:w="8240" w:type="dxa"/>
            <w:vAlign w:val="bottom"/>
          </w:tcPr>
          <w:p>
            <w:pPr>
              <w:ind w:left="560"/>
              <w:spacing w:after="0"/>
              <w:rPr>
                <w:sz w:val="20"/>
                <w:szCs w:val="20"/>
                <w:color w:val="auto"/>
              </w:rPr>
            </w:pPr>
            <w:r>
              <w:rPr>
                <w:rFonts w:ascii="Arial" w:cs="Arial" w:eastAsia="Arial" w:hAnsi="Arial"/>
                <w:sz w:val="22"/>
                <w:szCs w:val="22"/>
                <w:color w:val="auto"/>
              </w:rPr>
              <w:t>Additional Note Guarantees.</w:t>
            </w:r>
          </w:p>
        </w:tc>
        <w:tc>
          <w:tcPr>
            <w:tcW w:w="13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621"/>
        </w:trPr>
        <w:tc>
          <w:tcPr>
            <w:tcW w:w="1740" w:type="dxa"/>
            <w:vAlign w:val="bottom"/>
          </w:tcPr>
          <w:p>
            <w:pPr>
              <w:spacing w:after="0"/>
              <w:rPr>
                <w:sz w:val="24"/>
                <w:szCs w:val="24"/>
                <w:color w:val="auto"/>
              </w:rPr>
            </w:pPr>
          </w:p>
        </w:tc>
        <w:tc>
          <w:tcPr>
            <w:tcW w:w="8240" w:type="dxa"/>
            <w:vAlign w:val="bottom"/>
          </w:tcPr>
          <w:p>
            <w:pPr>
              <w:jc w:val="center"/>
              <w:ind w:right="272"/>
              <w:spacing w:after="0"/>
              <w:rPr>
                <w:sz w:val="20"/>
                <w:szCs w:val="20"/>
                <w:color w:val="auto"/>
              </w:rPr>
            </w:pPr>
            <w:r>
              <w:rPr>
                <w:rFonts w:ascii="Arial" w:cs="Arial" w:eastAsia="Arial" w:hAnsi="Arial"/>
                <w:sz w:val="22"/>
                <w:szCs w:val="22"/>
                <w:color w:val="auto"/>
                <w:w w:val="94"/>
              </w:rPr>
              <w:t>ARTICLE 12.</w:t>
            </w:r>
          </w:p>
        </w:tc>
        <w:tc>
          <w:tcPr>
            <w:tcW w:w="1300" w:type="dxa"/>
            <w:vAlign w:val="bottom"/>
          </w:tcPr>
          <w:p>
            <w:pPr>
              <w:spacing w:after="0"/>
              <w:rPr>
                <w:sz w:val="24"/>
                <w:szCs w:val="24"/>
                <w:color w:val="auto"/>
              </w:rPr>
            </w:pPr>
          </w:p>
        </w:tc>
      </w:tr>
      <w:tr>
        <w:trPr>
          <w:trHeight w:val="297"/>
        </w:trPr>
        <w:tc>
          <w:tcPr>
            <w:tcW w:w="1740" w:type="dxa"/>
            <w:vAlign w:val="bottom"/>
          </w:tcPr>
          <w:p>
            <w:pPr>
              <w:spacing w:after="0"/>
              <w:rPr>
                <w:sz w:val="24"/>
                <w:szCs w:val="24"/>
                <w:color w:val="auto"/>
              </w:rPr>
            </w:pPr>
          </w:p>
        </w:tc>
        <w:tc>
          <w:tcPr>
            <w:tcW w:w="8240" w:type="dxa"/>
            <w:vAlign w:val="bottom"/>
          </w:tcPr>
          <w:p>
            <w:pPr>
              <w:jc w:val="center"/>
              <w:ind w:right="272"/>
              <w:spacing w:after="0"/>
              <w:rPr>
                <w:sz w:val="20"/>
                <w:szCs w:val="20"/>
                <w:color w:val="auto"/>
              </w:rPr>
            </w:pPr>
            <w:r>
              <w:rPr>
                <w:rFonts w:ascii="Arial" w:cs="Arial" w:eastAsia="Arial" w:hAnsi="Arial"/>
                <w:sz w:val="22"/>
                <w:szCs w:val="22"/>
                <w:color w:val="auto"/>
                <w:w w:val="94"/>
              </w:rPr>
              <w:t>SATISFACTION AND DISCHARGE</w:t>
            </w:r>
          </w:p>
        </w:tc>
        <w:tc>
          <w:tcPr>
            <w:tcW w:w="1300" w:type="dxa"/>
            <w:vAlign w:val="bottom"/>
          </w:tcPr>
          <w:p>
            <w:pPr>
              <w:spacing w:after="0"/>
              <w:rPr>
                <w:sz w:val="24"/>
                <w:szCs w:val="24"/>
                <w:color w:val="auto"/>
              </w:rPr>
            </w:pP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Section 12.01</w:t>
            </w:r>
          </w:p>
        </w:tc>
        <w:tc>
          <w:tcPr>
            <w:tcW w:w="8240" w:type="dxa"/>
            <w:vAlign w:val="bottom"/>
          </w:tcPr>
          <w:p>
            <w:pPr>
              <w:ind w:left="560"/>
              <w:spacing w:after="0"/>
              <w:rPr>
                <w:sz w:val="20"/>
                <w:szCs w:val="20"/>
                <w:color w:val="auto"/>
              </w:rPr>
            </w:pPr>
            <w:r>
              <w:rPr>
                <w:rFonts w:ascii="Arial" w:cs="Arial" w:eastAsia="Arial" w:hAnsi="Arial"/>
                <w:sz w:val="22"/>
                <w:szCs w:val="22"/>
                <w:color w:val="auto"/>
              </w:rPr>
              <w:t>Satisfaction and Discharge.</w:t>
            </w:r>
          </w:p>
        </w:tc>
        <w:tc>
          <w:tcPr>
            <w:tcW w:w="13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12.02</w:t>
            </w:r>
          </w:p>
        </w:tc>
        <w:tc>
          <w:tcPr>
            <w:tcW w:w="8240" w:type="dxa"/>
            <w:vAlign w:val="bottom"/>
          </w:tcPr>
          <w:p>
            <w:pPr>
              <w:ind w:left="560"/>
              <w:spacing w:after="0"/>
              <w:rPr>
                <w:sz w:val="20"/>
                <w:szCs w:val="20"/>
                <w:color w:val="auto"/>
              </w:rPr>
            </w:pPr>
            <w:r>
              <w:rPr>
                <w:rFonts w:ascii="Arial" w:cs="Arial" w:eastAsia="Arial" w:hAnsi="Arial"/>
                <w:sz w:val="22"/>
                <w:szCs w:val="22"/>
                <w:color w:val="auto"/>
              </w:rPr>
              <w:t>Application of Trust Money.</w:t>
            </w:r>
          </w:p>
        </w:tc>
        <w:tc>
          <w:tcPr>
            <w:tcW w:w="13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621"/>
        </w:trPr>
        <w:tc>
          <w:tcPr>
            <w:tcW w:w="1740" w:type="dxa"/>
            <w:vAlign w:val="bottom"/>
          </w:tcPr>
          <w:p>
            <w:pPr>
              <w:spacing w:after="0"/>
              <w:rPr>
                <w:sz w:val="24"/>
                <w:szCs w:val="24"/>
                <w:color w:val="auto"/>
              </w:rPr>
            </w:pPr>
          </w:p>
        </w:tc>
        <w:tc>
          <w:tcPr>
            <w:tcW w:w="8240" w:type="dxa"/>
            <w:vAlign w:val="bottom"/>
          </w:tcPr>
          <w:p>
            <w:pPr>
              <w:jc w:val="center"/>
              <w:ind w:right="272"/>
              <w:spacing w:after="0"/>
              <w:rPr>
                <w:sz w:val="20"/>
                <w:szCs w:val="20"/>
                <w:color w:val="auto"/>
              </w:rPr>
            </w:pPr>
            <w:r>
              <w:rPr>
                <w:rFonts w:ascii="Arial" w:cs="Arial" w:eastAsia="Arial" w:hAnsi="Arial"/>
                <w:sz w:val="22"/>
                <w:szCs w:val="22"/>
                <w:color w:val="auto"/>
                <w:w w:val="94"/>
              </w:rPr>
              <w:t>ARTICLE 13.</w:t>
            </w:r>
          </w:p>
        </w:tc>
        <w:tc>
          <w:tcPr>
            <w:tcW w:w="1300" w:type="dxa"/>
            <w:vAlign w:val="bottom"/>
          </w:tcPr>
          <w:p>
            <w:pPr>
              <w:spacing w:after="0"/>
              <w:rPr>
                <w:sz w:val="24"/>
                <w:szCs w:val="24"/>
                <w:color w:val="auto"/>
              </w:rPr>
            </w:pPr>
          </w:p>
        </w:tc>
      </w:tr>
      <w:tr>
        <w:trPr>
          <w:trHeight w:val="297"/>
        </w:trPr>
        <w:tc>
          <w:tcPr>
            <w:tcW w:w="1740" w:type="dxa"/>
            <w:vAlign w:val="bottom"/>
          </w:tcPr>
          <w:p>
            <w:pPr>
              <w:spacing w:after="0"/>
              <w:rPr>
                <w:sz w:val="24"/>
                <w:szCs w:val="24"/>
                <w:color w:val="auto"/>
              </w:rPr>
            </w:pPr>
          </w:p>
        </w:tc>
        <w:tc>
          <w:tcPr>
            <w:tcW w:w="8240" w:type="dxa"/>
            <w:vAlign w:val="bottom"/>
          </w:tcPr>
          <w:p>
            <w:pPr>
              <w:jc w:val="center"/>
              <w:ind w:right="272"/>
              <w:spacing w:after="0"/>
              <w:rPr>
                <w:sz w:val="20"/>
                <w:szCs w:val="20"/>
                <w:color w:val="auto"/>
              </w:rPr>
            </w:pPr>
            <w:r>
              <w:rPr>
                <w:rFonts w:ascii="Arial" w:cs="Arial" w:eastAsia="Arial" w:hAnsi="Arial"/>
                <w:sz w:val="22"/>
                <w:szCs w:val="22"/>
                <w:color w:val="auto"/>
                <w:w w:val="98"/>
              </w:rPr>
              <w:t>JOINT AND SEVERAL LIABILITY</w:t>
            </w:r>
          </w:p>
        </w:tc>
        <w:tc>
          <w:tcPr>
            <w:tcW w:w="1300" w:type="dxa"/>
            <w:vAlign w:val="bottom"/>
          </w:tcPr>
          <w:p>
            <w:pPr>
              <w:spacing w:after="0"/>
              <w:rPr>
                <w:sz w:val="24"/>
                <w:szCs w:val="24"/>
                <w:color w:val="auto"/>
              </w:rPr>
            </w:pP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Section 13.01</w:t>
            </w:r>
          </w:p>
        </w:tc>
        <w:tc>
          <w:tcPr>
            <w:tcW w:w="8240" w:type="dxa"/>
            <w:vAlign w:val="bottom"/>
          </w:tcPr>
          <w:p>
            <w:pPr>
              <w:ind w:left="560"/>
              <w:spacing w:after="0"/>
              <w:rPr>
                <w:sz w:val="20"/>
                <w:szCs w:val="20"/>
                <w:color w:val="auto"/>
              </w:rPr>
            </w:pPr>
            <w:r>
              <w:rPr>
                <w:rFonts w:ascii="Arial" w:cs="Arial" w:eastAsia="Arial" w:hAnsi="Arial"/>
                <w:sz w:val="22"/>
                <w:szCs w:val="22"/>
                <w:color w:val="auto"/>
              </w:rPr>
              <w:t>Joint and Several Liability.</w:t>
            </w:r>
          </w:p>
        </w:tc>
        <w:tc>
          <w:tcPr>
            <w:tcW w:w="13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621"/>
        </w:trPr>
        <w:tc>
          <w:tcPr>
            <w:tcW w:w="1740" w:type="dxa"/>
            <w:vAlign w:val="bottom"/>
          </w:tcPr>
          <w:p>
            <w:pPr>
              <w:spacing w:after="0"/>
              <w:rPr>
                <w:sz w:val="24"/>
                <w:szCs w:val="24"/>
                <w:color w:val="auto"/>
              </w:rPr>
            </w:pPr>
          </w:p>
        </w:tc>
        <w:tc>
          <w:tcPr>
            <w:tcW w:w="8240" w:type="dxa"/>
            <w:vAlign w:val="bottom"/>
          </w:tcPr>
          <w:p>
            <w:pPr>
              <w:jc w:val="center"/>
              <w:ind w:right="272"/>
              <w:spacing w:after="0"/>
              <w:rPr>
                <w:sz w:val="20"/>
                <w:szCs w:val="20"/>
                <w:color w:val="auto"/>
              </w:rPr>
            </w:pPr>
            <w:r>
              <w:rPr>
                <w:rFonts w:ascii="Arial" w:cs="Arial" w:eastAsia="Arial" w:hAnsi="Arial"/>
                <w:sz w:val="22"/>
                <w:szCs w:val="22"/>
                <w:color w:val="auto"/>
                <w:w w:val="94"/>
              </w:rPr>
              <w:t>ARTICLE 14.</w:t>
            </w:r>
          </w:p>
        </w:tc>
        <w:tc>
          <w:tcPr>
            <w:tcW w:w="1300" w:type="dxa"/>
            <w:vAlign w:val="bottom"/>
          </w:tcPr>
          <w:p>
            <w:pPr>
              <w:spacing w:after="0"/>
              <w:rPr>
                <w:sz w:val="24"/>
                <w:szCs w:val="24"/>
                <w:color w:val="auto"/>
              </w:rPr>
            </w:pPr>
          </w:p>
        </w:tc>
      </w:tr>
      <w:tr>
        <w:trPr>
          <w:trHeight w:val="297"/>
        </w:trPr>
        <w:tc>
          <w:tcPr>
            <w:tcW w:w="1740" w:type="dxa"/>
            <w:vAlign w:val="bottom"/>
          </w:tcPr>
          <w:p>
            <w:pPr>
              <w:spacing w:after="0"/>
              <w:rPr>
                <w:sz w:val="24"/>
                <w:szCs w:val="24"/>
                <w:color w:val="auto"/>
              </w:rPr>
            </w:pPr>
          </w:p>
        </w:tc>
        <w:tc>
          <w:tcPr>
            <w:tcW w:w="8240" w:type="dxa"/>
            <w:vAlign w:val="bottom"/>
          </w:tcPr>
          <w:p>
            <w:pPr>
              <w:jc w:val="center"/>
              <w:ind w:right="252"/>
              <w:spacing w:after="0"/>
              <w:rPr>
                <w:sz w:val="20"/>
                <w:szCs w:val="20"/>
                <w:color w:val="auto"/>
              </w:rPr>
            </w:pPr>
            <w:r>
              <w:rPr>
                <w:rFonts w:ascii="Arial" w:cs="Arial" w:eastAsia="Arial" w:hAnsi="Arial"/>
                <w:sz w:val="22"/>
                <w:szCs w:val="22"/>
                <w:color w:val="auto"/>
                <w:w w:val="96"/>
              </w:rPr>
              <w:t>MISCELLANEOUS</w:t>
            </w:r>
          </w:p>
        </w:tc>
        <w:tc>
          <w:tcPr>
            <w:tcW w:w="1300" w:type="dxa"/>
            <w:vAlign w:val="bottom"/>
          </w:tcPr>
          <w:p>
            <w:pPr>
              <w:spacing w:after="0"/>
              <w:rPr>
                <w:sz w:val="24"/>
                <w:szCs w:val="24"/>
                <w:color w:val="auto"/>
              </w:rPr>
            </w:pP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Section 14.01</w:t>
            </w:r>
          </w:p>
        </w:tc>
        <w:tc>
          <w:tcPr>
            <w:tcW w:w="8240" w:type="dxa"/>
            <w:vAlign w:val="bottom"/>
          </w:tcPr>
          <w:p>
            <w:pPr>
              <w:ind w:left="560"/>
              <w:spacing w:after="0"/>
              <w:rPr>
                <w:sz w:val="20"/>
                <w:szCs w:val="20"/>
                <w:color w:val="auto"/>
              </w:rPr>
            </w:pPr>
            <w:r>
              <w:rPr>
                <w:rFonts w:ascii="Arial" w:cs="Arial" w:eastAsia="Arial" w:hAnsi="Arial"/>
                <w:sz w:val="22"/>
                <w:szCs w:val="22"/>
                <w:color w:val="auto"/>
              </w:rPr>
              <w:t>Notices.</w:t>
            </w:r>
          </w:p>
        </w:tc>
        <w:tc>
          <w:tcPr>
            <w:tcW w:w="130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14.02</w:t>
            </w:r>
          </w:p>
        </w:tc>
        <w:tc>
          <w:tcPr>
            <w:tcW w:w="8240" w:type="dxa"/>
            <w:vAlign w:val="bottom"/>
          </w:tcPr>
          <w:p>
            <w:pPr>
              <w:ind w:left="560"/>
              <w:spacing w:after="0"/>
              <w:rPr>
                <w:sz w:val="20"/>
                <w:szCs w:val="20"/>
                <w:color w:val="auto"/>
              </w:rPr>
            </w:pPr>
            <w:r>
              <w:rPr>
                <w:rFonts w:ascii="Arial" w:cs="Arial" w:eastAsia="Arial" w:hAnsi="Arial"/>
                <w:sz w:val="22"/>
                <w:szCs w:val="22"/>
                <w:color w:val="auto"/>
              </w:rPr>
              <w:t>Certificate and Opinion as to Conditions Precedent.</w:t>
            </w:r>
          </w:p>
        </w:tc>
        <w:tc>
          <w:tcPr>
            <w:tcW w:w="13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14.03</w:t>
            </w:r>
          </w:p>
        </w:tc>
        <w:tc>
          <w:tcPr>
            <w:tcW w:w="8240" w:type="dxa"/>
            <w:vAlign w:val="bottom"/>
          </w:tcPr>
          <w:p>
            <w:pPr>
              <w:ind w:left="560"/>
              <w:spacing w:after="0"/>
              <w:rPr>
                <w:sz w:val="20"/>
                <w:szCs w:val="20"/>
                <w:color w:val="auto"/>
              </w:rPr>
            </w:pPr>
            <w:r>
              <w:rPr>
                <w:rFonts w:ascii="Arial" w:cs="Arial" w:eastAsia="Arial" w:hAnsi="Arial"/>
                <w:sz w:val="22"/>
                <w:szCs w:val="22"/>
                <w:color w:val="auto"/>
              </w:rPr>
              <w:t>Statements Required in Certificate or Opinion.</w:t>
            </w:r>
          </w:p>
        </w:tc>
        <w:tc>
          <w:tcPr>
            <w:tcW w:w="13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14.04</w:t>
            </w:r>
          </w:p>
        </w:tc>
        <w:tc>
          <w:tcPr>
            <w:tcW w:w="8240" w:type="dxa"/>
            <w:vAlign w:val="bottom"/>
          </w:tcPr>
          <w:p>
            <w:pPr>
              <w:ind w:left="560"/>
              <w:spacing w:after="0"/>
              <w:rPr>
                <w:sz w:val="20"/>
                <w:szCs w:val="20"/>
                <w:color w:val="auto"/>
              </w:rPr>
            </w:pPr>
            <w:r>
              <w:rPr>
                <w:rFonts w:ascii="Arial" w:cs="Arial" w:eastAsia="Arial" w:hAnsi="Arial"/>
                <w:sz w:val="22"/>
                <w:szCs w:val="22"/>
                <w:color w:val="auto"/>
              </w:rPr>
              <w:t>Rules by Trustee and Agents.</w:t>
            </w:r>
          </w:p>
        </w:tc>
        <w:tc>
          <w:tcPr>
            <w:tcW w:w="13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14.05</w:t>
            </w:r>
          </w:p>
        </w:tc>
        <w:tc>
          <w:tcPr>
            <w:tcW w:w="8240" w:type="dxa"/>
            <w:vAlign w:val="bottom"/>
          </w:tcPr>
          <w:p>
            <w:pPr>
              <w:ind w:left="560"/>
              <w:spacing w:after="0"/>
              <w:rPr>
                <w:sz w:val="20"/>
                <w:szCs w:val="20"/>
                <w:color w:val="auto"/>
              </w:rPr>
            </w:pPr>
            <w:r>
              <w:rPr>
                <w:rFonts w:ascii="Arial" w:cs="Arial" w:eastAsia="Arial" w:hAnsi="Arial"/>
                <w:sz w:val="22"/>
                <w:szCs w:val="22"/>
                <w:color w:val="auto"/>
              </w:rPr>
              <w:t>No Personal Liability of Directors, Officers, Employees and Equity Holders.</w:t>
            </w:r>
          </w:p>
        </w:tc>
        <w:tc>
          <w:tcPr>
            <w:tcW w:w="13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14.06</w:t>
            </w:r>
          </w:p>
        </w:tc>
        <w:tc>
          <w:tcPr>
            <w:tcW w:w="8240" w:type="dxa"/>
            <w:vAlign w:val="bottom"/>
          </w:tcPr>
          <w:p>
            <w:pPr>
              <w:ind w:left="560"/>
              <w:spacing w:after="0"/>
              <w:rPr>
                <w:sz w:val="20"/>
                <w:szCs w:val="20"/>
                <w:color w:val="auto"/>
              </w:rPr>
            </w:pPr>
            <w:r>
              <w:rPr>
                <w:rFonts w:ascii="Arial" w:cs="Arial" w:eastAsia="Arial" w:hAnsi="Arial"/>
                <w:sz w:val="22"/>
                <w:szCs w:val="22"/>
                <w:color w:val="auto"/>
              </w:rPr>
              <w:t>Governing Law.</w:t>
            </w:r>
          </w:p>
        </w:tc>
        <w:tc>
          <w:tcPr>
            <w:tcW w:w="13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14.07</w:t>
            </w:r>
          </w:p>
        </w:tc>
        <w:tc>
          <w:tcPr>
            <w:tcW w:w="8240" w:type="dxa"/>
            <w:vAlign w:val="bottom"/>
          </w:tcPr>
          <w:p>
            <w:pPr>
              <w:ind w:left="560"/>
              <w:spacing w:after="0"/>
              <w:rPr>
                <w:sz w:val="20"/>
                <w:szCs w:val="20"/>
                <w:color w:val="auto"/>
              </w:rPr>
            </w:pPr>
            <w:r>
              <w:rPr>
                <w:rFonts w:ascii="Arial" w:cs="Arial" w:eastAsia="Arial" w:hAnsi="Arial"/>
                <w:sz w:val="22"/>
                <w:szCs w:val="22"/>
                <w:color w:val="auto"/>
              </w:rPr>
              <w:t>No Adverse Interpretation of Other Agreements.</w:t>
            </w:r>
          </w:p>
        </w:tc>
        <w:tc>
          <w:tcPr>
            <w:tcW w:w="13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14.08</w:t>
            </w:r>
          </w:p>
        </w:tc>
        <w:tc>
          <w:tcPr>
            <w:tcW w:w="8240" w:type="dxa"/>
            <w:vAlign w:val="bottom"/>
          </w:tcPr>
          <w:p>
            <w:pPr>
              <w:ind w:left="560"/>
              <w:spacing w:after="0"/>
              <w:rPr>
                <w:sz w:val="20"/>
                <w:szCs w:val="20"/>
                <w:color w:val="auto"/>
              </w:rPr>
            </w:pPr>
            <w:r>
              <w:rPr>
                <w:rFonts w:ascii="Arial" w:cs="Arial" w:eastAsia="Arial" w:hAnsi="Arial"/>
                <w:sz w:val="22"/>
                <w:szCs w:val="22"/>
                <w:color w:val="auto"/>
              </w:rPr>
              <w:t>Successors.</w:t>
            </w:r>
          </w:p>
        </w:tc>
        <w:tc>
          <w:tcPr>
            <w:tcW w:w="13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14.09</w:t>
            </w:r>
          </w:p>
        </w:tc>
        <w:tc>
          <w:tcPr>
            <w:tcW w:w="8240" w:type="dxa"/>
            <w:vAlign w:val="bottom"/>
          </w:tcPr>
          <w:p>
            <w:pPr>
              <w:ind w:left="560"/>
              <w:spacing w:after="0"/>
              <w:rPr>
                <w:sz w:val="20"/>
                <w:szCs w:val="20"/>
                <w:color w:val="auto"/>
              </w:rPr>
            </w:pPr>
            <w:r>
              <w:rPr>
                <w:rFonts w:ascii="Arial" w:cs="Arial" w:eastAsia="Arial" w:hAnsi="Arial"/>
                <w:sz w:val="22"/>
                <w:szCs w:val="22"/>
                <w:color w:val="auto"/>
              </w:rPr>
              <w:t>Severability.</w:t>
            </w:r>
          </w:p>
        </w:tc>
        <w:tc>
          <w:tcPr>
            <w:tcW w:w="13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14.10</w:t>
            </w:r>
          </w:p>
        </w:tc>
        <w:tc>
          <w:tcPr>
            <w:tcW w:w="8240" w:type="dxa"/>
            <w:vAlign w:val="bottom"/>
          </w:tcPr>
          <w:p>
            <w:pPr>
              <w:ind w:left="560"/>
              <w:spacing w:after="0"/>
              <w:rPr>
                <w:sz w:val="20"/>
                <w:szCs w:val="20"/>
                <w:color w:val="auto"/>
              </w:rPr>
            </w:pPr>
            <w:r>
              <w:rPr>
                <w:rFonts w:ascii="Arial" w:cs="Arial" w:eastAsia="Arial" w:hAnsi="Arial"/>
                <w:sz w:val="22"/>
                <w:szCs w:val="22"/>
                <w:color w:val="auto"/>
              </w:rPr>
              <w:t>Counterpart Originals.</w:t>
            </w:r>
          </w:p>
        </w:tc>
        <w:tc>
          <w:tcPr>
            <w:tcW w:w="130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14.11</w:t>
            </w:r>
          </w:p>
        </w:tc>
        <w:tc>
          <w:tcPr>
            <w:tcW w:w="8240" w:type="dxa"/>
            <w:vAlign w:val="bottom"/>
          </w:tcPr>
          <w:p>
            <w:pPr>
              <w:ind w:left="560"/>
              <w:spacing w:after="0"/>
              <w:rPr>
                <w:sz w:val="20"/>
                <w:szCs w:val="20"/>
                <w:color w:val="auto"/>
              </w:rPr>
            </w:pPr>
            <w:r>
              <w:rPr>
                <w:rFonts w:ascii="Arial" w:cs="Arial" w:eastAsia="Arial" w:hAnsi="Arial"/>
                <w:sz w:val="22"/>
                <w:szCs w:val="22"/>
                <w:color w:val="auto"/>
              </w:rPr>
              <w:t>Table of Contents, Headings, etc.</w:t>
            </w:r>
          </w:p>
        </w:tc>
        <w:tc>
          <w:tcPr>
            <w:tcW w:w="1300" w:type="dxa"/>
            <w:vAlign w:val="bottom"/>
          </w:tcPr>
          <w:p>
            <w:pPr>
              <w:jc w:val="right"/>
              <w:spacing w:after="0"/>
              <w:rPr>
                <w:sz w:val="20"/>
                <w:szCs w:val="20"/>
                <w:color w:val="auto"/>
              </w:rPr>
            </w:pPr>
            <w:r>
              <w:rPr>
                <w:rFonts w:ascii="Arial" w:cs="Arial" w:eastAsia="Arial" w:hAnsi="Arial"/>
                <w:sz w:val="22"/>
                <w:szCs w:val="22"/>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80"/>
          </w:cols>
          <w:pgMar w:left="280" w:top="996" w:right="339" w:bottom="1440" w:gutter="0" w:footer="0" w:header="0"/>
        </w:sectPr>
      </w:pPr>
    </w:p>
    <w:bookmarkStart w:id="11" w:name="page12"/>
    <w:bookmarkEnd w:id="11"/>
    <w:p>
      <w:pPr>
        <w:ind w:left="5220"/>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FORM OF NOTE</w:t>
      </w:r>
    </w:p>
    <w:p>
      <w:pPr>
        <w:spacing w:after="0" w:line="22" w:lineRule="exact"/>
        <w:rPr>
          <w:sz w:val="20"/>
          <w:szCs w:val="20"/>
          <w:color w:val="auto"/>
        </w:rPr>
      </w:pPr>
    </w:p>
    <w:p>
      <w:pPr>
        <w:ind w:right="3499"/>
        <w:spacing w:after="0" w:line="243" w:lineRule="auto"/>
        <w:rPr>
          <w:sz w:val="20"/>
          <w:szCs w:val="20"/>
          <w:color w:val="auto"/>
        </w:rPr>
      </w:pPr>
      <w:r>
        <w:rPr>
          <w:rFonts w:ascii="Arial" w:cs="Arial" w:eastAsia="Arial" w:hAnsi="Arial"/>
          <w:sz w:val="22"/>
          <w:szCs w:val="22"/>
          <w:color w:val="auto"/>
        </w:rPr>
        <w:t>Exhibit A-2 FORM OF REGULATION S TEMPORARY GLOBAL NOTE Exhibit B FORM OF CERTIFICATE OF TRANSFER Exhibit C FORM OF CERTIFICATE OF EXCHANGE</w:t>
      </w:r>
    </w:p>
    <w:p>
      <w:pPr>
        <w:spacing w:after="0" w:line="1" w:lineRule="exact"/>
        <w:rPr>
          <w:sz w:val="20"/>
          <w:szCs w:val="20"/>
          <w:color w:val="auto"/>
        </w:rPr>
      </w:pPr>
    </w:p>
    <w:p>
      <w:pPr>
        <w:ind w:right="539"/>
        <w:spacing w:after="0" w:line="243" w:lineRule="auto"/>
        <w:rPr>
          <w:sz w:val="20"/>
          <w:szCs w:val="20"/>
          <w:color w:val="auto"/>
        </w:rPr>
      </w:pPr>
      <w:r>
        <w:rPr>
          <w:rFonts w:ascii="Arial" w:cs="Arial" w:eastAsia="Arial" w:hAnsi="Arial"/>
          <w:sz w:val="22"/>
          <w:szCs w:val="22"/>
          <w:color w:val="auto"/>
        </w:rPr>
        <w:t>Exhibit D FORM OF CERTIFICATE OF ACQUIRING INSTITUTIONAL ACCREDITED INVESTOR Exhibit E FORM OF GUARANTEE</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SUPPLEMENTAL INDENTURE</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21"/>
          <w:szCs w:val="21"/>
          <w:color w:val="auto"/>
        </w:rPr>
        <w:t>COLLATERAL DOCUMENTS</w:t>
      </w:r>
    </w:p>
    <w:p>
      <w:pPr>
        <w:sectPr>
          <w:pgSz w:w="11900" w:h="16838" w:orient="portrait"/>
          <w:cols w:equalWidth="0" w:num="1">
            <w:col w:w="10219"/>
          </w:cols>
          <w:pgMar w:left="240" w:top="631" w:right="1440" w:bottom="1440" w:gutter="0" w:footer="0" w:header="0"/>
        </w:sectPr>
      </w:pPr>
    </w:p>
    <w:bookmarkStart w:id="12" w:name="page13"/>
    <w:bookmarkEnd w:id="12"/>
    <w:p>
      <w:pPr>
        <w:jc w:val="both"/>
        <w:ind w:firstLine="648"/>
        <w:spacing w:after="0" w:line="247" w:lineRule="auto"/>
        <w:rPr>
          <w:sz w:val="20"/>
          <w:szCs w:val="20"/>
          <w:color w:val="auto"/>
        </w:rPr>
      </w:pPr>
      <w:r>
        <w:rPr>
          <w:rFonts w:ascii="Arial" w:cs="Arial" w:eastAsia="Arial" w:hAnsi="Arial"/>
          <w:sz w:val="22"/>
          <w:szCs w:val="22"/>
          <w:color w:val="auto"/>
        </w:rPr>
        <w:t>INDENTURE dated as of February 18, 2015 among Wynn Las Vegas, LLC, a Nevada limited liability company (“</w:t>
      </w:r>
      <w:r>
        <w:rPr>
          <w:rFonts w:ascii="Arial" w:cs="Arial" w:eastAsia="Arial" w:hAnsi="Arial"/>
          <w:sz w:val="22"/>
          <w:szCs w:val="22"/>
          <w:i w:val="1"/>
          <w:iCs w:val="1"/>
          <w:u w:val="single" w:color="auto"/>
          <w:color w:val="auto"/>
        </w:rPr>
        <w:t>Wynn Las</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Vegas</w:t>
      </w:r>
      <w:r>
        <w:rPr>
          <w:rFonts w:ascii="Arial" w:cs="Arial" w:eastAsia="Arial" w:hAnsi="Arial"/>
          <w:sz w:val="22"/>
          <w:szCs w:val="22"/>
          <w:color w:val="auto"/>
        </w:rPr>
        <w:t>”) and Wynn Las Vegas Capital Corp., a Nevada corporation (“</w:t>
      </w:r>
      <w:r>
        <w:rPr>
          <w:rFonts w:ascii="Arial" w:cs="Arial" w:eastAsia="Arial" w:hAnsi="Arial"/>
          <w:sz w:val="22"/>
          <w:szCs w:val="22"/>
          <w:i w:val="1"/>
          <w:iCs w:val="1"/>
          <w:u w:val="single" w:color="auto"/>
          <w:color w:val="auto"/>
        </w:rPr>
        <w:t>Wynn Capital</w:t>
      </w:r>
      <w:r>
        <w:rPr>
          <w:rFonts w:ascii="Arial" w:cs="Arial" w:eastAsia="Arial" w:hAnsi="Arial"/>
          <w:sz w:val="22"/>
          <w:szCs w:val="22"/>
          <w:color w:val="auto"/>
        </w:rPr>
        <w:t>,” and together with Wynn Las Vegas,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as joint and several obligors, and Kevyn, LLC, a Nevada limited liability company, WLV Events, LLC, a Nevada limited liability company, World Travel, LLC, a Nevada limited liability company, Wynn Show Performers, LLC, a Nevada limited liability company and Wynn Sunrise, LLC, a Nevada limited liability company, as guarantors (the “</w:t>
      </w:r>
      <w:r>
        <w:rPr>
          <w:rFonts w:ascii="Arial" w:cs="Arial" w:eastAsia="Arial" w:hAnsi="Arial"/>
          <w:sz w:val="22"/>
          <w:szCs w:val="22"/>
          <w:i w:val="1"/>
          <w:iCs w:val="1"/>
          <w:u w:val="single" w:color="auto"/>
          <w:color w:val="auto"/>
        </w:rPr>
        <w:t>Initial Guarantors</w:t>
      </w:r>
      <w:r>
        <w:rPr>
          <w:rFonts w:ascii="Arial" w:cs="Arial" w:eastAsia="Arial" w:hAnsi="Arial"/>
          <w:sz w:val="22"/>
          <w:szCs w:val="22"/>
          <w:color w:val="auto"/>
        </w:rPr>
        <w:t>”) and U.S. Bank National 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the Initial Guarantors and the Trustee agree as follows for the benefit of each other and for the equal and ratable benefit of the Holders (as defined) of the 5.50% Senior Notes due 2025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31" w:right="2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1.01</w:t>
      </w:r>
      <w:r>
        <w:rPr>
          <w:rFonts w:ascii="Arial" w:cs="Arial" w:eastAsia="Arial" w:hAnsi="Arial"/>
          <w:sz w:val="22"/>
          <w:szCs w:val="22"/>
          <w:i w:val="1"/>
          <w:iCs w:val="1"/>
          <w:color w:val="auto"/>
        </w:rPr>
        <w:t>Definitions.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7¾% 2020 Notes”</w:t>
      </w:r>
      <w:r>
        <w:rPr>
          <w:rFonts w:ascii="Arial" w:cs="Arial" w:eastAsia="Arial" w:hAnsi="Arial"/>
          <w:sz w:val="22"/>
          <w:szCs w:val="22"/>
          <w:color w:val="auto"/>
        </w:rPr>
        <w:t xml:space="preserve"> means the 7¾% First Mortgage Notes due 2020 of the Issuers that have been issued on the date of this Indenture.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7⅞% 2020 Notes</w:t>
      </w:r>
      <w:r>
        <w:rPr>
          <w:rFonts w:ascii="Arial" w:cs="Arial" w:eastAsia="Arial" w:hAnsi="Arial"/>
          <w:sz w:val="22"/>
          <w:szCs w:val="22"/>
          <w:color w:val="auto"/>
        </w:rPr>
        <w:t>” means the 7⅞% First Mortgage Notes due 2020 of the Issuers that have been issued on the date of this Indenture.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2022 Notes</w:t>
      </w:r>
      <w:r>
        <w:rPr>
          <w:rFonts w:ascii="Arial" w:cs="Arial" w:eastAsia="Arial" w:hAnsi="Arial"/>
          <w:sz w:val="22"/>
          <w:szCs w:val="22"/>
          <w:color w:val="auto"/>
        </w:rPr>
        <w:t>” means the 5.375% First Mortgage Notes due 2022 of the Issuers that have been issued on the date of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2023 Notes</w:t>
      </w:r>
      <w:r>
        <w:rPr>
          <w:rFonts w:ascii="Arial" w:cs="Arial" w:eastAsia="Arial" w:hAnsi="Arial"/>
          <w:sz w:val="19"/>
          <w:szCs w:val="19"/>
          <w:color w:val="auto"/>
        </w:rPr>
        <w:t>” means the 4¼% Senior Notes due 2023 of the Issuers that have been issued on the date of this Indenture.</w:t>
      </w:r>
    </w:p>
    <w:p>
      <w:pPr>
        <w:spacing w:after="0" w:line="2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Notes</w:t>
      </w:r>
      <w:r>
        <w:rPr>
          <w:rFonts w:ascii="Arial" w:cs="Arial" w:eastAsia="Arial" w:hAnsi="Arial"/>
          <w:sz w:val="19"/>
          <w:szCs w:val="19"/>
          <w:color w:val="auto"/>
        </w:rPr>
        <w:t>” means Additional Notes (other than the Initial Notes) issued under this Indenture in accordance with Section 2.13 hereof, as part of the same series as the Initial Notes. Any Additional Notes shall vote on all matters as one class with the Initial Notes being issued on the date hereof, including, without limitation, waivers, amendments and redemptions.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Adjusted Treasury Rate</w:t>
      </w:r>
      <w:r>
        <w:rPr>
          <w:rFonts w:ascii="Arial" w:cs="Arial" w:eastAsia="Arial" w:hAnsi="Arial"/>
          <w:sz w:val="22"/>
          <w:szCs w:val="22"/>
          <w:color w:val="auto"/>
        </w:rPr>
        <w:t>” means, with respect to any redemption date:</w:t>
      </w:r>
    </w:p>
    <w:p>
      <w:pPr>
        <w:spacing w:after="0" w:line="220" w:lineRule="exact"/>
        <w:rPr>
          <w:sz w:val="20"/>
          <w:szCs w:val="20"/>
          <w:color w:val="auto"/>
        </w:rPr>
      </w:pPr>
    </w:p>
    <w:p>
      <w:pPr>
        <w:jc w:val="both"/>
        <w:ind w:firstLine="1305"/>
        <w:spacing w:after="0" w:line="294" w:lineRule="auto"/>
        <w:tabs>
          <w:tab w:leader="none" w:pos="1728"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52" w:lineRule="exact"/>
        <w:rPr>
          <w:rFonts w:ascii="Arial" w:cs="Arial" w:eastAsia="Arial" w:hAnsi="Arial"/>
          <w:sz w:val="19"/>
          <w:szCs w:val="19"/>
          <w:color w:val="auto"/>
        </w:rPr>
      </w:pPr>
    </w:p>
    <w:p>
      <w:pPr>
        <w:jc w:val="both"/>
        <w:ind w:firstLine="1305"/>
        <w:spacing w:after="0" w:line="254" w:lineRule="auto"/>
        <w:tabs>
          <w:tab w:leader="none" w:pos="1810" w:val="left"/>
        </w:tabs>
        <w:numPr>
          <w:ilvl w:val="0"/>
          <w:numId w:val="2"/>
        </w:numPr>
        <w:rPr>
          <w:rFonts w:ascii="Arial" w:cs="Arial" w:eastAsia="Arial" w:hAnsi="Arial"/>
          <w:sz w:val="22"/>
          <w:szCs w:val="22"/>
          <w:color w:val="auto"/>
        </w:rPr>
      </w:pPr>
      <w:r>
        <w:rPr>
          <w:rFonts w:ascii="Arial" w:cs="Arial" w:eastAsia="Arial" w:hAnsi="Arial"/>
          <w:sz w:val="22"/>
          <w:szCs w:val="22"/>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 principal amount) equal to the Comparable Treasury Price for such redemption date.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Adjusted Treasury Rate shall be calculated on the third Business Day preceding the redemption date or, in the case of a satisfaction and discharge or a defeasance, on the third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22"/>
          <w:szCs w:val="22"/>
          <w:color w:val="auto"/>
        </w:rPr>
        <w:t>Day prior to the date on which Wynn Las Vegas deposits the amount required under this Indenture most nearly equal to the period from the redemption date to the maturity date.</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w:t>
      </w:r>
      <w:r>
        <w:rPr>
          <w:rFonts w:ascii="Arial" w:cs="Arial" w:eastAsia="Arial" w:hAnsi="Arial"/>
          <w:sz w:val="22"/>
          <w:szCs w:val="22"/>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Aircraft Assets</w:t>
      </w:r>
      <w:r>
        <w:rPr>
          <w:rFonts w:ascii="Arial" w:cs="Arial" w:eastAsia="Arial" w:hAnsi="Arial"/>
          <w:sz w:val="21"/>
          <w:szCs w:val="21"/>
          <w:color w:val="auto"/>
        </w:rPr>
        <w:t>” means (1) the Aircraft, together with the products and proceeds thereof, and (2) the Aircraft Note.</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 Note</w:t>
      </w:r>
      <w:r>
        <w:rPr>
          <w:rFonts w:ascii="Arial" w:cs="Arial" w:eastAsia="Arial" w:hAnsi="Arial"/>
          <w:sz w:val="22"/>
          <w:szCs w:val="22"/>
          <w:color w:val="auto"/>
        </w:rPr>
        <w:t>” means that certain promissory note, dated as of March 30, 2007, issued by World Travel, LLC in favor of Wynn Las Vegas in an aggregate principal amount of $42.0 million.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Procedures</w:t>
      </w:r>
      <w:r>
        <w:rPr>
          <w:rFonts w:ascii="Arial" w:cs="Arial" w:eastAsia="Arial" w:hAnsi="Arial"/>
          <w:sz w:val="22"/>
          <w:szCs w:val="22"/>
          <w:color w:val="auto"/>
        </w:rPr>
        <w:t>” means, with respect to any transfer or exchange of or for beneficial interests in any Global Note, the rules and procedures of the Depositary that apply to such transfer or exchange.</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Attributable Debt</w:t>
      </w:r>
      <w:r>
        <w:rPr>
          <w:rFonts w:ascii="Arial" w:cs="Arial" w:eastAsia="Arial" w:hAnsi="Arial"/>
          <w:sz w:val="19"/>
          <w:szCs w:val="19"/>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or state law for the relief of debtors.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Beneficial Owner</w:t>
      </w:r>
      <w:r>
        <w:rPr>
          <w:rFonts w:ascii="Arial" w:cs="Arial" w:eastAsia="Arial" w:hAnsi="Arial"/>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5" w:name="page16"/>
    <w:bookmarkEnd w:id="15"/>
    <w:p>
      <w:pPr>
        <w:spacing w:after="0"/>
        <w:rPr>
          <w:sz w:val="20"/>
          <w:szCs w:val="20"/>
          <w:color w:val="auto"/>
        </w:rPr>
      </w:pPr>
      <w:r>
        <w:rPr>
          <w:rFonts w:ascii="Arial" w:cs="Arial" w:eastAsia="Arial" w:hAnsi="Arial"/>
          <w:sz w:val="21"/>
          <w:szCs w:val="21"/>
          <w:color w:val="auto"/>
        </w:rPr>
        <w:t>only after the passage of time. The terms “Beneficially Owns” and “Beneficially Owned” have a corresponding meaning.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20" w:lineRule="exact"/>
        <w:rPr>
          <w:sz w:val="20"/>
          <w:szCs w:val="20"/>
          <w:color w:val="auto"/>
        </w:rPr>
      </w:pPr>
    </w:p>
    <w:p>
      <w:pPr>
        <w:ind w:firstLine="1305"/>
        <w:spacing w:after="0" w:line="263" w:lineRule="auto"/>
        <w:tabs>
          <w:tab w:leader="none" w:pos="2845" w:val="left"/>
        </w:tabs>
        <w:numPr>
          <w:ilvl w:val="0"/>
          <w:numId w:val="3"/>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175" w:lineRule="exact"/>
        <w:rPr>
          <w:sz w:val="20"/>
          <w:szCs w:val="20"/>
          <w:color w:val="auto"/>
        </w:rPr>
      </w:pPr>
    </w:p>
    <w:p>
      <w:pPr>
        <w:ind w:left="1740" w:hanging="435"/>
        <w:spacing w:after="0"/>
        <w:tabs>
          <w:tab w:leader="none" w:pos="1740" w:val="left"/>
        </w:tabs>
        <w:numPr>
          <w:ilvl w:val="0"/>
          <w:numId w:val="4"/>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33" w:lineRule="exact"/>
        <w:rPr>
          <w:rFonts w:ascii="Arial" w:cs="Arial" w:eastAsia="Arial" w:hAnsi="Arial"/>
          <w:sz w:val="22"/>
          <w:szCs w:val="22"/>
          <w:color w:val="auto"/>
        </w:rPr>
      </w:pPr>
    </w:p>
    <w:p>
      <w:pPr>
        <w:ind w:firstLine="1305"/>
        <w:spacing w:after="0" w:line="276" w:lineRule="auto"/>
        <w:tabs>
          <w:tab w:leader="none" w:pos="1756" w:val="left"/>
        </w:tabs>
        <w:numPr>
          <w:ilvl w:val="0"/>
          <w:numId w:val="4"/>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4"/>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Lease Obligation</w:t>
      </w:r>
      <w:r>
        <w:rPr>
          <w:rFonts w:ascii="Arial" w:cs="Arial" w:eastAsia="Arial" w:hAnsi="Arial"/>
          <w:sz w:val="22"/>
          <w:szCs w:val="22"/>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20" w:lineRule="exact"/>
        <w:rPr>
          <w:sz w:val="20"/>
          <w:szCs w:val="20"/>
          <w:color w:val="auto"/>
        </w:rPr>
      </w:pPr>
    </w:p>
    <w:p>
      <w:pPr>
        <w:ind w:left="1740" w:hanging="435"/>
        <w:spacing w:after="0"/>
        <w:tabs>
          <w:tab w:leader="none" w:pos="17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33" w:lineRule="exact"/>
        <w:rPr>
          <w:rFonts w:ascii="Arial" w:cs="Arial" w:eastAsia="Arial" w:hAnsi="Arial"/>
          <w:sz w:val="22"/>
          <w:szCs w:val="22"/>
          <w:color w:val="auto"/>
        </w:rPr>
      </w:pPr>
    </w:p>
    <w:p>
      <w:pPr>
        <w:ind w:right="20" w:firstLine="1305"/>
        <w:spacing w:after="0" w:line="276" w:lineRule="auto"/>
        <w:tabs>
          <w:tab w:leader="none" w:pos="1837"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60" w:lineRule="exact"/>
        <w:rPr>
          <w:rFonts w:ascii="Arial" w:cs="Arial" w:eastAsia="Arial" w:hAnsi="Arial"/>
          <w:sz w:val="22"/>
          <w:szCs w:val="22"/>
          <w:color w:val="auto"/>
        </w:rPr>
      </w:pPr>
    </w:p>
    <w:p>
      <w:pPr>
        <w:ind w:firstLine="1305"/>
        <w:spacing w:after="0" w:line="276" w:lineRule="auto"/>
        <w:tabs>
          <w:tab w:leader="none" w:pos="1783"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742" w:val="left"/>
        </w:tabs>
        <w:numPr>
          <w:ilvl w:val="0"/>
          <w:numId w:val="5"/>
        </w:numPr>
        <w:rPr>
          <w:rFonts w:ascii="Arial" w:cs="Arial" w:eastAsia="Arial" w:hAnsi="Arial"/>
          <w:sz w:val="21"/>
          <w:szCs w:val="21"/>
          <w:color w:val="auto"/>
        </w:rPr>
      </w:pPr>
      <w:r>
        <w:rPr>
          <w:rFonts w:ascii="Arial" w:cs="Arial" w:eastAsia="Arial" w:hAnsi="Arial"/>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20" w:lineRule="exact"/>
        <w:rPr>
          <w:sz w:val="20"/>
          <w:szCs w:val="20"/>
          <w:color w:val="auto"/>
        </w:rPr>
      </w:pPr>
    </w:p>
    <w:p>
      <w:pPr>
        <w:jc w:val="both"/>
        <w:ind w:firstLine="1305"/>
        <w:spacing w:after="0" w:line="320" w:lineRule="auto"/>
        <w:tabs>
          <w:tab w:leader="none" w:pos="1945"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direct or indirect sale, transfer, conveyance or other disposition (other than by way of merger or consolidation), in one or a series of related transactions, of all or substantially all of the properties or assets of the Issuers and the Guarantors, taken as a whole, to any “person” (as that term is used in Section 13(d)(3) of the Exchange Act), other than to (a)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Principal or a Related Party of the Principal or (b) any Parent Entity and any Subsidiary of any Parent Entity;</w:t>
      </w:r>
    </w:p>
    <w:p>
      <w:pPr>
        <w:spacing w:after="0" w:line="220" w:lineRule="exact"/>
        <w:rPr>
          <w:sz w:val="20"/>
          <w:szCs w:val="20"/>
          <w:color w:val="auto"/>
        </w:rPr>
      </w:pPr>
    </w:p>
    <w:p>
      <w:pPr>
        <w:ind w:left="1740" w:hanging="435"/>
        <w:spacing w:after="0"/>
        <w:tabs>
          <w:tab w:leader="none" w:pos="174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adoption of a plan relating to the liquidation or dissolution of either Issuer or any successor thereto;</w:t>
      </w:r>
    </w:p>
    <w:p>
      <w:pPr>
        <w:spacing w:after="0" w:line="244" w:lineRule="exact"/>
        <w:rPr>
          <w:rFonts w:ascii="Arial" w:cs="Arial" w:eastAsia="Arial" w:hAnsi="Arial"/>
          <w:sz w:val="21"/>
          <w:szCs w:val="21"/>
          <w:color w:val="auto"/>
        </w:rPr>
      </w:pPr>
    </w:p>
    <w:p>
      <w:pPr>
        <w:jc w:val="both"/>
        <w:ind w:firstLine="1305"/>
        <w:spacing w:after="0" w:line="251" w:lineRule="auto"/>
        <w:tabs>
          <w:tab w:leader="none" w:pos="1769"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other than (a) the Principal and any of his Related Parties and (b) any Parent Entity and any Subsidiary of any Parent Entity;</w:t>
      </w:r>
    </w:p>
    <w:p>
      <w:pPr>
        <w:spacing w:after="0" w:line="189" w:lineRule="exact"/>
        <w:rPr>
          <w:rFonts w:ascii="Arial" w:cs="Arial" w:eastAsia="Arial" w:hAnsi="Arial"/>
          <w:sz w:val="22"/>
          <w:szCs w:val="22"/>
          <w:color w:val="auto"/>
        </w:rPr>
      </w:pPr>
    </w:p>
    <w:p>
      <w:pPr>
        <w:jc w:val="both"/>
        <w:ind w:firstLine="1305"/>
        <w:spacing w:after="0" w:line="262" w:lineRule="auto"/>
        <w:tabs>
          <w:tab w:leader="none" w:pos="1742" w:val="left"/>
        </w:tabs>
        <w:numPr>
          <w:ilvl w:val="0"/>
          <w:numId w:val="7"/>
        </w:numPr>
        <w:rPr>
          <w:rFonts w:ascii="Arial" w:cs="Arial" w:eastAsia="Arial" w:hAnsi="Arial"/>
          <w:sz w:val="21"/>
          <w:szCs w:val="21"/>
          <w:color w:val="auto"/>
        </w:rPr>
      </w:pPr>
      <w:r>
        <w:rPr>
          <w:rFonts w:ascii="Arial" w:cs="Arial" w:eastAsia="Arial" w:hAnsi="Arial"/>
          <w:sz w:val="21"/>
          <w:szCs w:val="21"/>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of the surviving or transferee Person constituting a majority of the outstanding shares of such Voting Stock of such surviving or transferee Person (immediately after giving effect to such issuance);</w:t>
      </w:r>
    </w:p>
    <w:p>
      <w:pPr>
        <w:spacing w:after="0" w:line="180" w:lineRule="exact"/>
        <w:rPr>
          <w:rFonts w:ascii="Arial" w:cs="Arial" w:eastAsia="Arial" w:hAnsi="Arial"/>
          <w:sz w:val="21"/>
          <w:szCs w:val="21"/>
          <w:color w:val="auto"/>
        </w:rPr>
      </w:pPr>
    </w:p>
    <w:p>
      <w:pPr>
        <w:ind w:firstLine="1305"/>
        <w:spacing w:after="0" w:line="276" w:lineRule="auto"/>
        <w:tabs>
          <w:tab w:leader="none" w:pos="1756"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first day on which Wynn Resorts ceases to own, directly or indirectly, 60% or more of the voting power of the outstanding Equity Interests of Wynn Las Vegas;</w:t>
      </w:r>
    </w:p>
    <w:p>
      <w:pPr>
        <w:spacing w:after="0" w:line="160" w:lineRule="exact"/>
        <w:rPr>
          <w:rFonts w:ascii="Arial" w:cs="Arial" w:eastAsia="Arial" w:hAnsi="Arial"/>
          <w:sz w:val="22"/>
          <w:szCs w:val="22"/>
          <w:color w:val="auto"/>
        </w:rPr>
      </w:pPr>
    </w:p>
    <w:p>
      <w:pPr>
        <w:ind w:right="20" w:firstLine="1305"/>
        <w:spacing w:after="0" w:line="276" w:lineRule="auto"/>
        <w:tabs>
          <w:tab w:leader="none" w:pos="1769"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2022 Notes to the extent any of the 2022 Notes are then outstanding; or</w:t>
      </w:r>
    </w:p>
    <w:p>
      <w:pPr>
        <w:spacing w:after="0" w:line="160" w:lineRule="exact"/>
        <w:rPr>
          <w:rFonts w:ascii="Arial" w:cs="Arial" w:eastAsia="Arial" w:hAnsi="Arial"/>
          <w:sz w:val="22"/>
          <w:szCs w:val="22"/>
          <w:color w:val="auto"/>
        </w:rPr>
      </w:pPr>
    </w:p>
    <w:p>
      <w:pPr>
        <w:ind w:right="20" w:firstLine="1305"/>
        <w:spacing w:after="0" w:line="276" w:lineRule="auto"/>
        <w:tabs>
          <w:tab w:leader="none" w:pos="1769"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2023 Notes to the extent any of the 2023 Notes are then outstanding.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the above, a Change of Control shall not occur solely by reason of a Permitted C-Corp. Conversion.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Triggering Event</w:t>
      </w:r>
      <w:r>
        <w:rPr>
          <w:rFonts w:ascii="Arial" w:cs="Arial" w:eastAsia="Arial" w:hAnsi="Arial"/>
          <w:sz w:val="22"/>
          <w:szCs w:val="22"/>
          <w:color w:val="auto"/>
        </w:rPr>
        <w:t>” means the occurrence of both a Change of Control and a Ratings Event.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 Date</w:t>
      </w:r>
      <w:r>
        <w:rPr>
          <w:rFonts w:ascii="Arial" w:cs="Arial" w:eastAsia="Arial" w:hAnsi="Arial"/>
          <w:sz w:val="22"/>
          <w:szCs w:val="22"/>
          <w:color w:val="auto"/>
        </w:rPr>
        <w:t>” means February 18, 2015.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w:t>
      </w:r>
      <w:r>
        <w:rPr>
          <w:rFonts w:ascii="Arial" w:cs="Arial" w:eastAsia="Arial" w:hAnsi="Arial"/>
          <w:sz w:val="22"/>
          <w:szCs w:val="22"/>
          <w:color w:val="auto"/>
        </w:rPr>
        <w:t>” has the meaning given to such term in the Pledge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7" w:name="page18"/>
    <w:bookmarkEnd w:id="17"/>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Agent</w:t>
      </w:r>
      <w:r>
        <w:rPr>
          <w:rFonts w:ascii="Arial" w:cs="Arial" w:eastAsia="Arial" w:hAnsi="Arial"/>
          <w:sz w:val="22"/>
          <w:szCs w:val="22"/>
          <w:color w:val="auto"/>
        </w:rPr>
        <w:t>” shall mean Deutsche Bank Trust Company Americas, in its capacity as collateral agent under the Pledge Agreement and the Intercreditor Agreement, and its successors and assigns in such capacity.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Documents</w:t>
      </w:r>
      <w:r>
        <w:rPr>
          <w:rFonts w:ascii="Arial" w:cs="Arial" w:eastAsia="Arial" w:hAnsi="Arial"/>
          <w:sz w:val="22"/>
          <w:szCs w:val="22"/>
          <w:color w:val="auto"/>
        </w:rPr>
        <w:t>” means:</w:t>
      </w:r>
    </w:p>
    <w:p>
      <w:pPr>
        <w:spacing w:after="0" w:line="220" w:lineRule="exact"/>
        <w:rPr>
          <w:sz w:val="20"/>
          <w:szCs w:val="20"/>
          <w:color w:val="auto"/>
        </w:rPr>
      </w:pPr>
    </w:p>
    <w:p>
      <w:pPr>
        <w:ind w:left="2860" w:hanging="1555"/>
        <w:spacing w:after="0"/>
        <w:tabs>
          <w:tab w:leader="none" w:pos="2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Pledge Agreement;</w:t>
      </w:r>
    </w:p>
    <w:p>
      <w:pPr>
        <w:spacing w:after="0" w:line="219" w:lineRule="exact"/>
        <w:rPr>
          <w:rFonts w:ascii="Arial" w:cs="Arial" w:eastAsia="Arial" w:hAnsi="Arial"/>
          <w:sz w:val="22"/>
          <w:szCs w:val="22"/>
          <w:color w:val="auto"/>
        </w:rPr>
      </w:pPr>
    </w:p>
    <w:p>
      <w:pPr>
        <w:ind w:left="2860" w:hanging="1555"/>
        <w:spacing w:after="0"/>
        <w:tabs>
          <w:tab w:leader="none" w:pos="2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Intercreditor Agreement; and</w:t>
      </w:r>
    </w:p>
    <w:p>
      <w:pPr>
        <w:spacing w:after="0" w:line="219" w:lineRule="exact"/>
        <w:rPr>
          <w:rFonts w:ascii="Arial" w:cs="Arial" w:eastAsia="Arial" w:hAnsi="Arial"/>
          <w:sz w:val="22"/>
          <w:szCs w:val="22"/>
          <w:color w:val="auto"/>
        </w:rPr>
      </w:pPr>
    </w:p>
    <w:p>
      <w:pPr>
        <w:ind w:left="2860" w:hanging="1555"/>
        <w:spacing w:after="0"/>
        <w:tabs>
          <w:tab w:leader="none" w:pos="286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instruments or filings that evidence, perfect or acknowledge the security interest of the Collateral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Agent in the Collateral,</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each case, as amended, modified or otherwise supplemented from time to time in accordance with their respective terms and with this Indenture and the Collateral Documents.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Issue</w:t>
      </w:r>
      <w:r>
        <w:rPr>
          <w:rFonts w:ascii="Arial" w:cs="Arial" w:eastAsia="Arial" w:hAnsi="Arial"/>
          <w:sz w:val="22"/>
          <w:szCs w:val="22"/>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w:t>
      </w:r>
      <w:r>
        <w:rPr>
          <w:rFonts w:ascii="Arial" w:cs="Arial" w:eastAsia="Arial" w:hAnsi="Arial"/>
          <w:sz w:val="22"/>
          <w:szCs w:val="22"/>
          <w:i w:val="1"/>
          <w:iCs w:val="1"/>
          <w:color w:val="auto"/>
        </w:rPr>
        <w:t>Remaining Life</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Price</w:t>
      </w:r>
      <w:r>
        <w:rPr>
          <w:rFonts w:ascii="Arial" w:cs="Arial" w:eastAsia="Arial" w:hAnsi="Arial"/>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02" w:lineRule="exact"/>
        <w:rPr>
          <w:sz w:val="20"/>
          <w:szCs w:val="20"/>
          <w:color w:val="auto"/>
        </w:rPr>
      </w:pPr>
    </w:p>
    <w:p>
      <w:pPr>
        <w:ind w:left="1740" w:hanging="435"/>
        <w:spacing w:after="0"/>
        <w:tabs>
          <w:tab w:leader="none" w:pos="1740" w:val="left"/>
        </w:tabs>
        <w:numPr>
          <w:ilvl w:val="0"/>
          <w:numId w:val="9"/>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10" w:val="left"/>
        </w:tabs>
        <w:numPr>
          <w:ilvl w:val="0"/>
          <w:numId w:val="9"/>
        </w:numPr>
        <w:rPr>
          <w:rFonts w:ascii="Arial" w:cs="Arial" w:eastAsia="Arial" w:hAnsi="Arial"/>
          <w:sz w:val="22"/>
          <w:szCs w:val="22"/>
          <w:color w:val="auto"/>
        </w:rPr>
      </w:pPr>
      <w:r>
        <w:rPr>
          <w:rFonts w:ascii="Arial" w:cs="Arial" w:eastAsia="Arial" w:hAnsi="Arial"/>
          <w:sz w:val="22"/>
          <w:szCs w:val="22"/>
          <w:color w:val="auto"/>
        </w:rPr>
        <w:t>was nominated for election, or was elected or appointed, to such Board of Directors with the approval of a majority of the Continuing Directors who were members of such Board of Directors at the time of such nomination, election or appointment.</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14.01 hereof or such other address as to which the Trustee may give notice to the Issuers.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5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Definitive Note</w:t>
      </w:r>
      <w:r>
        <w:rPr>
          <w:rFonts w:ascii="Arial" w:cs="Arial" w:eastAsia="Arial" w:hAnsi="Arial"/>
          <w:sz w:val="22"/>
          <w:szCs w:val="22"/>
          <w:color w:val="auto"/>
        </w:rPr>
        <w:t xml:space="preserve">” means a certificated Note registered in the name of the Holder thereof and issued in accordance with Section 2.06 hereof,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except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22"/>
          <w:szCs w:val="22"/>
          <w:color w:val="auto"/>
        </w:rPr>
        <w:t>that such Note shall not bear the Global Note Legend and shall not have the “Schedule of Exchanges of Interest in the Global Note” attached thereto.</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Discharge</w:t>
      </w:r>
      <w:r>
        <w:rPr>
          <w:rFonts w:ascii="Arial" w:cs="Arial" w:eastAsia="Arial" w:hAnsi="Arial"/>
          <w:sz w:val="22"/>
          <w:szCs w:val="22"/>
          <w:color w:val="auto"/>
        </w:rPr>
        <w:t>” has the meaning given in the Intercreditor Agreement.</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Domestic Subsidiary</w:t>
      </w:r>
      <w:r>
        <w:rPr>
          <w:rFonts w:ascii="Arial" w:cs="Arial" w:eastAsia="Arial" w:hAnsi="Arial"/>
          <w:sz w:val="22"/>
          <w:szCs w:val="22"/>
          <w:color w:val="auto"/>
        </w:rPr>
        <w:t>” means any Subsidiary of Wynn Las Vegas (other than Wynn Capital) that was formed under the laws of the United States or any state of the United States or the District of Columbia or that guarantees or otherwise provides direct credit support for any Indebtedness of Wynn Las Vegas.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Notes</w:t>
      </w:r>
      <w:r>
        <w:rPr>
          <w:rFonts w:ascii="Arial" w:cs="Arial" w:eastAsia="Arial" w:hAnsi="Arial"/>
          <w:sz w:val="22"/>
          <w:szCs w:val="22"/>
          <w:color w:val="auto"/>
        </w:rPr>
        <w:t>” means the 7¾% 2020 Notes, the 7⅞% 2020 Notes, the 2022 Notes and the 2023 Notes.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Excluded Subsidiary</w:t>
      </w:r>
      <w:r>
        <w:rPr>
          <w:rFonts w:ascii="Arial" w:cs="Arial" w:eastAsia="Arial" w:hAnsi="Arial"/>
          <w:sz w:val="19"/>
          <w:szCs w:val="19"/>
          <w:color w:val="auto"/>
        </w:rPr>
        <w:t>” means any Subsidiary of Wynn Las Vegas, other than Wynn Capital, that is designated by the Board of Directors of Wynn Capital as an Excluded Subsidiary pursuant to a resolution of the Board of Directors (and any Subsidiary of each such Excluded Subsidiary), but only to the extent that such Subsidiary of Wynn Las Vegas does not, directly or indirectly, guarantee or otherwise provide direct credit support for any Indebtedness of Wynn Las Vegas and is not subject to any covenants in, or Liens securing, the Existing Notes; provided that if any Excluded Subsidiary directly or indirectly, guarantees or otherwise provides direct credit support for any Indebtedness of Wynn Las Vegas or becomes subject to the covenants in, or Liens securing, the Existing Notes, such Excluded Subsidiary will thereafter not be an Excluded Subsidiary.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means the value that would be paid by a willing buyer to an unaffiliated willing seller in a transaction not involving distress or necessity of either party, determined in good faith by (1) an appropriate officer of Wynn Las Vegas, in the case of any value equal to or less than $25.0 million or (2) the Board of Directors of Wynn Capital, in the event of any value greater than $25.0 million (in each case, unless otherwise provided in this Indenture).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9" w:name="page20"/>
    <w:bookmarkEnd w:id="19"/>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Funded Debt</w:t>
      </w:r>
      <w:r>
        <w:rPr>
          <w:rFonts w:ascii="Arial" w:cs="Arial" w:eastAsia="Arial" w:hAnsi="Arial"/>
          <w:sz w:val="22"/>
          <w:szCs w:val="22"/>
          <w:color w:val="auto"/>
        </w:rPr>
        <w:t>” means all Indebtedness of Wynn Las Vegas or any Guarantor that (i) matures by its terms on, or is renewable at the option of any obligor thereon to, a date more than one year after the date of original issuance of such Indebtedness and (ii) ranks at least pari passu with the Notes or the applicable Note Guarantee.</w:t>
      </w:r>
    </w:p>
    <w:p>
      <w:pPr>
        <w:spacing w:after="0" w:line="18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GAAP</w:t>
      </w:r>
      <w:r>
        <w:rPr>
          <w:rFonts w:ascii="Arial" w:cs="Arial" w:eastAsia="Arial" w:hAnsi="Arial"/>
          <w:sz w:val="21"/>
          <w:szCs w:val="21"/>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Authority</w:t>
      </w:r>
      <w:r>
        <w:rPr>
          <w:rFonts w:ascii="Arial" w:cs="Arial" w:eastAsia="Arial" w:hAnsi="Arial"/>
          <w:sz w:val="19"/>
          <w:szCs w:val="19"/>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hereof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Guarantors.</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Law</w:t>
      </w:r>
      <w:r>
        <w:rPr>
          <w:rFonts w:ascii="Arial" w:cs="Arial" w:eastAsia="Arial" w:hAnsi="Arial"/>
          <w:sz w:val="22"/>
          <w:szCs w:val="22"/>
          <w:color w:val="auto"/>
        </w:rPr>
        <w:t>” means the gaming laws, rules, regulations or ordinances of any jurisdiction or jurisdictions to which Wynn Las Vegas or any of the Guarantors is, or may be, at any time subject.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any license, permit, franchise or other authorization from any Gaming Authority necessary on the date of this Indenture or at any time thereafter to own, lease, operate or otherwise conduct the gaming business of Wynn Las Vegas or any of the Guarantors.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which is required to be placed on all Global Notes issued under this Indenture.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xml:space="preserve">” means each of the global Notes issued in accordance with Section 2.01 and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20" w:lineRule="exact"/>
        <w:rPr>
          <w:sz w:val="20"/>
          <w:szCs w:val="20"/>
          <w:color w:val="auto"/>
        </w:rPr>
      </w:pPr>
    </w:p>
    <w:p>
      <w:pPr>
        <w:ind w:left="1800" w:hanging="495"/>
        <w:spacing w:after="0"/>
        <w:tabs>
          <w:tab w:leader="none" w:pos="18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 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pledged; or</w:t>
      </w:r>
    </w:p>
    <w:p>
      <w:pPr>
        <w:spacing w:after="0" w:line="215" w:lineRule="exact"/>
        <w:rPr>
          <w:sz w:val="20"/>
          <w:szCs w:val="20"/>
          <w:color w:val="auto"/>
        </w:rPr>
      </w:pPr>
    </w:p>
    <w:p>
      <w:pPr>
        <w:jc w:val="both"/>
        <w:ind w:firstLine="1305"/>
        <w:spacing w:after="0" w:line="260" w:lineRule="auto"/>
        <w:tabs>
          <w:tab w:leader="none" w:pos="1796" w:val="left"/>
        </w:tabs>
        <w:numPr>
          <w:ilvl w:val="0"/>
          <w:numId w:val="11"/>
        </w:numPr>
        <w:rPr>
          <w:rFonts w:ascii="Arial" w:cs="Arial" w:eastAsia="Arial" w:hAnsi="Arial"/>
          <w:sz w:val="22"/>
          <w:szCs w:val="22"/>
          <w:color w:val="auto"/>
        </w:rPr>
      </w:pPr>
      <w:r>
        <w:rPr>
          <w:rFonts w:ascii="Arial" w:cs="Arial" w:eastAsia="Arial" w:hAnsi="Arial"/>
          <w:sz w:val="22"/>
          <w:szCs w:val="22"/>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20" w:name="page21"/>
    <w:bookmarkEnd w:id="20"/>
    <w:p>
      <w:pPr>
        <w:jc w:val="both"/>
        <w:spacing w:after="0" w:line="246" w:lineRule="auto"/>
        <w:rPr>
          <w:sz w:val="20"/>
          <w:szCs w:val="20"/>
          <w:color w:val="auto"/>
        </w:rPr>
      </w:pPr>
      <w:r>
        <w:rPr>
          <w:rFonts w:ascii="Arial" w:cs="Arial" w:eastAsia="Arial" w:hAnsi="Arial"/>
          <w:sz w:val="22"/>
          <w:szCs w:val="22"/>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w:t>
      </w:r>
      <w:r>
        <w:rPr>
          <w:rFonts w:ascii="Arial" w:cs="Arial" w:eastAsia="Arial" w:hAnsi="Arial"/>
          <w:sz w:val="22"/>
          <w:szCs w:val="22"/>
          <w:color w:val="auto"/>
        </w:rPr>
        <w:t>” means each of:</w:t>
      </w:r>
    </w:p>
    <w:p>
      <w:pPr>
        <w:spacing w:after="0" w:line="220" w:lineRule="exact"/>
        <w:rPr>
          <w:sz w:val="20"/>
          <w:szCs w:val="20"/>
          <w:color w:val="auto"/>
        </w:rPr>
      </w:pPr>
    </w:p>
    <w:p>
      <w:pPr>
        <w:ind w:left="1740" w:hanging="435"/>
        <w:spacing w:after="0"/>
        <w:tabs>
          <w:tab w:leader="none" w:pos="1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Domestic Subsidiaries, other than Immaterial Subsidiaries and Excluded Subsidiaries, and</w:t>
      </w:r>
    </w:p>
    <w:p>
      <w:pPr>
        <w:spacing w:after="0" w:line="233" w:lineRule="exact"/>
        <w:rPr>
          <w:rFonts w:ascii="Arial" w:cs="Arial" w:eastAsia="Arial" w:hAnsi="Arial"/>
          <w:sz w:val="22"/>
          <w:szCs w:val="22"/>
          <w:color w:val="auto"/>
        </w:rPr>
      </w:pPr>
    </w:p>
    <w:p>
      <w:pPr>
        <w:ind w:firstLine="1305"/>
        <w:spacing w:after="0" w:line="276" w:lineRule="auto"/>
        <w:tabs>
          <w:tab w:leader="none" w:pos="1837"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other Person that provides a Guarantee by executing a supplemental indenture in accordance with the provisions of this Indenture,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and, except to the extent the applicable Note Guarantee is released in accordance with Section 11.05 hereof, their respective successors and assigns (other than the Issuers). A Person shall cease to be a Guarantor following the release of its Note Guarantee as described in Section 11.05 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20" w:lineRule="exact"/>
        <w:rPr>
          <w:sz w:val="20"/>
          <w:szCs w:val="20"/>
          <w:color w:val="auto"/>
        </w:rPr>
      </w:pPr>
    </w:p>
    <w:p>
      <w:pPr>
        <w:ind w:firstLine="1305"/>
        <w:spacing w:after="0" w:line="276" w:lineRule="auto"/>
        <w:tabs>
          <w:tab w:leader="none" w:pos="1864"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33" w:lineRule="exact"/>
        <w:rPr>
          <w:rFonts w:ascii="Arial" w:cs="Arial" w:eastAsia="Arial" w:hAnsi="Arial"/>
          <w:sz w:val="22"/>
          <w:szCs w:val="22"/>
          <w:color w:val="auto"/>
        </w:rPr>
      </w:pPr>
    </w:p>
    <w:p>
      <w:pPr>
        <w:ind w:firstLine="1305"/>
        <w:spacing w:after="0" w:line="276" w:lineRule="auto"/>
        <w:tabs>
          <w:tab w:leader="none" w:pos="17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IAI Global Note</w:t>
      </w:r>
      <w:r>
        <w:rPr>
          <w:rFonts w:ascii="Arial" w:cs="Arial" w:eastAsia="Arial" w:hAnsi="Arial"/>
          <w:sz w:val="22"/>
          <w:szCs w:val="22"/>
          <w:color w:val="auto"/>
        </w:rPr>
        <w:t xml:space="preserve">” means a Global Note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bearing the Global Note Legend and the Private Placement Legend and deposited with or on behalf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22"/>
          <w:szCs w:val="22"/>
          <w:color w:val="auto"/>
        </w:rPr>
        <w:t>of and registered in the name of the Depositary or its nominee that shall be issued in a denomination equal to the outstanding principal amount of the Notes sold to Institutional Accredited Investors.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Immaterial Subsidiary</w:t>
      </w:r>
      <w:r>
        <w:rPr>
          <w:rFonts w:ascii="Arial" w:cs="Arial" w:eastAsia="Arial" w:hAnsi="Arial"/>
          <w:sz w:val="22"/>
          <w:szCs w:val="22"/>
          <w:color w:val="auto"/>
        </w:rPr>
        <w:t>” means, as of any date, any Subsidiary whose total assets, as of that date, are less than $500,000 and whose total revenues for the most recent 12-month period do not exceed $500,000; provided that a Subsidiary shall not be considered to be an Immaterial Subsidiary if it, directly or indirectly, guarantees or otherwise provides direct credit support for any Indebtedness of Wynn Las Vegas.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175" w:lineRule="exact"/>
        <w:rPr>
          <w:sz w:val="20"/>
          <w:szCs w:val="20"/>
          <w:color w:val="auto"/>
        </w:rPr>
      </w:pPr>
    </w:p>
    <w:p>
      <w:pPr>
        <w:ind w:left="1740" w:hanging="435"/>
        <w:spacing w:after="0"/>
        <w:tabs>
          <w:tab w:leader="none" w:pos="1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evidenced by bonds, notes, debentures or similar instruments or letters of credit (or reimbursement agreements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respect thereof);</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representing Capital Lease Obligations or Attributable Debt;</w:t>
      </w:r>
    </w:p>
    <w:p>
      <w:pPr>
        <w:spacing w:after="0" w:line="233" w:lineRule="exact"/>
        <w:rPr>
          <w:rFonts w:ascii="Arial" w:cs="Arial" w:eastAsia="Arial" w:hAnsi="Arial"/>
          <w:sz w:val="22"/>
          <w:szCs w:val="22"/>
          <w:color w:val="auto"/>
        </w:rPr>
      </w:pPr>
    </w:p>
    <w:p>
      <w:pPr>
        <w:ind w:right="20" w:firstLine="1305"/>
        <w:spacing w:after="0" w:line="276" w:lineRule="auto"/>
        <w:tabs>
          <w:tab w:leader="none" w:pos="1769"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20" w:lineRule="exact"/>
        <w:rPr>
          <w:sz w:val="20"/>
          <w:szCs w:val="20"/>
          <w:color w:val="auto"/>
        </w:rPr>
      </w:pPr>
    </w:p>
    <w:p>
      <w:pPr>
        <w:ind w:left="1740" w:hanging="435"/>
        <w:spacing w:after="0"/>
        <w:tabs>
          <w:tab w:leader="none" w:pos="17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67" w:lineRule="exact"/>
        <w:rPr>
          <w:rFonts w:ascii="Arial" w:cs="Arial" w:eastAsia="Arial" w:hAnsi="Arial"/>
          <w:sz w:val="19"/>
          <w:szCs w:val="19"/>
          <w:color w:val="auto"/>
        </w:rPr>
      </w:pPr>
    </w:p>
    <w:p>
      <w:pPr>
        <w:ind w:right="20" w:firstLine="1305"/>
        <w:spacing w:after="0" w:line="276" w:lineRule="auto"/>
        <w:tabs>
          <w:tab w:leader="none" w:pos="178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 the case of a Guarantee of Indebtedness, the maximum amount of the Indebtedness guaranteed under such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Guarantee; and</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 the case of Indebtedness of others secured by a Lien on any asset of the specified Person, the lesser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22" w:name="page23"/>
    <w:bookmarkEnd w:id="22"/>
    <w:p>
      <w:pPr>
        <w:ind w:firstLine="1945"/>
        <w:spacing w:after="0" w:line="263" w:lineRule="auto"/>
        <w:rPr>
          <w:sz w:val="20"/>
          <w:szCs w:val="20"/>
          <w:color w:val="auto"/>
        </w:rPr>
      </w:pPr>
      <w:r>
        <w:rPr>
          <w:rFonts w:ascii="Arial" w:cs="Arial" w:eastAsia="Arial" w:hAnsi="Arial"/>
          <w:sz w:val="22"/>
          <w:szCs w:val="22"/>
          <w:color w:val="auto"/>
        </w:rPr>
        <w:t>(a) the face amount of such Indebtedness (plus, in the case of any letter of credit or similar instrument, the amount of any reimbursement obligations in respect thereof), and</w:t>
      </w:r>
    </w:p>
    <w:p>
      <w:pPr>
        <w:sectPr>
          <w:pgSz w:w="11900" w:h="16838" w:orient="portrait"/>
          <w:cols w:equalWidth="0" w:num="1">
            <w:col w:w="11420"/>
          </w:cols>
          <w:pgMar w:left="240" w:top="631" w:right="239" w:bottom="1440" w:gutter="0" w:footer="0" w:header="0"/>
        </w:sectPr>
      </w:pPr>
    </w:p>
    <w:p>
      <w:pPr>
        <w:spacing w:after="0" w:line="175" w:lineRule="exact"/>
        <w:rPr>
          <w:sz w:val="20"/>
          <w:szCs w:val="20"/>
          <w:color w:val="auto"/>
        </w:rPr>
      </w:pPr>
    </w:p>
    <w:p>
      <w:pPr>
        <w:jc w:val="center"/>
        <w:ind w:left="74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the Fair Market Value of the asset(s) subject to such Lien.</w:t>
      </w:r>
    </w:p>
    <w:p>
      <w:pPr>
        <w:spacing w:after="0" w:line="200" w:lineRule="exact"/>
        <w:rPr>
          <w:sz w:val="20"/>
          <w:szCs w:val="20"/>
          <w:color w:val="auto"/>
        </w:rPr>
      </w:pPr>
    </w:p>
    <w:p>
      <w:pPr>
        <w:sectPr>
          <w:pgSz w:w="11900" w:h="16838" w:orient="portrait"/>
          <w:cols w:equalWidth="0" w:num="2">
            <w:col w:w="3420" w:space="720"/>
            <w:col w:w="7280"/>
          </w:cols>
          <w:pgMar w:left="240" w:top="631" w:right="239" w:bottom="1440" w:gutter="0" w:footer="0" w:header="0"/>
          <w:type w:val="continuous"/>
        </w:sectPr>
      </w:pPr>
    </w:p>
    <w:p>
      <w:pPr>
        <w:spacing w:after="0" w:line="54"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Notwithstanding anything contained in this Indenture to the contrary, any obligation of the Issuers or Guarantors incurred in the ordinary course of business in respect of casino chips or similar instruments shall not constitute “Indebtedness” for any purpose under this Indenture.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Independent Investment Banker</w:t>
      </w:r>
      <w:r>
        <w:rPr>
          <w:rFonts w:ascii="Arial" w:cs="Arial" w:eastAsia="Arial" w:hAnsi="Arial"/>
          <w:sz w:val="21"/>
          <w:szCs w:val="21"/>
          <w:color w:val="auto"/>
        </w:rPr>
        <w:t>” means one of the Reference Treasury Dealers appointed by Wynn Las Vegas.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$1,800,000,000 aggregate principal amount of Notes issued under this Indenture on the date of this Indenture.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Purchasers</w:t>
      </w:r>
      <w:r>
        <w:rPr>
          <w:rFonts w:ascii="Arial" w:cs="Arial" w:eastAsia="Arial" w:hAnsi="Arial"/>
          <w:sz w:val="22"/>
          <w:szCs w:val="22"/>
          <w:color w:val="auto"/>
        </w:rPr>
        <w:t>” means Deutsche Bank Securities Inc., Merrill Lynch, Pierce, Fenner &amp; Smith, Incorporated, Credit Agricole Securities (USA) Inc., Fifth Third Securities, Inc., Scotia Capital (USA) Inc., SunTrust Robinson Humphrey, Inc., BOCI Asia Limited, BNP Paribas Securities Corp., Morgan Stanley &amp; Co. LLC, SMBC Nikko Securities America, Inc. and UBS Securities LLC.</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 who are not also QIBs.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 Grade</w:t>
      </w:r>
      <w:r>
        <w:rPr>
          <w:rFonts w:ascii="Arial" w:cs="Arial" w:eastAsia="Arial" w:hAnsi="Arial"/>
          <w:sz w:val="19"/>
          <w:szCs w:val="19"/>
          <w:color w:val="auto"/>
        </w:rPr>
        <w:t>” means a rating of Baa3 or better by Moody’s (or its equivalent under any successor rating categories of Moody’s), a rating of BBB- or better by S&amp;P (or its equivalent under any successor rating categories of S&amp;P) or the equivalent Investment Grade credit rating from any additional Rating Agency or Rating Agencies selected by Wynn Las Vegas, as applicable.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Intercreditor Agreement</w:t>
      </w:r>
      <w:r>
        <w:rPr>
          <w:rFonts w:ascii="Arial" w:cs="Arial" w:eastAsia="Arial" w:hAnsi="Arial"/>
          <w:sz w:val="22"/>
          <w:szCs w:val="22"/>
          <w:color w:val="auto"/>
        </w:rPr>
        <w:t>” has the meaning given to such term in the Pledge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Issuers</w:t>
      </w:r>
      <w:r>
        <w:rPr>
          <w:rFonts w:ascii="Arial" w:cs="Arial" w:eastAsia="Arial" w:hAnsi="Arial"/>
          <w:sz w:val="22"/>
          <w:szCs w:val="22"/>
          <w:color w:val="auto"/>
        </w:rPr>
        <w:t>” means Wynn Las Vegas and Wynn Capital.</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Joint Venture</w:t>
      </w:r>
      <w:r>
        <w:rPr>
          <w:rFonts w:ascii="Arial" w:cs="Arial" w:eastAsia="Arial" w:hAnsi="Arial"/>
          <w:sz w:val="22"/>
          <w:szCs w:val="22"/>
          <w:color w:val="auto"/>
        </w:rPr>
        <w:t>” means any partnership, corporation or other entity, in which up to and including 50% of the partnership interests, outstanding Voting Stock or other Equity Interests is owned, directly or indirectly, by Wynn Las Vegas and/or one or more of its Subsidiaries.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type w:val="continuous"/>
        </w:sectPr>
      </w:pPr>
    </w:p>
    <w:bookmarkStart w:id="23" w:name="page24"/>
    <w:bookmarkEnd w:id="23"/>
    <w:p>
      <w:pPr>
        <w:jc w:val="both"/>
        <w:spacing w:after="0" w:line="263" w:lineRule="auto"/>
        <w:rPr>
          <w:sz w:val="20"/>
          <w:szCs w:val="20"/>
          <w:color w:val="auto"/>
        </w:rPr>
      </w:pPr>
      <w:r>
        <w:rPr>
          <w:rFonts w:ascii="Arial" w:cs="Arial" w:eastAsia="Arial" w:hAnsi="Arial"/>
          <w:sz w:val="22"/>
          <w:szCs w:val="22"/>
          <w:color w:val="auto"/>
        </w:rPr>
        <w:t>at that place on the next succeeding day that is not a Legal Holiday, and no interest shall accrue on such payment for the intervening period.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Lien</w:t>
      </w:r>
      <w:r>
        <w:rPr>
          <w:rFonts w:ascii="Arial" w:cs="Arial" w:eastAsia="Arial" w:hAnsi="Arial"/>
          <w:sz w:val="21"/>
          <w:szCs w:val="21"/>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shall not be considered a Lien for purposes of this Indenture.</w:t>
      </w:r>
    </w:p>
    <w:p>
      <w:pPr>
        <w:spacing w:after="0" w:line="17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 Guarantee</w:t>
      </w:r>
      <w:r>
        <w:rPr>
          <w:rFonts w:ascii="Arial" w:cs="Arial" w:eastAsia="Arial" w:hAnsi="Arial"/>
          <w:sz w:val="22"/>
          <w:szCs w:val="22"/>
          <w:color w:val="auto"/>
        </w:rPr>
        <w:t>” means the Guarantee, by each Guarantor of the Issuers’ obligations under this Indenture and the Notes, executed pursuant to the provisions of this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w:t>
      </w:r>
    </w:p>
    <w:p>
      <w:pPr>
        <w:spacing w:after="0" w:line="220" w:lineRule="exact"/>
        <w:rPr>
          <w:sz w:val="20"/>
          <w:szCs w:val="20"/>
          <w:color w:val="auto"/>
        </w:rPr>
      </w:pPr>
    </w:p>
    <w:p>
      <w:pPr>
        <w:ind w:left="1740" w:hanging="435"/>
        <w:spacing w:after="0"/>
        <w:tabs>
          <w:tab w:leader="none" w:pos="17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with respect to a corporation, a Designated Officer of such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with respect to a partnership, a Designated Officer of the general partner of such partnership; and</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77" w:val="left"/>
        </w:tabs>
        <w:numPr>
          <w:ilvl w:val="0"/>
          <w:numId w:val="16"/>
        </w:numPr>
        <w:rPr>
          <w:rFonts w:ascii="Arial" w:cs="Arial" w:eastAsia="Arial" w:hAnsi="Arial"/>
          <w:sz w:val="22"/>
          <w:szCs w:val="22"/>
          <w:color w:val="auto"/>
        </w:rPr>
      </w:pPr>
      <w:r>
        <w:rPr>
          <w:rFonts w:ascii="Arial" w:cs="Arial" w:eastAsia="Arial" w:hAnsi="Arial"/>
          <w:sz w:val="22"/>
          <w:szCs w:val="22"/>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with respect to any Person, a certificate signed on behalf of such Person by: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24" w:name="page25"/>
    <w:bookmarkEnd w:id="24"/>
    <w:p>
      <w:pPr>
        <w:ind w:left="1740" w:hanging="435"/>
        <w:spacing w:after="0"/>
        <w:tabs>
          <w:tab w:leader="none" w:pos="17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with respect to a corporation, two Designated Officers of such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with respect to a partnership, two Designated Officers of the general partner of such partnership; and</w:t>
      </w:r>
    </w:p>
    <w:p>
      <w:pPr>
        <w:spacing w:after="0" w:line="244" w:lineRule="exact"/>
        <w:rPr>
          <w:rFonts w:ascii="Arial" w:cs="Arial" w:eastAsia="Arial" w:hAnsi="Arial"/>
          <w:sz w:val="21"/>
          <w:szCs w:val="21"/>
          <w:color w:val="auto"/>
        </w:rPr>
      </w:pPr>
    </w:p>
    <w:p>
      <w:pPr>
        <w:ind w:right="20" w:firstLine="1305"/>
        <w:spacing w:after="0" w:line="358" w:lineRule="auto"/>
        <w:tabs>
          <w:tab w:leader="none" w:pos="1783" w:val="left"/>
        </w:tabs>
        <w:numPr>
          <w:ilvl w:val="0"/>
          <w:numId w:val="17"/>
        </w:numPr>
        <w:rPr>
          <w:rFonts w:ascii="Arial" w:cs="Arial" w:eastAsia="Arial" w:hAnsi="Arial"/>
          <w:sz w:val="19"/>
          <w:szCs w:val="19"/>
          <w:color w:val="auto"/>
        </w:rPr>
      </w:pPr>
      <w:r>
        <w:rPr>
          <w:rFonts w:ascii="Arial" w:cs="Arial" w:eastAsia="Arial" w:hAnsi="Arial"/>
          <w:sz w:val="19"/>
          <w:szCs w:val="19"/>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that meets the requirement of Section 14.05 hereof.</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14.05 hereof. The counsel may be an employee of or counsel to Wynn Las Vegas, any Guarantor, as the case may be, or the Trustee.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Parent Entity</w:t>
      </w:r>
      <w:r>
        <w:rPr>
          <w:rFonts w:ascii="Arial" w:cs="Arial" w:eastAsia="Arial" w:hAnsi="Arial"/>
          <w:sz w:val="22"/>
          <w:szCs w:val="22"/>
          <w:color w:val="auto"/>
        </w:rPr>
        <w:t>” means (a) Wynn Resorts, and (b) Wynn America or any entity that is or becomes a holding company or intermediary holding company for Wynn America or Wynn Las Vegas.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 means, with respect to the Depositary, a Person who has an account with the Depositary.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C-Corp. Conversion</w:t>
      </w:r>
      <w:r>
        <w:rPr>
          <w:rFonts w:ascii="Arial" w:cs="Arial" w:eastAsia="Arial" w:hAnsi="Arial"/>
          <w:sz w:val="22"/>
          <w:szCs w:val="22"/>
          <w:color w:val="auto"/>
        </w:rPr>
        <w:t>” means a transaction resulting in Wynn Las Vegas or any of the Guarantors becoming a subchapter “C” corporation under the Code, so long as, in connection with such transaction:</w:t>
      </w:r>
    </w:p>
    <w:p>
      <w:pPr>
        <w:spacing w:after="0" w:line="175" w:lineRule="exact"/>
        <w:rPr>
          <w:sz w:val="20"/>
          <w:szCs w:val="20"/>
          <w:color w:val="auto"/>
        </w:rPr>
      </w:pPr>
    </w:p>
    <w:p>
      <w:pPr>
        <w:jc w:val="both"/>
        <w:ind w:firstLine="1305"/>
        <w:spacing w:after="0" w:line="254" w:lineRule="auto"/>
        <w:tabs>
          <w:tab w:leader="none" w:pos="1783"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85" w:lineRule="exact"/>
        <w:rPr>
          <w:rFonts w:ascii="Arial" w:cs="Arial" w:eastAsia="Arial" w:hAnsi="Arial"/>
          <w:sz w:val="22"/>
          <w:szCs w:val="22"/>
          <w:color w:val="auto"/>
        </w:rPr>
      </w:pPr>
    </w:p>
    <w:p>
      <w:pPr>
        <w:jc w:val="both"/>
        <w:ind w:firstLine="1305"/>
        <w:spacing w:after="0" w:line="299" w:lineRule="auto"/>
        <w:tabs>
          <w:tab w:leader="none" w:pos="1742"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subchapter “C” corporation resulting from such transaction assumes in writing all of the obligations, if any, of the applicable entity under (a) this Indenture, the Notes, the Note Guarantees by the Guarantors and the Pledge Agreement and</w:t>
      </w:r>
    </w:p>
    <w:p>
      <w:pPr>
        <w:ind w:firstLine="8"/>
        <w:spacing w:after="0" w:line="270" w:lineRule="auto"/>
        <w:tabs>
          <w:tab w:leader="none" w:pos="317" w:val="left"/>
        </w:tabs>
        <w:numPr>
          <w:ilvl w:val="0"/>
          <w:numId w:val="19"/>
        </w:numPr>
        <w:rPr>
          <w:rFonts w:ascii="Arial" w:cs="Arial" w:eastAsia="Arial" w:hAnsi="Arial"/>
          <w:sz w:val="21"/>
          <w:szCs w:val="21"/>
          <w:color w:val="auto"/>
        </w:rPr>
      </w:pPr>
      <w:r>
        <w:rPr>
          <w:rFonts w:ascii="Arial" w:cs="Arial" w:eastAsia="Arial" w:hAnsi="Arial"/>
          <w:sz w:val="21"/>
          <w:szCs w:val="21"/>
          <w:color w:val="auto"/>
        </w:rPr>
        <w:t>all other documents and instruments to which such Person is a party (other than, in the case of clause (a) only, any documents and instruments that, individually or in the aggregate, are not material to the subchapter “C” corporation);</w:t>
      </w:r>
    </w:p>
    <w:p>
      <w:pPr>
        <w:spacing w:after="0" w:line="168" w:lineRule="exact"/>
        <w:rPr>
          <w:rFonts w:ascii="Arial" w:cs="Arial" w:eastAsia="Arial" w:hAnsi="Arial"/>
          <w:sz w:val="21"/>
          <w:szCs w:val="21"/>
          <w:color w:val="auto"/>
        </w:rPr>
      </w:pPr>
    </w:p>
    <w:p>
      <w:pPr>
        <w:ind w:left="1740" w:hanging="435"/>
        <w:spacing w:after="0"/>
        <w:tabs>
          <w:tab w:leader="none" w:pos="17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Trustee is given not less than 45 days’ advance written notice of such transaction;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such transaction would not cause or result in a Default or an Event of Default;</w:t>
      </w:r>
    </w:p>
    <w:p>
      <w:pPr>
        <w:spacing w:after="0" w:line="233" w:lineRule="exact"/>
        <w:rPr>
          <w:rFonts w:ascii="Arial" w:cs="Arial" w:eastAsia="Arial" w:hAnsi="Arial"/>
          <w:sz w:val="22"/>
          <w:szCs w:val="22"/>
          <w:color w:val="auto"/>
        </w:rPr>
      </w:pPr>
    </w:p>
    <w:p>
      <w:pPr>
        <w:ind w:firstLine="1305"/>
        <w:spacing w:after="0" w:line="358" w:lineRule="auto"/>
        <w:tabs>
          <w:tab w:leader="none" w:pos="1742" w:val="left"/>
        </w:tabs>
        <w:numPr>
          <w:ilvl w:val="1"/>
          <w:numId w:val="19"/>
        </w:numPr>
        <w:rPr>
          <w:rFonts w:ascii="Arial" w:cs="Arial" w:eastAsia="Arial" w:hAnsi="Arial"/>
          <w:sz w:val="19"/>
          <w:szCs w:val="19"/>
          <w:color w:val="auto"/>
        </w:rPr>
      </w:pPr>
      <w:r>
        <w:rPr>
          <w:rFonts w:ascii="Arial" w:cs="Arial" w:eastAsia="Arial" w:hAnsi="Arial"/>
          <w:sz w:val="19"/>
          <w:szCs w:val="19"/>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25" w:name="page26"/>
    <w:bookmarkEnd w:id="25"/>
    <w:p>
      <w:pPr>
        <w:ind w:right="20" w:firstLine="1305"/>
        <w:spacing w:after="0" w:line="276" w:lineRule="auto"/>
        <w:tabs>
          <w:tab w:leader="none" w:pos="1756" w:val="left"/>
        </w:tabs>
        <w:numPr>
          <w:ilvl w:val="0"/>
          <w:numId w:val="20"/>
        </w:numPr>
        <w:rPr>
          <w:rFonts w:ascii="Arial" w:cs="Arial" w:eastAsia="Arial" w:hAnsi="Arial"/>
          <w:sz w:val="22"/>
          <w:szCs w:val="22"/>
          <w:color w:val="auto"/>
        </w:rPr>
      </w:pPr>
      <w:r>
        <w:rPr>
          <w:rFonts w:ascii="Arial" w:cs="Arial" w:eastAsia="Arial" w:hAnsi="Arial"/>
          <w:sz w:val="22"/>
          <w:szCs w:val="22"/>
          <w:color w:val="auto"/>
        </w:rPr>
        <w:t>such transaction does not require any Holder or Beneficial Owner of the Notes to obtain a Gaming License or be qualified or found suitable under the laws of any applicable gaming jurisdiction;</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7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Wynn Las Vegas shall have delivered to the Trustee an Opinion of Counsel of national repute in the United States reasonably acceptable to the Trustee confirming that neither Issuer, nor any Guarantor nor any of the Holders shall recognize income, gain or loss for United States federal or state income tax purposes as a result of such Permitted C-Corp. Conversion; and</w:t>
      </w:r>
    </w:p>
    <w:p>
      <w:pPr>
        <w:spacing w:after="0" w:line="125" w:lineRule="exact"/>
        <w:rPr>
          <w:rFonts w:ascii="Arial" w:cs="Arial" w:eastAsia="Arial" w:hAnsi="Arial"/>
          <w:sz w:val="19"/>
          <w:szCs w:val="19"/>
          <w:color w:val="auto"/>
        </w:rPr>
      </w:pPr>
    </w:p>
    <w:p>
      <w:pPr>
        <w:ind w:firstLine="1305"/>
        <w:spacing w:after="0" w:line="276" w:lineRule="auto"/>
        <w:tabs>
          <w:tab w:leader="none" w:pos="1783" w:val="left"/>
        </w:tabs>
        <w:numPr>
          <w:ilvl w:val="0"/>
          <w:numId w:val="20"/>
        </w:numPr>
        <w:rPr>
          <w:rFonts w:ascii="Arial" w:cs="Arial" w:eastAsia="Arial" w:hAnsi="Arial"/>
          <w:sz w:val="22"/>
          <w:szCs w:val="22"/>
          <w:color w:val="auto"/>
        </w:rPr>
      </w:pPr>
      <w:r>
        <w:rPr>
          <w:rFonts w:ascii="Arial" w:cs="Arial" w:eastAsia="Arial" w:hAnsi="Arial"/>
          <w:sz w:val="22"/>
          <w:szCs w:val="22"/>
          <w:color w:val="auto"/>
        </w:rPr>
        <w:t>Wynn Las Vegas shall have delivered to the Trustee a certificate of the Chief Financial Officer of Wynn Las Vegas confirming that the conditions in clauses (1) through (7) have been satisfied.</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shall not be considered a Person for purposes of this Indenture.</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Pledge Agreement</w:t>
      </w:r>
      <w:r>
        <w:rPr>
          <w:rFonts w:ascii="Arial" w:cs="Arial" w:eastAsia="Arial" w:hAnsi="Arial"/>
          <w:sz w:val="19"/>
          <w:szCs w:val="19"/>
          <w:color w:val="auto"/>
        </w:rPr>
        <w:t>” means the Pledge Agreement, dated as of the date of this Indenture, made by Wynn Las Vegas and Wynn Resorts Holdings in favor of Deutsche Bank Trust Company Americas, as collateral agent, to secure the obligations under this Indenture and the Notes, as amended, amended and restated, supplemented or otherwise modified from time to time.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means Stephen A. Wynn.</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 Property</w:t>
      </w:r>
      <w:r>
        <w:rPr>
          <w:rFonts w:ascii="Arial" w:cs="Arial" w:eastAsia="Arial" w:hAnsi="Arial"/>
          <w:sz w:val="22"/>
          <w:szCs w:val="22"/>
          <w:color w:val="auto"/>
        </w:rPr>
        <w:t>” means any real estate or other physical facility or depreciable asset or securities the net book value of which on the date of determination exceeds the greater of $25.0 million and 2.0% of the Total Assets.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2.06(g)(1) hereof to be placed on all Notes issued under this Indenture except where otherwise permitted by the provisions of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 Agencies</w:t>
      </w:r>
      <w:r>
        <w:rPr>
          <w:rFonts w:ascii="Arial" w:cs="Arial" w:eastAsia="Arial" w:hAnsi="Arial"/>
          <w:sz w:val="21"/>
          <w:szCs w:val="21"/>
          <w:color w:val="auto"/>
        </w:rPr>
        <w:t>” means (a) each of Moody’s and S&amp;P; and (b) if either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Wynn Capital’s Board of Directors) as a replacement agency for Moody’s or S&amp;P, or each of them, as the case may be.</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Date</w:t>
      </w:r>
      <w:r>
        <w:rPr>
          <w:rFonts w:ascii="Arial" w:cs="Arial" w:eastAsia="Arial" w:hAnsi="Arial"/>
          <w:sz w:val="22"/>
          <w:szCs w:val="22"/>
          <w:color w:val="auto"/>
        </w:rPr>
        <w:t>” means the date that is 60 days prior to the earlier of (a) a Change of Control or (b) public notice of the occurrence of a Change of Control or the intention by Wynn Las Vegas to affect a Change of Control.</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Ratings Event</w:t>
      </w:r>
      <w:r>
        <w:rPr>
          <w:rFonts w:ascii="Arial" w:cs="Arial" w:eastAsia="Arial" w:hAnsi="Arial"/>
          <w:sz w:val="22"/>
          <w:szCs w:val="22"/>
          <w:color w:val="auto"/>
        </w:rPr>
        <w:t>” means the occurrence of the events described in (1) or (2) of this definition on, or within 60 days after the earlier of, (i) the occurrence of a Change of Control or (ii) public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22"/>
          <w:szCs w:val="22"/>
          <w:color w:val="auto"/>
        </w:rPr>
        <w:t>notice of the occurrence of a Change of Control or the intention by the Company to effect a Change of Control (which period shall be extended so long as the rating of the notes is under publicly announced consideration for a possible downgrade by any of the Rating Agencies):</w:t>
      </w:r>
    </w:p>
    <w:p>
      <w:pPr>
        <w:spacing w:after="0" w:line="186" w:lineRule="exact"/>
        <w:rPr>
          <w:sz w:val="20"/>
          <w:szCs w:val="20"/>
          <w:color w:val="auto"/>
        </w:rPr>
      </w:pPr>
    </w:p>
    <w:p>
      <w:pPr>
        <w:ind w:firstLine="1305"/>
        <w:spacing w:after="0" w:line="276" w:lineRule="auto"/>
        <w:tabs>
          <w:tab w:leader="none" w:pos="1728"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the Notes are rated by one or both Rating Agencies on the Rating Date as Investment Grade, the rating of the Notes shall be reduced so that the Notes are rated below Investment Grade by both Rating Agencies or</w:t>
      </w:r>
    </w:p>
    <w:p>
      <w:pPr>
        <w:spacing w:after="0" w:line="160" w:lineRule="exact"/>
        <w:rPr>
          <w:rFonts w:ascii="Arial" w:cs="Arial" w:eastAsia="Arial" w:hAnsi="Arial"/>
          <w:sz w:val="22"/>
          <w:szCs w:val="22"/>
          <w:color w:val="auto"/>
        </w:rPr>
      </w:pPr>
    </w:p>
    <w:p>
      <w:pPr>
        <w:ind w:right="20" w:firstLine="1305"/>
        <w:spacing w:after="0" w:line="276" w:lineRule="auto"/>
        <w:tabs>
          <w:tab w:leader="none" w:pos="1783"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the Notes are rated below Investment Grade by both Rating Agencies on the Rating Date, the rating of the Notes shall remain rated below Investment Grade by both Rating Agencies.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w:t>
      </w:r>
      <w:r>
        <w:rPr>
          <w:rFonts w:ascii="Arial" w:cs="Arial" w:eastAsia="Arial" w:hAnsi="Arial"/>
          <w:sz w:val="22"/>
          <w:szCs w:val="22"/>
          <w:color w:val="auto"/>
        </w:rPr>
        <w:t>” means any primary U.S. Government securities dealer in New York City selected by Wynn Las Vegas.</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Las Vegas deposits the amount required under the Indenture most nearly equal to the period from the redemption date to the maturity date.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Las Vegas deposits the amount required under the Indenture most nearly equal to the period from the redemption date to the maturity date.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Regulation S Temporary Global Note or Regulation S Permanent Global Note, as appropriate.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Permanent Global Note</w:t>
      </w:r>
      <w:r>
        <w:rPr>
          <w:rFonts w:ascii="Arial" w:cs="Arial" w:eastAsia="Arial" w:hAnsi="Arial"/>
          <w:sz w:val="22"/>
          <w:szCs w:val="22"/>
          <w:color w:val="auto"/>
        </w:rPr>
        <w:t xml:space="preserve">” means a permanent Global Note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Temporary Global Note</w:t>
      </w:r>
      <w:r>
        <w:rPr>
          <w:rFonts w:ascii="Arial" w:cs="Arial" w:eastAsia="Arial" w:hAnsi="Arial"/>
          <w:sz w:val="22"/>
          <w:szCs w:val="22"/>
          <w:color w:val="auto"/>
        </w:rPr>
        <w:t xml:space="preserve">” means a temporary Global Note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Party</w:t>
      </w:r>
      <w:r>
        <w:rPr>
          <w:rFonts w:ascii="Arial" w:cs="Arial" w:eastAsia="Arial" w:hAnsi="Arial"/>
          <w:sz w:val="22"/>
          <w:szCs w:val="22"/>
          <w:color w:val="auto"/>
        </w:rPr>
        <w:t>” means: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27" w:name="page28"/>
    <w:bookmarkEnd w:id="27"/>
    <w:p>
      <w:pPr>
        <w:ind w:firstLine="1305"/>
        <w:spacing w:after="0" w:line="263" w:lineRule="auto"/>
        <w:tabs>
          <w:tab w:leader="none" w:pos="2845"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controlling stockholder, 80% (or more) owned Subsidiary, or immediate family member or former spouse (in the case of an individual) of the Principal; or</w:t>
      </w:r>
    </w:p>
    <w:p>
      <w:pPr>
        <w:spacing w:after="0" w:line="174" w:lineRule="exact"/>
        <w:rPr>
          <w:rFonts w:ascii="Arial" w:cs="Arial" w:eastAsia="Arial" w:hAnsi="Arial"/>
          <w:sz w:val="22"/>
          <w:szCs w:val="22"/>
          <w:color w:val="auto"/>
        </w:rPr>
      </w:pPr>
    </w:p>
    <w:p>
      <w:pPr>
        <w:jc w:val="both"/>
        <w:ind w:firstLine="1305"/>
        <w:spacing w:after="0" w:line="271" w:lineRule="auto"/>
        <w:tabs>
          <w:tab w:leader="none" w:pos="2845" w:val="left"/>
        </w:tabs>
        <w:numPr>
          <w:ilvl w:val="0"/>
          <w:numId w:val="22"/>
        </w:numPr>
        <w:rPr>
          <w:rFonts w:ascii="Arial" w:cs="Arial" w:eastAsia="Arial" w:hAnsi="Arial"/>
          <w:sz w:val="21"/>
          <w:szCs w:val="21"/>
          <w:color w:val="auto"/>
        </w:rPr>
      </w:pPr>
      <w:r>
        <w:rPr>
          <w:rFonts w:ascii="Arial" w:cs="Arial" w:eastAsia="Arial" w:hAnsi="Arial"/>
          <w:sz w:val="21"/>
          <w:szCs w:val="21"/>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Released Assets</w:t>
      </w:r>
      <w:r>
        <w:rPr>
          <w:rFonts w:ascii="Arial" w:cs="Arial" w:eastAsia="Arial" w:hAnsi="Arial"/>
          <w:sz w:val="22"/>
          <w:szCs w:val="22"/>
          <w:color w:val="auto"/>
        </w:rPr>
        <w:t>” has the meaning set forth in the Pledge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means, with respect to any installment of interest or principal on any series of Indebtedness, the date on which the payment of interest or principal was scheduled to be paid in the documentation governing such Indebtedness as of the date of this Indenture, and shall not include any contingent obligations to repay, redeem or repurchase any such interest or principal prior to the date originally scheduled for the payment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28" w:name="page29"/>
    <w:bookmarkEnd w:id="28"/>
    <w:p>
      <w:pPr>
        <w:jc w:val="both"/>
        <w:ind w:firstLine="1305"/>
        <w:spacing w:after="0" w:line="266" w:lineRule="auto"/>
        <w:tabs>
          <w:tab w:leader="none" w:pos="1837"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74" w:lineRule="exact"/>
        <w:rPr>
          <w:rFonts w:ascii="Arial" w:cs="Arial" w:eastAsia="Arial" w:hAnsi="Arial"/>
          <w:sz w:val="21"/>
          <w:szCs w:val="21"/>
          <w:color w:val="auto"/>
        </w:rPr>
      </w:pPr>
    </w:p>
    <w:p>
      <w:pPr>
        <w:jc w:val="both"/>
        <w:ind w:firstLine="1305"/>
        <w:spacing w:after="0" w:line="260" w:lineRule="auto"/>
        <w:tabs>
          <w:tab w:leader="none" w:pos="185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Assets</w:t>
      </w:r>
      <w:r>
        <w:rPr>
          <w:rFonts w:ascii="Arial" w:cs="Arial" w:eastAsia="Arial" w:hAnsi="Arial"/>
          <w:sz w:val="22"/>
          <w:szCs w:val="22"/>
          <w:color w:val="auto"/>
        </w:rPr>
        <w:t>” means at any date, the total assets of Wynn Las Vegas and the Guarantors at such date, determined on a consolidated basis in accordance with GAAP.</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America</w:t>
      </w:r>
      <w:r>
        <w:rPr>
          <w:rFonts w:ascii="Arial" w:cs="Arial" w:eastAsia="Arial" w:hAnsi="Arial"/>
          <w:sz w:val="22"/>
          <w:szCs w:val="22"/>
          <w:color w:val="auto"/>
        </w:rPr>
        <w:t>” means Wynn America, LLC, a Nevada limited liability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Capital</w:t>
      </w:r>
      <w:r>
        <w:rPr>
          <w:rFonts w:ascii="Arial" w:cs="Arial" w:eastAsia="Arial" w:hAnsi="Arial"/>
          <w:sz w:val="22"/>
          <w:szCs w:val="22"/>
          <w:color w:val="auto"/>
        </w:rPr>
        <w:t>” means Wynn Las Vegas Capital Corp., a Nevada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Las Vegas</w:t>
      </w:r>
      <w:r>
        <w:rPr>
          <w:rFonts w:ascii="Arial" w:cs="Arial" w:eastAsia="Arial" w:hAnsi="Arial"/>
          <w:sz w:val="22"/>
          <w:szCs w:val="22"/>
          <w:color w:val="auto"/>
        </w:rPr>
        <w:t>” means Wynn Las Vegas, LLC, a Nevada limited liability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 Holdings</w:t>
      </w:r>
      <w:r>
        <w:rPr>
          <w:rFonts w:ascii="Arial" w:cs="Arial" w:eastAsia="Arial" w:hAnsi="Arial"/>
          <w:sz w:val="22"/>
          <w:szCs w:val="22"/>
          <w:color w:val="auto"/>
        </w:rPr>
        <w:t>” means Wynn Resorts Holdings, LLC, 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75"/>
        </w:trPr>
        <w:tc>
          <w:tcPr>
            <w:tcW w:w="10160" w:type="dxa"/>
            <w:vAlign w:val="bottom"/>
            <w:gridSpan w:val="3"/>
          </w:tcPr>
          <w:p>
            <w:pPr>
              <w:spacing w:after="0"/>
              <w:rPr>
                <w:sz w:val="20"/>
                <w:szCs w:val="20"/>
                <w:color w:val="auto"/>
              </w:rPr>
            </w:pPr>
            <w:r>
              <w:rPr>
                <w:rFonts w:ascii="Arial" w:cs="Arial" w:eastAsia="Arial" w:hAnsi="Arial"/>
                <w:sz w:val="22"/>
                <w:szCs w:val="22"/>
                <w:color w:val="auto"/>
              </w:rPr>
              <w:t>Section 1.02</w:t>
            </w:r>
            <w:r>
              <w:rPr>
                <w:rFonts w:ascii="Arial" w:cs="Arial" w:eastAsia="Arial" w:hAnsi="Arial"/>
                <w:sz w:val="22"/>
                <w:szCs w:val="22"/>
                <w:i w:val="1"/>
                <w:iCs w:val="1"/>
                <w:color w:val="auto"/>
              </w:rPr>
              <w:t>Other Definitions.</w:t>
            </w:r>
          </w:p>
        </w:tc>
        <w:tc>
          <w:tcPr>
            <w:tcW w:w="900" w:type="dxa"/>
            <w:vAlign w:val="bottom"/>
          </w:tcPr>
          <w:p>
            <w:pPr>
              <w:spacing w:after="0"/>
              <w:rPr>
                <w:sz w:val="23"/>
                <w:szCs w:val="23"/>
                <w:color w:val="auto"/>
              </w:rPr>
            </w:pPr>
          </w:p>
        </w:tc>
      </w:tr>
      <w:tr>
        <w:trPr>
          <w:trHeight w:val="584"/>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22"/>
                <w:szCs w:val="22"/>
                <w:b w:val="1"/>
                <w:bCs w:val="1"/>
                <w:color w:val="auto"/>
              </w:rPr>
              <w:t>Defined</w:t>
            </w:r>
          </w:p>
        </w:tc>
      </w:tr>
      <w:tr>
        <w:trPr>
          <w:trHeight w:val="230"/>
        </w:trPr>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9"/>
              </w:rPr>
              <w:t>Term</w:t>
            </w:r>
          </w:p>
        </w:tc>
        <w:tc>
          <w:tcPr>
            <w:tcW w:w="9540" w:type="dxa"/>
            <w:vAlign w:val="bottom"/>
          </w:tcPr>
          <w:p>
            <w:pPr>
              <w:spacing w:after="0"/>
              <w:rPr>
                <w:sz w:val="20"/>
                <w:szCs w:val="20"/>
                <w:color w:val="auto"/>
              </w:rPr>
            </w:pPr>
          </w:p>
        </w:tc>
        <w:tc>
          <w:tcPr>
            <w:tcW w:w="9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3"/>
              </w:rPr>
              <w:t>in Section</w:t>
            </w:r>
          </w:p>
        </w:tc>
      </w:tr>
      <w:tr>
        <w:trPr>
          <w:trHeight w:val="355"/>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“Authentication Order”</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2.02</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“Beneficiary”</w:t>
            </w:r>
          </w:p>
        </w:tc>
        <w:tc>
          <w:tcPr>
            <w:tcW w:w="900" w:type="dxa"/>
            <w:vAlign w:val="bottom"/>
          </w:tcPr>
          <w:p>
            <w:pPr>
              <w:jc w:val="center"/>
              <w:spacing w:after="0"/>
              <w:rPr>
                <w:sz w:val="20"/>
                <w:szCs w:val="20"/>
                <w:color w:val="auto"/>
              </w:rPr>
            </w:pPr>
            <w:r>
              <w:rPr>
                <w:rFonts w:ascii="Arial" w:cs="Arial" w:eastAsia="Arial" w:hAnsi="Arial"/>
                <w:sz w:val="22"/>
                <w:szCs w:val="22"/>
                <w:color w:val="auto"/>
                <w:w w:val="87"/>
              </w:rPr>
              <w:t>13.01</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Offer”</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4.15</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Payment”</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4.15</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Payment Date”</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4.15</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“Covenant Defeasance”</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8.03</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“DTC”</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2.03</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“incur”</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4.09</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“Legal Defeasance”</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8.02</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“Note Obligations”</w:t>
            </w:r>
          </w:p>
        </w:tc>
        <w:tc>
          <w:tcPr>
            <w:tcW w:w="900" w:type="dxa"/>
            <w:vAlign w:val="bottom"/>
          </w:tcPr>
          <w:p>
            <w:pPr>
              <w:jc w:val="center"/>
              <w:spacing w:after="0"/>
              <w:rPr>
                <w:sz w:val="20"/>
                <w:szCs w:val="20"/>
                <w:color w:val="auto"/>
              </w:rPr>
            </w:pPr>
            <w:r>
              <w:rPr>
                <w:rFonts w:ascii="Arial" w:cs="Arial" w:eastAsia="Arial" w:hAnsi="Arial"/>
                <w:sz w:val="22"/>
                <w:szCs w:val="22"/>
                <w:color w:val="auto"/>
                <w:w w:val="87"/>
              </w:rPr>
              <w:t>13.01</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“Paying Agent”</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2.03</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“Payment Default”</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6.01</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“Purchase Date”</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3.10</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“Reference Period”</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4.09</w:t>
            </w:r>
          </w:p>
        </w:tc>
      </w:tr>
      <w:tr>
        <w:trPr>
          <w:trHeight w:val="297"/>
        </w:trPr>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22"/>
                <w:szCs w:val="22"/>
                <w:i w:val="1"/>
                <w:iCs w:val="1"/>
                <w:color w:val="auto"/>
              </w:rPr>
              <w:t>“Registrar”</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2.03</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Section 1.03</w:t>
      </w:r>
      <w:r>
        <w:rPr>
          <w:rFonts w:ascii="Arial" w:cs="Arial" w:eastAsia="Arial" w:hAnsi="Arial"/>
          <w:sz w:val="22"/>
          <w:szCs w:val="22"/>
          <w:i w:val="1"/>
          <w:iCs w:val="1"/>
          <w:color w:val="auto"/>
        </w:rPr>
        <w:t>Rules of Construction.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740" w:hanging="435"/>
        <w:spacing w:after="0"/>
        <w:tabs>
          <w:tab w:leader="none" w:pos="1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33"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160" w:lineRule="exact"/>
        <w:rPr>
          <w:rFonts w:ascii="Arial" w:cs="Arial" w:eastAsia="Arial" w:hAnsi="Arial"/>
          <w:sz w:val="22"/>
          <w:szCs w:val="22"/>
          <w:color w:val="auto"/>
        </w:rPr>
      </w:pPr>
    </w:p>
    <w:p>
      <w:pPr>
        <w:ind w:firstLine="1305"/>
        <w:spacing w:after="0" w:line="276" w:lineRule="auto"/>
        <w:tabs>
          <w:tab w:leader="none" w:pos="1823"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30" w:name="page31"/>
    <w:bookmarkEnd w:id="30"/>
    <w:p>
      <w:pPr>
        <w:jc w:val="both"/>
        <w:ind w:firstLine="1305"/>
        <w:spacing w:after="0" w:line="278" w:lineRule="auto"/>
        <w:tabs>
          <w:tab w:leader="none" w:pos="1756" w:val="left"/>
        </w:tabs>
        <w:numPr>
          <w:ilvl w:val="0"/>
          <w:numId w:val="25"/>
        </w:numPr>
        <w:rPr>
          <w:rFonts w:ascii="Arial" w:cs="Arial" w:eastAsia="Arial" w:hAnsi="Arial"/>
          <w:sz w:val="21"/>
          <w:szCs w:val="21"/>
          <w:color w:val="auto"/>
        </w:rPr>
      </w:pPr>
      <w:r>
        <w:rPr>
          <w:rFonts w:ascii="Arial" w:cs="Arial" w:eastAsia="Arial" w:hAnsi="Arial"/>
          <w:sz w:val="21"/>
          <w:szCs w:val="21"/>
          <w:color w:val="auto"/>
        </w:rPr>
        <w:t>references to any contract, agreement or instrument shall mean the same as amended, modified, supplemented or amended and restated from time to time, in each case, in accordance with any applicable restrictions contained therein, in this Indenture, the Pledge Agreement or the Intercreditor Agreement, as the case may be; and</w:t>
      </w:r>
    </w:p>
    <w:p>
      <w:pPr>
        <w:spacing w:after="0" w:line="160" w:lineRule="exact"/>
        <w:rPr>
          <w:rFonts w:ascii="Arial" w:cs="Arial" w:eastAsia="Arial" w:hAnsi="Arial"/>
          <w:sz w:val="21"/>
          <w:szCs w:val="21"/>
          <w:color w:val="auto"/>
        </w:rPr>
      </w:pPr>
    </w:p>
    <w:p>
      <w:pPr>
        <w:jc w:val="both"/>
        <w:ind w:firstLine="1305"/>
        <w:spacing w:after="0" w:line="260" w:lineRule="auto"/>
        <w:tabs>
          <w:tab w:leader="none" w:pos="1918"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consummation by the Issuers on the date of this Indenture of the transactions described in the Issuers’ Offering Memorandum, dated as of February 11, 2015, relating to the offering of the Initial Notes, shall be deemed to occur concurrently.</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THE NOTES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2.01</w:t>
      </w:r>
      <w:r>
        <w:rPr>
          <w:rFonts w:ascii="Arial" w:cs="Arial" w:eastAsia="Arial" w:hAnsi="Arial"/>
          <w:sz w:val="22"/>
          <w:szCs w:val="22"/>
          <w:i w:val="1"/>
          <w:iCs w:val="1"/>
          <w:color w:val="auto"/>
        </w:rPr>
        <w:t>Form and Dating.</w:t>
      </w:r>
    </w:p>
    <w:p>
      <w:pPr>
        <w:spacing w:after="0" w:line="220" w:lineRule="exact"/>
        <w:rPr>
          <w:sz w:val="20"/>
          <w:szCs w:val="20"/>
          <w:color w:val="auto"/>
        </w:rPr>
      </w:pPr>
    </w:p>
    <w:p>
      <w:pPr>
        <w:jc w:val="both"/>
        <w:ind w:firstLine="656"/>
        <w:spacing w:after="0" w:line="254" w:lineRule="auto"/>
        <w:tabs>
          <w:tab w:leader="none" w:pos="1068"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Notes and the Trustee’s certificate of authentication shall be substantially in the form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Exhibits A-1</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A-2</w:t>
      </w:r>
      <w:r>
        <w:rPr>
          <w:rFonts w:ascii="Arial" w:cs="Arial" w:eastAsia="Arial" w:hAnsi="Arial"/>
          <w:sz w:val="22"/>
          <w:szCs w:val="22"/>
          <w:color w:val="auto"/>
        </w:rPr>
        <w:t xml:space="preserve"> hereto. The Notes may have notations, legends or endorsements required by law, stock exchange rule or usage. Each Note shall be dated the date of its authentication. The Notes shall be in denominations of $2,000 or an integral multiple of $1,000 in excess of $2,000.</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76" w:lineRule="exact"/>
        <w:rPr>
          <w:sz w:val="20"/>
          <w:szCs w:val="20"/>
          <w:color w:val="auto"/>
        </w:rPr>
      </w:pPr>
    </w:p>
    <w:p>
      <w:pPr>
        <w:jc w:val="both"/>
        <w:ind w:firstLine="656"/>
        <w:spacing w:after="0" w:line="288" w:lineRule="auto"/>
        <w:tabs>
          <w:tab w:leader="none" w:pos="1121"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Notes issued in global form shall be substantially in the form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Exhibits A-1</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A-2</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 hereto</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the Global Note Legend thereon and the “</w:t>
      </w:r>
      <w:r>
        <w:rPr>
          <w:rFonts w:ascii="Arial" w:cs="Arial" w:eastAsia="Arial" w:hAnsi="Arial"/>
          <w:sz w:val="19"/>
          <w:szCs w:val="19"/>
          <w:i w:val="1"/>
          <w:iCs w:val="1"/>
          <w:color w:val="auto"/>
        </w:rPr>
        <w:t>Schedule of Exchanges of Interests in the Global Note</w:t>
      </w:r>
      <w:r>
        <w:rPr>
          <w:rFonts w:ascii="Arial" w:cs="Arial" w:eastAsia="Arial" w:hAnsi="Arial"/>
          <w:sz w:val="19"/>
          <w:szCs w:val="19"/>
          <w:color w:val="auto"/>
        </w:rPr>
        <w:t xml:space="preserv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56" w:lineRule="exact"/>
        <w:rPr>
          <w:rFonts w:ascii="Arial" w:cs="Arial" w:eastAsia="Arial" w:hAnsi="Arial"/>
          <w:sz w:val="19"/>
          <w:szCs w:val="19"/>
          <w:color w:val="auto"/>
        </w:rPr>
      </w:pPr>
    </w:p>
    <w:p>
      <w:pPr>
        <w:ind w:firstLine="656"/>
        <w:spacing w:after="0" w:line="276" w:lineRule="auto"/>
        <w:tabs>
          <w:tab w:leader="none" w:pos="1082"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Temporary Global Notes</w:t>
      </w:r>
      <w:r>
        <w:rPr>
          <w:rFonts w:ascii="Arial" w:cs="Arial" w:eastAsia="Arial" w:hAnsi="Arial"/>
          <w:sz w:val="22"/>
          <w:szCs w:val="22"/>
          <w:color w:val="auto"/>
        </w:rPr>
        <w:t>. Notes offered and sold in reliance on Regulation S shall be issued initially in the form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 S Temporary Global Note substantially in the form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31" w:name="page32"/>
    <w:bookmarkEnd w:id="31"/>
    <w:p>
      <w:pPr>
        <w:jc w:val="both"/>
        <w:spacing w:after="0" w:line="302" w:lineRule="auto"/>
        <w:rPr>
          <w:sz w:val="20"/>
          <w:szCs w:val="20"/>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143" w:lineRule="exact"/>
        <w:rPr>
          <w:sz w:val="20"/>
          <w:szCs w:val="20"/>
          <w:color w:val="auto"/>
        </w:rPr>
      </w:pPr>
    </w:p>
    <w:p>
      <w:pPr>
        <w:jc w:val="both"/>
        <w:ind w:left="660" w:firstLine="645"/>
        <w:spacing w:after="0" w:line="297" w:lineRule="auto"/>
        <w:tabs>
          <w:tab w:leader="none" w:pos="1794"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146" w:lineRule="exact"/>
        <w:rPr>
          <w:rFonts w:ascii="Arial" w:cs="Arial" w:eastAsia="Arial" w:hAnsi="Arial"/>
          <w:sz w:val="19"/>
          <w:szCs w:val="19"/>
          <w:color w:val="auto"/>
        </w:rPr>
      </w:pPr>
    </w:p>
    <w:p>
      <w:pPr>
        <w:ind w:left="1740" w:hanging="435"/>
        <w:spacing w:after="0"/>
        <w:tabs>
          <w:tab w:leader="none" w:pos="1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 Officers’ Certificate from each of the Issuers.</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50" w:lineRule="exact"/>
        <w:rPr>
          <w:sz w:val="20"/>
          <w:szCs w:val="20"/>
          <w:color w:val="auto"/>
        </w:rPr>
      </w:pPr>
    </w:p>
    <w:p>
      <w:pPr>
        <w:jc w:val="both"/>
        <w:ind w:firstLine="656"/>
        <w:spacing w:after="0" w:line="251" w:lineRule="auto"/>
        <w:tabs>
          <w:tab w:leader="none" w:pos="1188"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Euroclear and Clearstream Procedures Applicable</w:t>
      </w:r>
      <w:r>
        <w:rPr>
          <w:rFonts w:ascii="Arial" w:cs="Arial" w:eastAsia="Arial" w:hAnsi="Arial"/>
          <w:sz w:val="22"/>
          <w:szCs w:val="22"/>
          <w:color w:val="auto"/>
        </w:rPr>
        <w:t>. 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Section 2.02</w:t>
      </w:r>
      <w:r>
        <w:rPr>
          <w:rFonts w:ascii="Arial" w:cs="Arial" w:eastAsia="Arial" w:hAnsi="Arial"/>
          <w:sz w:val="22"/>
          <w:szCs w:val="22"/>
          <w:i w:val="1"/>
          <w:iCs w:val="1"/>
          <w:color w:val="auto"/>
        </w:rPr>
        <w:t>Execution and Authentication.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Designated Officer on behalf of each of Wynn Las Vegas and Wynn Capital must sign the Notes for the Issuers by manual or facsimile signature.</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32" w:name="page33"/>
    <w:bookmarkEnd w:id="32"/>
    <w:p>
      <w:pPr>
        <w:jc w:val="both"/>
        <w:ind w:firstLine="648"/>
        <w:spacing w:after="0" w:line="250" w:lineRule="auto"/>
        <w:rPr>
          <w:sz w:val="20"/>
          <w:szCs w:val="20"/>
          <w:color w:val="auto"/>
        </w:rPr>
      </w:pPr>
      <w:r>
        <w:rPr>
          <w:rFonts w:ascii="Arial" w:cs="Arial" w:eastAsia="Arial" w:hAnsi="Arial"/>
          <w:sz w:val="22"/>
          <w:szCs w:val="22"/>
          <w:color w:val="auto"/>
        </w:rPr>
        <w:t>The Trustee shall, upon receipt of a written order of the Issuers signed by a Designated Officer of each of Wynn Las Vegas and Wynn Capital (an “</w:t>
      </w:r>
      <w:r>
        <w:rPr>
          <w:rFonts w:ascii="Arial" w:cs="Arial" w:eastAsia="Arial" w:hAnsi="Arial"/>
          <w:sz w:val="22"/>
          <w:szCs w:val="22"/>
          <w:i w:val="1"/>
          <w:iCs w:val="1"/>
          <w:u w:val="single" w:color="auto"/>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either Issuer, by succession permitted hereunder or otherwise).</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2.03</w:t>
      </w:r>
      <w:r>
        <w:rPr>
          <w:rFonts w:ascii="Arial" w:cs="Arial" w:eastAsia="Arial" w:hAnsi="Arial"/>
          <w:sz w:val="22"/>
          <w:szCs w:val="22"/>
          <w:i w:val="1"/>
          <w:iCs w:val="1"/>
          <w:color w:val="auto"/>
        </w:rPr>
        <w:t>Registrar and Paying Agent.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Issuers shall maintain an office or agency where Notes may be presented for registration of transfer or for exchange (“</w:t>
      </w:r>
      <w:r>
        <w:rPr>
          <w:rFonts w:ascii="Arial" w:cs="Arial" w:eastAsia="Arial" w:hAnsi="Arial"/>
          <w:sz w:val="22"/>
          <w:szCs w:val="22"/>
          <w:i w:val="1"/>
          <w:iCs w:val="1"/>
          <w:u w:val="single" w:color="auto"/>
          <w:color w:val="auto"/>
        </w:rPr>
        <w:t>Registrar</w:t>
      </w:r>
      <w:r>
        <w:rPr>
          <w:rFonts w:ascii="Arial" w:cs="Arial" w:eastAsia="Arial" w:hAnsi="Arial"/>
          <w:sz w:val="22"/>
          <w:szCs w:val="22"/>
          <w:color w:val="auto"/>
        </w:rPr>
        <w:t>”) and an office or agency where Notes may be presented for payment (“</w:t>
      </w:r>
      <w:r>
        <w:rPr>
          <w:rFonts w:ascii="Arial" w:cs="Arial" w:eastAsia="Arial" w:hAnsi="Arial"/>
          <w:sz w:val="22"/>
          <w:szCs w:val="22"/>
          <w:i w:val="1"/>
          <w:iCs w:val="1"/>
          <w:u w:val="single" w:color="auto"/>
          <w:color w:val="auto"/>
        </w:rPr>
        <w:t>Paying Agent</w:t>
      </w:r>
      <w:r>
        <w:rPr>
          <w:rFonts w:ascii="Arial" w:cs="Arial" w:eastAsia="Arial" w:hAnsi="Arial"/>
          <w:sz w:val="22"/>
          <w:szCs w:val="22"/>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Issuers initially appoint The Depository Trust Company (“</w:t>
      </w:r>
      <w:r>
        <w:rPr>
          <w:rFonts w:ascii="Arial" w:cs="Arial" w:eastAsia="Arial" w:hAnsi="Arial"/>
          <w:sz w:val="19"/>
          <w:szCs w:val="19"/>
          <w:i w:val="1"/>
          <w:iCs w:val="1"/>
          <w:u w:val="single" w:color="auto"/>
          <w:color w:val="auto"/>
        </w:rPr>
        <w:t>DTC</w:t>
      </w:r>
      <w:r>
        <w:rPr>
          <w:rFonts w:ascii="Arial" w:cs="Arial" w:eastAsia="Arial" w:hAnsi="Arial"/>
          <w:sz w:val="19"/>
          <w:szCs w:val="19"/>
          <w:color w:val="auto"/>
        </w:rPr>
        <w:t>”) to act as Depositary with respect to the Global Notes.</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initially appoint the Trustee to act as the Registrar and Paying Agent and to act as Custodian with respect to the Global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2.04</w:t>
      </w:r>
      <w:r>
        <w:rPr>
          <w:rFonts w:ascii="Arial" w:cs="Arial" w:eastAsia="Arial" w:hAnsi="Arial"/>
          <w:sz w:val="22"/>
          <w:szCs w:val="22"/>
          <w:i w:val="1"/>
          <w:iCs w:val="1"/>
          <w:color w:val="auto"/>
        </w:rPr>
        <w:t>Paying Agent to Hold Money in Trust.</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33" w:name="page34"/>
    <w:bookmarkEnd w:id="33"/>
    <w:p>
      <w:pPr>
        <w:jc w:val="both"/>
        <w:ind w:right="20"/>
        <w:spacing w:after="0" w:line="263" w:lineRule="auto"/>
        <w:rPr>
          <w:sz w:val="20"/>
          <w:szCs w:val="20"/>
          <w:color w:val="auto"/>
        </w:rPr>
      </w:pPr>
      <w:r>
        <w:rPr>
          <w:rFonts w:ascii="Arial" w:cs="Arial" w:eastAsia="Arial" w:hAnsi="Arial"/>
          <w:sz w:val="22"/>
          <w:szCs w:val="22"/>
          <w:color w:val="auto"/>
        </w:rPr>
        <w:t>it as Paying Agent. Upon any bankruptcy or reorganization proceedings relating to the Issuers, the Trustee shall serve as Paying Agent for the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2.05</w:t>
      </w:r>
      <w:r>
        <w:rPr>
          <w:rFonts w:ascii="Arial" w:cs="Arial" w:eastAsia="Arial" w:hAnsi="Arial"/>
          <w:sz w:val="22"/>
          <w:szCs w:val="22"/>
          <w:i w:val="1"/>
          <w:iCs w:val="1"/>
          <w:color w:val="auto"/>
        </w:rPr>
        <w:t>Holder Lists.</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Section 2.06</w:t>
      </w:r>
      <w:r>
        <w:rPr>
          <w:rFonts w:ascii="Arial" w:cs="Arial" w:eastAsia="Arial" w:hAnsi="Arial"/>
          <w:sz w:val="22"/>
          <w:szCs w:val="22"/>
          <w:i w:val="1"/>
          <w:iCs w:val="1"/>
          <w:color w:val="auto"/>
        </w:rPr>
        <w:t>Transfer and Exchange.</w:t>
      </w:r>
    </w:p>
    <w:p>
      <w:pPr>
        <w:spacing w:after="0" w:line="220" w:lineRule="exact"/>
        <w:rPr>
          <w:sz w:val="20"/>
          <w:szCs w:val="20"/>
          <w:color w:val="auto"/>
        </w:rPr>
      </w:pPr>
    </w:p>
    <w:p>
      <w:pPr>
        <w:jc w:val="both"/>
        <w:ind w:firstLine="656"/>
        <w:spacing w:after="0" w:line="254" w:lineRule="auto"/>
        <w:tabs>
          <w:tab w:leader="none" w:pos="1082"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as a whole except by the Depositary to</w:t>
      </w:r>
      <w:r>
        <w:rPr>
          <w:rFonts w:ascii="Arial" w:cs="Arial" w:eastAsia="Arial" w:hAnsi="Arial"/>
          <w:sz w:val="22"/>
          <w:szCs w:val="22"/>
          <w:i w:val="1"/>
          <w:iCs w:val="1"/>
          <w:color w:val="auto"/>
        </w:rPr>
        <w:t xml:space="preserve"> </w:t>
      </w:r>
      <w:r>
        <w:rPr>
          <w:rFonts w:ascii="Arial" w:cs="Arial" w:eastAsia="Arial" w:hAnsi="Arial"/>
          <w:sz w:val="22"/>
          <w:szCs w:val="22"/>
          <w:color w:val="auto"/>
        </w:rPr>
        <w:t>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185" w:lineRule="exact"/>
        <w:rPr>
          <w:rFonts w:ascii="Arial" w:cs="Arial" w:eastAsia="Arial" w:hAnsi="Arial"/>
          <w:sz w:val="22"/>
          <w:szCs w:val="22"/>
          <w:color w:val="auto"/>
        </w:rPr>
      </w:pPr>
    </w:p>
    <w:p>
      <w:pPr>
        <w:jc w:val="both"/>
        <w:ind w:left="660" w:firstLine="645"/>
        <w:spacing w:after="0" w:line="254" w:lineRule="auto"/>
        <w:tabs>
          <w:tab w:leader="none" w:pos="1821" w:val="left"/>
        </w:tabs>
        <w:numPr>
          <w:ilvl w:val="1"/>
          <w:numId w:val="30"/>
        </w:numPr>
        <w:rPr>
          <w:rFonts w:ascii="Arial" w:cs="Arial" w:eastAsia="Arial" w:hAnsi="Arial"/>
          <w:sz w:val="22"/>
          <w:szCs w:val="22"/>
          <w:color w:val="auto"/>
        </w:rPr>
      </w:pPr>
      <w:r>
        <w:rPr>
          <w:rFonts w:ascii="Arial" w:cs="Arial" w:eastAsia="Arial" w:hAnsi="Arial"/>
          <w:sz w:val="22"/>
          <w:szCs w:val="22"/>
          <w:color w:val="auto"/>
        </w:rPr>
        <w:t>Wynn Las Vegas delivers to the Trustee written notice from the Depositary that it is unwilling or unable to continue to act as Depositary or that it is no longer a clearing agency registered under the Exchange Act and, in either case, a successor Depositary is not appointed by Wynn Las Vegas within 120 days after the date of such notice from the Depositary;</w:t>
      </w:r>
    </w:p>
    <w:p>
      <w:pPr>
        <w:spacing w:after="0" w:line="185" w:lineRule="exact"/>
        <w:rPr>
          <w:rFonts w:ascii="Arial" w:cs="Arial" w:eastAsia="Arial" w:hAnsi="Arial"/>
          <w:sz w:val="22"/>
          <w:szCs w:val="22"/>
          <w:color w:val="auto"/>
        </w:rPr>
      </w:pPr>
    </w:p>
    <w:p>
      <w:pPr>
        <w:jc w:val="both"/>
        <w:ind w:left="660" w:firstLine="645"/>
        <w:spacing w:after="0" w:line="251" w:lineRule="auto"/>
        <w:tabs>
          <w:tab w:leader="none" w:pos="1889"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w:t>
      </w:r>
    </w:p>
    <w:p>
      <w:pPr>
        <w:spacing w:after="0" w:line="189" w:lineRule="exact"/>
        <w:rPr>
          <w:rFonts w:ascii="Arial" w:cs="Arial" w:eastAsia="Arial" w:hAnsi="Arial"/>
          <w:sz w:val="22"/>
          <w:szCs w:val="22"/>
          <w:color w:val="auto"/>
        </w:rPr>
      </w:pPr>
    </w:p>
    <w:p>
      <w:pPr>
        <w:jc w:val="both"/>
        <w:ind w:left="660" w:firstLine="645"/>
        <w:spacing w:after="0" w:line="260" w:lineRule="auto"/>
        <w:tabs>
          <w:tab w:leader="none" w:pos="1808" w:val="left"/>
        </w:tabs>
        <w:numPr>
          <w:ilvl w:val="1"/>
          <w:numId w:val="30"/>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34" w:name="page35"/>
    <w:bookmarkEnd w:id="34"/>
    <w:p>
      <w:pPr>
        <w:jc w:val="both"/>
        <w:ind w:firstLine="656"/>
        <w:spacing w:after="0" w:line="250" w:lineRule="auto"/>
        <w:tabs>
          <w:tab w:leader="none" w:pos="1094"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 interests in</w:t>
      </w:r>
      <w:r>
        <w:rPr>
          <w:rFonts w:ascii="Arial" w:cs="Arial" w:eastAsia="Arial" w:hAnsi="Arial"/>
          <w:sz w:val="22"/>
          <w:szCs w:val="22"/>
          <w:i w:val="1"/>
          <w:iCs w:val="1"/>
          <w:color w:val="auto"/>
        </w:rPr>
        <w:t xml:space="preserve"> </w:t>
      </w:r>
      <w:r>
        <w:rPr>
          <w:rFonts w:ascii="Arial" w:cs="Arial" w:eastAsia="Arial" w:hAnsi="Arial"/>
          <w:sz w:val="22"/>
          <w:szCs w:val="22"/>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88" w:lineRule="exact"/>
        <w:rPr>
          <w:rFonts w:ascii="Arial" w:cs="Arial" w:eastAsia="Arial" w:hAnsi="Arial"/>
          <w:sz w:val="22"/>
          <w:szCs w:val="22"/>
          <w:color w:val="auto"/>
        </w:rPr>
      </w:pPr>
    </w:p>
    <w:p>
      <w:pPr>
        <w:jc w:val="both"/>
        <w:ind w:left="660" w:firstLine="645"/>
        <w:spacing w:after="0" w:line="261" w:lineRule="auto"/>
        <w:tabs>
          <w:tab w:leader="none" w:pos="1821" w:val="left"/>
        </w:tabs>
        <w:numPr>
          <w:ilvl w:val="1"/>
          <w:numId w:val="31"/>
        </w:numPr>
        <w:rPr>
          <w:rFonts w:ascii="Arial" w:cs="Arial" w:eastAsia="Arial" w:hAnsi="Arial"/>
          <w:sz w:val="21"/>
          <w:szCs w:val="21"/>
          <w:color w:val="auto"/>
        </w:rPr>
      </w:pPr>
      <w:r>
        <w:rPr>
          <w:rFonts w:ascii="Arial" w:cs="Arial" w:eastAsia="Arial" w:hAnsi="Arial"/>
          <w:sz w:val="21"/>
          <w:szCs w:val="21"/>
          <w:i w:val="1"/>
          <w:iCs w:val="1"/>
          <w:color w:val="auto"/>
        </w:rPr>
        <w:t>Transfer of Beneficial Interests in the Same Global Note</w:t>
      </w:r>
      <w:r>
        <w:rPr>
          <w:rFonts w:ascii="Arial" w:cs="Arial" w:eastAsia="Arial" w:hAnsi="Arial"/>
          <w:sz w:val="21"/>
          <w:szCs w:val="21"/>
          <w:color w:val="auto"/>
        </w:rPr>
        <w:t>. Beneficial interests in any Restricted Global Note</w:t>
      </w:r>
      <w:r>
        <w:rPr>
          <w:rFonts w:ascii="Arial" w:cs="Arial" w:eastAsia="Arial" w:hAnsi="Arial"/>
          <w:sz w:val="21"/>
          <w:szCs w:val="21"/>
          <w:i w:val="1"/>
          <w:iCs w:val="1"/>
          <w:color w:val="auto"/>
        </w:rPr>
        <w:t xml:space="preserve"> </w:t>
      </w:r>
      <w:r>
        <w:rPr>
          <w:rFonts w:ascii="Arial" w:cs="Arial" w:eastAsia="Arial" w:hAnsi="Arial"/>
          <w:sz w:val="21"/>
          <w:szCs w:val="21"/>
          <w:color w:val="auto"/>
        </w:rPr>
        <w:t>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81" w:lineRule="exact"/>
        <w:rPr>
          <w:rFonts w:ascii="Arial" w:cs="Arial" w:eastAsia="Arial" w:hAnsi="Arial"/>
          <w:sz w:val="21"/>
          <w:szCs w:val="21"/>
          <w:color w:val="auto"/>
        </w:rPr>
      </w:pPr>
    </w:p>
    <w:p>
      <w:pPr>
        <w:jc w:val="both"/>
        <w:ind w:left="660" w:right="20" w:firstLine="645"/>
        <w:spacing w:after="0" w:line="260" w:lineRule="auto"/>
        <w:tabs>
          <w:tab w:leader="none" w:pos="1754" w:val="left"/>
        </w:tabs>
        <w:numPr>
          <w:ilvl w:val="1"/>
          <w:numId w:val="31"/>
        </w:numPr>
        <w:rPr>
          <w:rFonts w:ascii="Arial" w:cs="Arial" w:eastAsia="Arial" w:hAnsi="Arial"/>
          <w:sz w:val="22"/>
          <w:szCs w:val="22"/>
          <w:color w:val="auto"/>
        </w:rPr>
      </w:pPr>
      <w:r>
        <w:rPr>
          <w:rFonts w:ascii="Arial" w:cs="Arial" w:eastAsia="Arial" w:hAnsi="Arial"/>
          <w:sz w:val="22"/>
          <w:szCs w:val="22"/>
          <w:i w:val="1"/>
          <w:iCs w:val="1"/>
          <w:color w:val="auto"/>
        </w:rPr>
        <w:t>All Other Transfers and Exchanges of Beneficial Interests in Global Notes</w:t>
      </w:r>
      <w:r>
        <w:rPr>
          <w:rFonts w:ascii="Arial" w:cs="Arial" w:eastAsia="Arial" w:hAnsi="Arial"/>
          <w:sz w:val="22"/>
          <w:szCs w:val="22"/>
          <w:color w:val="auto"/>
        </w:rPr>
        <w:t>. In connection with all transfers and</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exchanges of beneficial interests that are not subject to Section 2.06(b)(1) above, the transferor of such beneficial interest must deliver to the Registrar either:</w:t>
      </w:r>
    </w:p>
    <w:p>
      <w:pPr>
        <w:spacing w:after="0" w:line="177" w:lineRule="exact"/>
        <w:rPr>
          <w:rFonts w:ascii="Arial" w:cs="Arial" w:eastAsia="Arial" w:hAnsi="Arial"/>
          <w:sz w:val="22"/>
          <w:szCs w:val="22"/>
          <w:color w:val="auto"/>
        </w:rPr>
      </w:pPr>
    </w:p>
    <w:p>
      <w:pPr>
        <w:ind w:left="2440" w:hanging="487"/>
        <w:spacing w:after="0"/>
        <w:tabs>
          <w:tab w:leader="none" w:pos="2440" w:val="left"/>
        </w:tabs>
        <w:numPr>
          <w:ilvl w:val="2"/>
          <w:numId w:val="31"/>
        </w:numPr>
        <w:rPr>
          <w:rFonts w:ascii="Arial" w:cs="Arial" w:eastAsia="Arial" w:hAnsi="Arial"/>
          <w:sz w:val="22"/>
          <w:szCs w:val="22"/>
          <w:color w:val="auto"/>
        </w:rPr>
      </w:pPr>
      <w:r>
        <w:rPr>
          <w:rFonts w:ascii="Arial" w:cs="Arial" w:eastAsia="Arial" w:hAnsi="Arial"/>
          <w:sz w:val="22"/>
          <w:szCs w:val="22"/>
          <w:color w:val="auto"/>
        </w:rPr>
        <w:t>both:</w:t>
      </w:r>
    </w:p>
    <w:p>
      <w:pPr>
        <w:spacing w:after="0" w:line="233" w:lineRule="exact"/>
        <w:rPr>
          <w:rFonts w:ascii="Arial" w:cs="Arial" w:eastAsia="Arial" w:hAnsi="Arial"/>
          <w:sz w:val="22"/>
          <w:szCs w:val="22"/>
          <w:color w:val="auto"/>
        </w:rPr>
      </w:pPr>
    </w:p>
    <w:p>
      <w:pPr>
        <w:jc w:val="both"/>
        <w:ind w:firstLine="2601"/>
        <w:spacing w:after="0" w:line="260" w:lineRule="auto"/>
        <w:tabs>
          <w:tab w:leader="none" w:pos="2977" w:val="left"/>
        </w:tabs>
        <w:numPr>
          <w:ilvl w:val="3"/>
          <w:numId w:val="31"/>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7" w:lineRule="exact"/>
        <w:rPr>
          <w:rFonts w:ascii="Arial" w:cs="Arial" w:eastAsia="Arial" w:hAnsi="Arial"/>
          <w:sz w:val="22"/>
          <w:szCs w:val="22"/>
          <w:color w:val="auto"/>
        </w:rPr>
      </w:pPr>
    </w:p>
    <w:p>
      <w:pPr>
        <w:ind w:firstLine="2601"/>
        <w:spacing w:after="0" w:line="276" w:lineRule="auto"/>
        <w:tabs>
          <w:tab w:leader="none" w:pos="3267" w:val="left"/>
        </w:tabs>
        <w:numPr>
          <w:ilvl w:val="3"/>
          <w:numId w:val="31"/>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160" w:lineRule="exact"/>
        <w:rPr>
          <w:rFonts w:ascii="Arial" w:cs="Arial" w:eastAsia="Arial" w:hAnsi="Arial"/>
          <w:sz w:val="22"/>
          <w:szCs w:val="22"/>
          <w:color w:val="auto"/>
        </w:rPr>
      </w:pPr>
    </w:p>
    <w:p>
      <w:pPr>
        <w:ind w:left="2420" w:hanging="467"/>
        <w:spacing w:after="0"/>
        <w:tabs>
          <w:tab w:leader="none" w:pos="2420" w:val="left"/>
        </w:tabs>
        <w:numPr>
          <w:ilvl w:val="2"/>
          <w:numId w:val="31"/>
        </w:numPr>
        <w:rPr>
          <w:rFonts w:ascii="Arial" w:cs="Arial" w:eastAsia="Arial" w:hAnsi="Arial"/>
          <w:sz w:val="22"/>
          <w:szCs w:val="22"/>
          <w:color w:val="auto"/>
        </w:rPr>
      </w:pPr>
      <w:r>
        <w:rPr>
          <w:rFonts w:ascii="Arial" w:cs="Arial" w:eastAsia="Arial" w:hAnsi="Arial"/>
          <w:sz w:val="22"/>
          <w:szCs w:val="22"/>
          <w:color w:val="auto"/>
        </w:rPr>
        <w:t>both:</w:t>
      </w:r>
    </w:p>
    <w:p>
      <w:pPr>
        <w:spacing w:after="0" w:line="233" w:lineRule="exact"/>
        <w:rPr>
          <w:rFonts w:ascii="Arial" w:cs="Arial" w:eastAsia="Arial" w:hAnsi="Arial"/>
          <w:sz w:val="22"/>
          <w:szCs w:val="22"/>
          <w:color w:val="auto"/>
        </w:rPr>
      </w:pPr>
    </w:p>
    <w:p>
      <w:pPr>
        <w:jc w:val="both"/>
        <w:ind w:firstLine="2601"/>
        <w:spacing w:after="0" w:line="260" w:lineRule="auto"/>
        <w:tabs>
          <w:tab w:leader="none" w:pos="2977" w:val="left"/>
        </w:tabs>
        <w:numPr>
          <w:ilvl w:val="3"/>
          <w:numId w:val="31"/>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77" w:lineRule="exact"/>
        <w:rPr>
          <w:rFonts w:ascii="Arial" w:cs="Arial" w:eastAsia="Arial" w:hAnsi="Arial"/>
          <w:sz w:val="22"/>
          <w:szCs w:val="22"/>
          <w:color w:val="auto"/>
        </w:rPr>
      </w:pPr>
    </w:p>
    <w:p>
      <w:pPr>
        <w:ind w:firstLine="2601"/>
        <w:spacing w:after="0" w:line="301" w:lineRule="auto"/>
        <w:tabs>
          <w:tab w:leader="none" w:pos="3199" w:val="left"/>
        </w:tabs>
        <w:numPr>
          <w:ilvl w:val="3"/>
          <w:numId w:val="31"/>
        </w:numPr>
        <w:rPr>
          <w:rFonts w:ascii="Arial" w:cs="Arial" w:eastAsia="Arial" w:hAnsi="Arial"/>
          <w:sz w:val="21"/>
          <w:szCs w:val="21"/>
          <w:color w:val="auto"/>
        </w:rPr>
      </w:pPr>
      <w:r>
        <w:rPr>
          <w:rFonts w:ascii="Arial" w:cs="Arial" w:eastAsia="Arial" w:hAnsi="Arial"/>
          <w:sz w:val="21"/>
          <w:szCs w:val="21"/>
          <w:color w:val="auto"/>
        </w:rPr>
        <w:t>instructions given by the Depositary to the Registrar containing information regarding the Person in whose name such Definitive Note shall be registered to effect the transfer or exchange referred to in (1) above;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35" w:name="page36"/>
    <w:bookmarkEnd w:id="35"/>
    <w:p>
      <w:pPr>
        <w:jc w:val="both"/>
        <w:ind w:left="1300"/>
        <w:spacing w:after="0" w:line="271"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no event shall Definitive Notes be issued upon the transfer or exchange of beneficial interests in the</w:t>
      </w:r>
      <w:r>
        <w:rPr>
          <w:rFonts w:ascii="Arial" w:cs="Arial" w:eastAsia="Arial" w:hAnsi="Arial"/>
          <w:sz w:val="21"/>
          <w:szCs w:val="21"/>
          <w:i w:val="1"/>
          <w:iCs w:val="1"/>
          <w:color w:val="auto"/>
        </w:rPr>
        <w:t xml:space="preserve"> </w:t>
      </w:r>
      <w:r>
        <w:rPr>
          <w:rFonts w:ascii="Arial" w:cs="Arial" w:eastAsia="Arial" w:hAnsi="Arial"/>
          <w:sz w:val="21"/>
          <w:szCs w:val="21"/>
          <w:color w:val="auto"/>
        </w:rPr>
        <w:t>Regulation S Temporary Global Note prior to (A) the expiration of the Restricted Period and (B) the receipt by the Registrar of any certificates required pursuant to Rule 903 under the Securities Act.</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6" w:lineRule="exact"/>
        <w:rPr>
          <w:sz w:val="20"/>
          <w:szCs w:val="20"/>
          <w:color w:val="auto"/>
        </w:rPr>
      </w:pPr>
    </w:p>
    <w:p>
      <w:pPr>
        <w:jc w:val="both"/>
        <w:ind w:left="660" w:firstLine="645"/>
        <w:spacing w:after="0" w:line="254" w:lineRule="auto"/>
        <w:tabs>
          <w:tab w:leader="none" w:pos="1875"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to Another Restricted Global Note</w:t>
      </w:r>
      <w:r>
        <w:rPr>
          <w:rFonts w:ascii="Arial" w:cs="Arial" w:eastAsia="Arial" w:hAnsi="Arial"/>
          <w:sz w:val="22"/>
          <w:szCs w:val="22"/>
          <w:color w:val="auto"/>
        </w:rPr>
        <w:t>. A beneficial interest in any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85" w:lineRule="exact"/>
        <w:rPr>
          <w:rFonts w:ascii="Arial" w:cs="Arial" w:eastAsia="Arial" w:hAnsi="Arial"/>
          <w:sz w:val="22"/>
          <w:szCs w:val="22"/>
          <w:color w:val="auto"/>
        </w:rPr>
      </w:pPr>
    </w:p>
    <w:p>
      <w:pPr>
        <w:ind w:firstLine="1953"/>
        <w:spacing w:after="0" w:line="301" w:lineRule="auto"/>
        <w:tabs>
          <w:tab w:leader="none" w:pos="2425"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(1) thereof;</w:t>
      </w:r>
    </w:p>
    <w:p>
      <w:pPr>
        <w:spacing w:after="0" w:line="137" w:lineRule="exact"/>
        <w:rPr>
          <w:rFonts w:ascii="Arial" w:cs="Arial" w:eastAsia="Arial" w:hAnsi="Arial"/>
          <w:sz w:val="21"/>
          <w:szCs w:val="21"/>
          <w:color w:val="auto"/>
        </w:rPr>
      </w:pPr>
    </w:p>
    <w:p>
      <w:pPr>
        <w:jc w:val="both"/>
        <w:ind w:firstLine="1953"/>
        <w:spacing w:after="0" w:line="260" w:lineRule="auto"/>
        <w:tabs>
          <w:tab w:leader="none" w:pos="2467"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440"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IAI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177" w:lineRule="exact"/>
        <w:rPr>
          <w:rFonts w:ascii="Arial" w:cs="Arial" w:eastAsia="Arial" w:hAnsi="Arial"/>
          <w:sz w:val="22"/>
          <w:szCs w:val="22"/>
          <w:color w:val="auto"/>
        </w:rPr>
      </w:pPr>
    </w:p>
    <w:p>
      <w:pPr>
        <w:jc w:val="both"/>
        <w:ind w:left="660" w:firstLine="645"/>
        <w:spacing w:after="0" w:line="290" w:lineRule="auto"/>
        <w:tabs>
          <w:tab w:leader="none" w:pos="1902"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2.06(b)(2) above and the Registrar receives the following:</w:t>
      </w:r>
    </w:p>
    <w:p>
      <w:pPr>
        <w:spacing w:after="0" w:line="201" w:lineRule="exact"/>
        <w:rPr>
          <w:rFonts w:ascii="Arial" w:cs="Arial" w:eastAsia="Arial" w:hAnsi="Arial"/>
          <w:sz w:val="19"/>
          <w:szCs w:val="19"/>
          <w:color w:val="auto"/>
        </w:rPr>
      </w:pPr>
    </w:p>
    <w:p>
      <w:pPr>
        <w:jc w:val="both"/>
        <w:ind w:firstLine="1953"/>
        <w:spacing w:after="0" w:line="260" w:lineRule="auto"/>
        <w:tabs>
          <w:tab w:leader="none" w:pos="26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(1)(a) thereof; or</w:t>
      </w:r>
    </w:p>
    <w:p>
      <w:pPr>
        <w:spacing w:after="0" w:line="177" w:lineRule="exact"/>
        <w:rPr>
          <w:rFonts w:ascii="Arial" w:cs="Arial" w:eastAsia="Arial" w:hAnsi="Arial"/>
          <w:sz w:val="22"/>
          <w:szCs w:val="22"/>
          <w:color w:val="auto"/>
        </w:rPr>
      </w:pPr>
    </w:p>
    <w:p>
      <w:pPr>
        <w:jc w:val="both"/>
        <w:ind w:firstLine="1953"/>
        <w:spacing w:after="0" w:line="278" w:lineRule="auto"/>
        <w:tabs>
          <w:tab w:leader="none" w:pos="2426"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(4)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36" w:name="page37"/>
    <w:bookmarkEnd w:id="36"/>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any such transfer is effected pursuant to this paragraph (4)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(4) above.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48" w:val="left"/>
        </w:tabs>
        <w:numPr>
          <w:ilvl w:val="1"/>
          <w:numId w:val="33"/>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Restricted Definitive Notes</w:t>
      </w:r>
      <w:r>
        <w:rPr>
          <w:rFonts w:ascii="Arial" w:cs="Arial" w:eastAsia="Arial" w:hAnsi="Arial"/>
          <w:sz w:val="22"/>
          <w:szCs w:val="22"/>
          <w:color w:val="auto"/>
        </w:rPr>
        <w:t>. 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600" w:val="left"/>
        </w:tabs>
        <w:numPr>
          <w:ilvl w:val="2"/>
          <w:numId w:val="33"/>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(2)(a) thereof;</w:t>
      </w:r>
    </w:p>
    <w:p>
      <w:pPr>
        <w:spacing w:after="0" w:line="177" w:lineRule="exact"/>
        <w:rPr>
          <w:rFonts w:ascii="Arial" w:cs="Arial" w:eastAsia="Arial" w:hAnsi="Arial"/>
          <w:sz w:val="22"/>
          <w:szCs w:val="22"/>
          <w:color w:val="auto"/>
        </w:rPr>
      </w:pPr>
    </w:p>
    <w:p>
      <w:pPr>
        <w:ind w:firstLine="1953"/>
        <w:spacing w:after="0" w:line="276" w:lineRule="auto"/>
        <w:tabs>
          <w:tab w:leader="none" w:pos="2453" w:val="left"/>
        </w:tabs>
        <w:numPr>
          <w:ilvl w:val="2"/>
          <w:numId w:val="33"/>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 QIB in accordance with Rule 144A,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561" w:val="left"/>
        </w:tabs>
        <w:numPr>
          <w:ilvl w:val="2"/>
          <w:numId w:val="33"/>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654" w:val="left"/>
        </w:tabs>
        <w:numPr>
          <w:ilvl w:val="2"/>
          <w:numId w:val="33"/>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455" w:val="left"/>
        </w:tabs>
        <w:numPr>
          <w:ilvl w:val="2"/>
          <w:numId w:val="33"/>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37" w:name="page38"/>
    <w:bookmarkEnd w:id="37"/>
    <w:p>
      <w:pPr>
        <w:ind w:firstLine="1953"/>
        <w:spacing w:after="0" w:line="276" w:lineRule="auto"/>
        <w:tabs>
          <w:tab w:leader="none" w:pos="24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the Issuers or any of their Subsidiaries,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0" w:lineRule="exact"/>
        <w:rPr>
          <w:sz w:val="20"/>
          <w:szCs w:val="20"/>
          <w:color w:val="auto"/>
        </w:rPr>
      </w:pPr>
    </w:p>
    <w:p>
      <w:pPr>
        <w:jc w:val="both"/>
        <w:ind w:left="660" w:firstLine="645"/>
        <w:spacing w:after="0" w:line="290" w:lineRule="auto"/>
        <w:tabs>
          <w:tab w:leader="none" w:pos="1862"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Regulation S Temporary Global Note to Definitive Notes. </w:t>
      </w:r>
      <w:r>
        <w:rPr>
          <w:rFonts w:ascii="Arial" w:cs="Arial" w:eastAsia="Arial" w:hAnsi="Arial"/>
          <w:sz w:val="19"/>
          <w:szCs w:val="19"/>
          <w:color w:val="auto"/>
        </w:rPr>
        <w:t>Notwithstanding Sections</w:t>
      </w:r>
      <w:r>
        <w:rPr>
          <w:rFonts w:ascii="Arial" w:cs="Arial" w:eastAsia="Arial" w:hAnsi="Arial"/>
          <w:sz w:val="19"/>
          <w:szCs w:val="19"/>
          <w:i w:val="1"/>
          <w:iCs w:val="1"/>
          <w:color w:val="auto"/>
        </w:rPr>
        <w:t xml:space="preserve"> </w:t>
      </w:r>
      <w:r>
        <w:rPr>
          <w:rFonts w:ascii="Arial" w:cs="Arial" w:eastAsia="Arial" w:hAnsi="Arial"/>
          <w:sz w:val="19"/>
          <w:szCs w:val="19"/>
          <w:color w:val="auto"/>
        </w:rPr>
        <w:t>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w:t>
      </w:r>
    </w:p>
    <w:p>
      <w:pPr>
        <w:spacing w:after="0" w:line="1" w:lineRule="exact"/>
        <w:rPr>
          <w:rFonts w:ascii="Arial" w:cs="Arial" w:eastAsia="Arial" w:hAnsi="Arial"/>
          <w:sz w:val="19"/>
          <w:szCs w:val="19"/>
          <w:color w:val="auto"/>
        </w:rPr>
      </w:pP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(3)(ii)(B) under the Securities Act, except in the case of a transfer pursuant to an exemption from the registration requirements of the Securities Act other than Rule 903 or Rule 904.</w:t>
      </w:r>
    </w:p>
    <w:p>
      <w:pPr>
        <w:spacing w:after="0" w:line="192" w:lineRule="exact"/>
        <w:rPr>
          <w:rFonts w:ascii="Arial" w:cs="Arial" w:eastAsia="Arial" w:hAnsi="Arial"/>
          <w:sz w:val="19"/>
          <w:szCs w:val="19"/>
          <w:color w:val="auto"/>
        </w:rPr>
      </w:pPr>
    </w:p>
    <w:p>
      <w:pPr>
        <w:jc w:val="both"/>
        <w:ind w:left="660" w:firstLine="645"/>
        <w:spacing w:after="0" w:line="254"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Unrestricted Definitive Notes</w:t>
      </w:r>
      <w:r>
        <w:rPr>
          <w:rFonts w:ascii="Arial" w:cs="Arial" w:eastAsia="Arial" w:hAnsi="Arial"/>
          <w:sz w:val="22"/>
          <w:szCs w:val="22"/>
          <w:color w:val="auto"/>
        </w:rPr>
        <w:t>. A holder of a beneficial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5" w:lineRule="exact"/>
        <w:rPr>
          <w:rFonts w:ascii="Arial" w:cs="Arial" w:eastAsia="Arial" w:hAnsi="Arial"/>
          <w:sz w:val="22"/>
          <w:szCs w:val="22"/>
          <w:color w:val="auto"/>
        </w:rPr>
      </w:pPr>
    </w:p>
    <w:p>
      <w:pPr>
        <w:jc w:val="both"/>
        <w:ind w:firstLine="2601"/>
        <w:spacing w:after="0" w:line="260" w:lineRule="auto"/>
        <w:tabs>
          <w:tab w:leader="none" w:pos="3031" w:val="left"/>
        </w:tabs>
        <w:numPr>
          <w:ilvl w:val="1"/>
          <w:numId w:val="35"/>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(1)(b) thereof; or</w:t>
      </w:r>
    </w:p>
    <w:p>
      <w:pPr>
        <w:spacing w:after="0" w:line="177" w:lineRule="exact"/>
        <w:rPr>
          <w:rFonts w:ascii="Arial" w:cs="Arial" w:eastAsia="Arial" w:hAnsi="Arial"/>
          <w:sz w:val="22"/>
          <w:szCs w:val="22"/>
          <w:color w:val="auto"/>
        </w:rPr>
      </w:pPr>
    </w:p>
    <w:p>
      <w:pPr>
        <w:jc w:val="both"/>
        <w:ind w:firstLine="2601"/>
        <w:spacing w:after="0" w:line="260" w:lineRule="auto"/>
        <w:tabs>
          <w:tab w:leader="none" w:pos="3118" w:val="left"/>
        </w:tabs>
        <w:numPr>
          <w:ilvl w:val="1"/>
          <w:numId w:val="35"/>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77"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38" w:name="page39"/>
    <w:bookmarkEnd w:id="38"/>
    <w:p>
      <w:pPr>
        <w:jc w:val="both"/>
        <w:ind w:left="660" w:firstLine="645"/>
        <w:spacing w:after="0" w:line="259" w:lineRule="auto"/>
        <w:tabs>
          <w:tab w:leader="none" w:pos="1767" w:val="left"/>
        </w:tabs>
        <w:numPr>
          <w:ilvl w:val="2"/>
          <w:numId w:val="36"/>
        </w:numPr>
        <w:rPr>
          <w:rFonts w:ascii="Arial" w:cs="Arial" w:eastAsia="Arial" w:hAnsi="Arial"/>
          <w:sz w:val="21"/>
          <w:szCs w:val="21"/>
          <w:color w:val="auto"/>
        </w:rPr>
      </w:pPr>
      <w:r>
        <w:rPr>
          <w:rFonts w:ascii="Arial" w:cs="Arial" w:eastAsia="Arial" w:hAnsi="Arial"/>
          <w:sz w:val="21"/>
          <w:szCs w:val="21"/>
          <w:i w:val="1"/>
          <w:iCs w:val="1"/>
          <w:color w:val="auto"/>
        </w:rPr>
        <w:t>Beneficial Interests in Unrestricted Global Notes to Unrestricted Definitive Notes</w:t>
      </w:r>
      <w:r>
        <w:rPr>
          <w:rFonts w:ascii="Arial" w:cs="Arial" w:eastAsia="Arial" w:hAnsi="Arial"/>
          <w:sz w:val="21"/>
          <w:szCs w:val="21"/>
          <w:color w:val="auto"/>
        </w:rPr>
        <w:t>. If any holder of a beneficial</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181" w:lineRule="exact"/>
        <w:rPr>
          <w:rFonts w:ascii="Arial" w:cs="Arial" w:eastAsia="Arial" w:hAnsi="Arial"/>
          <w:sz w:val="21"/>
          <w:szCs w:val="21"/>
          <w:color w:val="auto"/>
        </w:rPr>
      </w:pPr>
    </w:p>
    <w:p>
      <w:pPr>
        <w:ind w:left="1080" w:hanging="424"/>
        <w:spacing w:after="0"/>
        <w:tabs>
          <w:tab w:leader="none" w:pos="1080" w:val="left"/>
        </w:tabs>
        <w:numPr>
          <w:ilvl w:val="1"/>
          <w:numId w:val="37"/>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35" w:val="left"/>
        </w:tabs>
        <w:numPr>
          <w:ilvl w:val="2"/>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Restricted Global Notes. </w:t>
      </w:r>
      <w:r>
        <w:rPr>
          <w:rFonts w:ascii="Arial" w:cs="Arial" w:eastAsia="Arial" w:hAnsi="Arial"/>
          <w:sz w:val="22"/>
          <w:szCs w:val="22"/>
          <w:color w:val="auto"/>
        </w:rPr>
        <w:t>If any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560" w:val="left"/>
        </w:tabs>
        <w:numPr>
          <w:ilvl w:val="3"/>
          <w:numId w:val="37"/>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(2)(b) thereof;</w:t>
      </w:r>
    </w:p>
    <w:p>
      <w:pPr>
        <w:spacing w:after="0" w:line="177" w:lineRule="exact"/>
        <w:rPr>
          <w:rFonts w:ascii="Arial" w:cs="Arial" w:eastAsia="Arial" w:hAnsi="Arial"/>
          <w:sz w:val="22"/>
          <w:szCs w:val="22"/>
          <w:color w:val="auto"/>
        </w:rPr>
      </w:pPr>
    </w:p>
    <w:p>
      <w:pPr>
        <w:ind w:firstLine="1953"/>
        <w:spacing w:after="0" w:line="276" w:lineRule="auto"/>
        <w:tabs>
          <w:tab w:leader="none" w:pos="2548" w:val="left"/>
        </w:tabs>
        <w:numPr>
          <w:ilvl w:val="3"/>
          <w:numId w:val="37"/>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 QIB in accordance with Rule 144A,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jc w:val="both"/>
        <w:ind w:firstLine="1953"/>
        <w:spacing w:after="0" w:line="299" w:lineRule="auto"/>
        <w:tabs>
          <w:tab w:leader="none" w:pos="2453" w:val="left"/>
        </w:tabs>
        <w:numPr>
          <w:ilvl w:val="3"/>
          <w:numId w:val="37"/>
        </w:numPr>
        <w:rPr>
          <w:rFonts w:ascii="Arial" w:cs="Arial" w:eastAsia="Arial" w:hAnsi="Arial"/>
          <w:sz w:val="19"/>
          <w:szCs w:val="19"/>
          <w:color w:val="auto"/>
        </w:rPr>
      </w:pPr>
      <w:r>
        <w:rPr>
          <w:rFonts w:ascii="Arial" w:cs="Arial" w:eastAsia="Arial" w:hAnsi="Arial"/>
          <w:sz w:val="19"/>
          <w:szCs w:val="19"/>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w:t>
      </w:r>
    </w:p>
    <w:p>
      <w:pPr>
        <w:ind w:left="320" w:hanging="312"/>
        <w:spacing w:after="0"/>
        <w:tabs>
          <w:tab w:leader="none" w:pos="3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thereof;</w:t>
      </w:r>
    </w:p>
    <w:p>
      <w:pPr>
        <w:spacing w:after="0" w:line="201" w:lineRule="exact"/>
        <w:rPr>
          <w:rFonts w:ascii="Arial" w:cs="Arial" w:eastAsia="Arial" w:hAnsi="Arial"/>
          <w:sz w:val="22"/>
          <w:szCs w:val="22"/>
          <w:color w:val="auto"/>
        </w:rPr>
      </w:pPr>
    </w:p>
    <w:p>
      <w:pPr>
        <w:jc w:val="both"/>
        <w:ind w:firstLine="1953"/>
        <w:spacing w:after="0" w:line="260" w:lineRule="auto"/>
        <w:tabs>
          <w:tab w:leader="none" w:pos="2479" w:val="left"/>
        </w:tabs>
        <w:numPr>
          <w:ilvl w:val="3"/>
          <w:numId w:val="38"/>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414" w:val="left"/>
        </w:tabs>
        <w:numPr>
          <w:ilvl w:val="3"/>
          <w:numId w:val="38"/>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39" w:name="page40"/>
    <w:bookmarkEnd w:id="39"/>
    <w:p>
      <w:pPr>
        <w:ind w:right="20" w:firstLine="1953"/>
        <w:spacing w:after="0" w:line="276" w:lineRule="auto"/>
        <w:tabs>
          <w:tab w:leader="none" w:pos="2497"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the Issuers or any of their Subsidiaries,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186" w:lineRule="exact"/>
        <w:rPr>
          <w:sz w:val="20"/>
          <w:szCs w:val="20"/>
          <w:color w:val="auto"/>
        </w:rPr>
      </w:pPr>
    </w:p>
    <w:p>
      <w:pPr>
        <w:jc w:val="both"/>
        <w:ind w:left="660" w:firstLine="645"/>
        <w:spacing w:after="0" w:line="254" w:lineRule="auto"/>
        <w:tabs>
          <w:tab w:leader="none" w:pos="1875"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452"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(1)(c) thereof; or</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534"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77"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05" w:lineRule="exact"/>
        <w:rPr>
          <w:sz w:val="20"/>
          <w:szCs w:val="20"/>
          <w:color w:val="auto"/>
        </w:rPr>
      </w:pPr>
    </w:p>
    <w:p>
      <w:pPr>
        <w:jc w:val="both"/>
        <w:ind w:left="660" w:firstLine="645"/>
        <w:spacing w:after="0" w:line="300" w:lineRule="auto"/>
        <w:tabs>
          <w:tab w:leader="none" w:pos="1754"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any such exchange or transfer from a Definitive Note to a beneficial interest is effected pursuant to subparagraphs</w:t>
      </w:r>
    </w:p>
    <w:p>
      <w:pPr>
        <w:spacing w:after="0" w:line="56" w:lineRule="exact"/>
        <w:rPr>
          <w:sz w:val="20"/>
          <w:szCs w:val="20"/>
          <w:color w:val="auto"/>
        </w:rPr>
      </w:pPr>
    </w:p>
    <w:p>
      <w:pPr>
        <w:ind w:left="660" w:hanging="4"/>
        <w:spacing w:after="0" w:line="323" w:lineRule="auto"/>
        <w:tabs>
          <w:tab w:leader="none" w:pos="967" w:val="left"/>
        </w:tabs>
        <w:numPr>
          <w:ilvl w:val="0"/>
          <w:numId w:val="42"/>
        </w:numPr>
        <w:rPr>
          <w:rFonts w:ascii="Arial" w:cs="Arial" w:eastAsia="Arial" w:hAnsi="Arial"/>
          <w:sz w:val="19"/>
          <w:szCs w:val="19"/>
          <w:color w:val="auto"/>
        </w:rPr>
      </w:pPr>
      <w:r>
        <w:rPr>
          <w:rFonts w:ascii="Arial" w:cs="Arial" w:eastAsia="Arial" w:hAnsi="Arial"/>
          <w:sz w:val="19"/>
          <w:szCs w:val="19"/>
          <w:color w:val="auto"/>
        </w:rPr>
        <w:t>or (3) above at a time when an Unrestricted Global Note has not yet been issued, the Issuers shall issue and, upon receipt of an Authentication Order in accordance with Section 2.02 hereof, the Trustee shall authenticate one or more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40" w:name="page41"/>
    <w:bookmarkEnd w:id="40"/>
    <w:p>
      <w:pPr>
        <w:ind w:left="660"/>
        <w:spacing w:after="0" w:line="263" w:lineRule="auto"/>
        <w:rPr>
          <w:sz w:val="20"/>
          <w:szCs w:val="20"/>
          <w:color w:val="auto"/>
        </w:rPr>
      </w:pPr>
      <w:r>
        <w:rPr>
          <w:rFonts w:ascii="Arial" w:cs="Arial" w:eastAsia="Arial" w:hAnsi="Arial"/>
          <w:sz w:val="22"/>
          <w:szCs w:val="22"/>
          <w:color w:val="auto"/>
        </w:rPr>
        <w:t>Unrestricted Global Notes in an aggregate principal amount equal to the principal amount of Definitive Notes so transferred.</w:t>
      </w:r>
    </w:p>
    <w:p>
      <w:pPr>
        <w:spacing w:after="0" w:line="175" w:lineRule="exact"/>
        <w:rPr>
          <w:sz w:val="20"/>
          <w:szCs w:val="20"/>
          <w:color w:val="auto"/>
        </w:rPr>
      </w:pPr>
    </w:p>
    <w:p>
      <w:pPr>
        <w:jc w:val="both"/>
        <w:ind w:firstLine="656"/>
        <w:spacing w:after="0" w:line="248" w:lineRule="auto"/>
        <w:tabs>
          <w:tab w:leader="none" w:pos="1068"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5" w:lineRule="exact"/>
        <w:rPr>
          <w:rFonts w:ascii="Arial" w:cs="Arial" w:eastAsia="Arial" w:hAnsi="Arial"/>
          <w:sz w:val="22"/>
          <w:szCs w:val="22"/>
          <w:color w:val="auto"/>
        </w:rPr>
      </w:pPr>
    </w:p>
    <w:p>
      <w:pPr>
        <w:jc w:val="both"/>
        <w:ind w:left="660" w:firstLine="645"/>
        <w:spacing w:after="0" w:line="260" w:lineRule="auto"/>
        <w:tabs>
          <w:tab w:leader="none" w:pos="1740" w:val="left"/>
        </w:tabs>
        <w:numPr>
          <w:ilvl w:val="1"/>
          <w:numId w:val="43"/>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Restricted Definitive Notes. </w:t>
      </w:r>
      <w:r>
        <w:rPr>
          <w:rFonts w:ascii="Arial" w:cs="Arial" w:eastAsia="Arial" w:hAnsi="Arial"/>
          <w:sz w:val="22"/>
          <w:szCs w:val="22"/>
          <w:color w:val="auto"/>
        </w:rPr>
        <w:t>Any Restricted Definitive Note may be transferred to</w:t>
      </w:r>
      <w:r>
        <w:rPr>
          <w:rFonts w:ascii="Arial" w:cs="Arial" w:eastAsia="Arial" w:hAnsi="Arial"/>
          <w:sz w:val="22"/>
          <w:szCs w:val="22"/>
          <w:i w:val="1"/>
          <w:iCs w:val="1"/>
          <w:color w:val="auto"/>
        </w:rPr>
        <w:t xml:space="preserve"> </w:t>
      </w:r>
      <w:r>
        <w:rPr>
          <w:rFonts w:ascii="Arial" w:cs="Arial" w:eastAsia="Arial" w:hAnsi="Arial"/>
          <w:sz w:val="22"/>
          <w:szCs w:val="22"/>
          <w:color w:val="auto"/>
        </w:rPr>
        <w:t>and registered in the name of Persons who take delivery thereof in the form of a Restricted Definitive Note if the Registrar receives the following:</w:t>
      </w:r>
    </w:p>
    <w:p>
      <w:pPr>
        <w:spacing w:after="0" w:line="177" w:lineRule="exact"/>
        <w:rPr>
          <w:rFonts w:ascii="Arial" w:cs="Arial" w:eastAsia="Arial" w:hAnsi="Arial"/>
          <w:sz w:val="22"/>
          <w:szCs w:val="22"/>
          <w:color w:val="auto"/>
        </w:rPr>
      </w:pPr>
    </w:p>
    <w:p>
      <w:pPr>
        <w:ind w:firstLine="1953"/>
        <w:spacing w:after="0" w:line="276" w:lineRule="auto"/>
        <w:tabs>
          <w:tab w:leader="none" w:pos="2438" w:val="left"/>
        </w:tabs>
        <w:numPr>
          <w:ilvl w:val="2"/>
          <w:numId w:val="43"/>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144A,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ind w:right="20" w:firstLine="1953"/>
        <w:spacing w:after="0" w:line="276" w:lineRule="auto"/>
        <w:tabs>
          <w:tab w:leader="none" w:pos="2534" w:val="left"/>
        </w:tabs>
        <w:numPr>
          <w:ilvl w:val="2"/>
          <w:numId w:val="43"/>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903 or Rule 904,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440" w:val="left"/>
        </w:tabs>
        <w:numPr>
          <w:ilvl w:val="2"/>
          <w:numId w:val="43"/>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any other exemption from the registration requirements of the Securities Act,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177" w:lineRule="exact"/>
        <w:rPr>
          <w:rFonts w:ascii="Arial" w:cs="Arial" w:eastAsia="Arial" w:hAnsi="Arial"/>
          <w:sz w:val="22"/>
          <w:szCs w:val="22"/>
          <w:color w:val="auto"/>
        </w:rPr>
      </w:pPr>
    </w:p>
    <w:p>
      <w:pPr>
        <w:jc w:val="both"/>
        <w:ind w:left="660" w:firstLine="645"/>
        <w:spacing w:after="0" w:line="260" w:lineRule="auto"/>
        <w:tabs>
          <w:tab w:leader="none" w:pos="1754" w:val="left"/>
        </w:tabs>
        <w:numPr>
          <w:ilvl w:val="1"/>
          <w:numId w:val="43"/>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 exchanged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Holder thereof for an Unrestricted Definitive Note or transferred to a Person or Persons who take delivery thereof in the form of an Unrestricted Definitive Note if the Registrar receives the following:</w:t>
      </w:r>
    </w:p>
    <w:p>
      <w:pPr>
        <w:spacing w:after="0" w:line="177" w:lineRule="exact"/>
        <w:rPr>
          <w:rFonts w:ascii="Arial" w:cs="Arial" w:eastAsia="Arial" w:hAnsi="Arial"/>
          <w:sz w:val="22"/>
          <w:szCs w:val="22"/>
          <w:color w:val="auto"/>
        </w:rPr>
      </w:pPr>
    </w:p>
    <w:p>
      <w:pPr>
        <w:jc w:val="both"/>
        <w:ind w:right="20" w:firstLine="1953"/>
        <w:spacing w:after="0" w:line="358" w:lineRule="auto"/>
        <w:tabs>
          <w:tab w:leader="none" w:pos="2452" w:val="left"/>
        </w:tabs>
        <w:numPr>
          <w:ilvl w:val="2"/>
          <w:numId w:val="43"/>
        </w:numPr>
        <w:rPr>
          <w:rFonts w:ascii="Arial" w:cs="Arial" w:eastAsia="Arial" w:hAnsi="Arial"/>
          <w:sz w:val="19"/>
          <w:szCs w:val="19"/>
          <w:color w:val="auto"/>
        </w:rPr>
      </w:pPr>
      <w:r>
        <w:rPr>
          <w:rFonts w:ascii="Arial" w:cs="Arial" w:eastAsia="Arial" w:hAnsi="Arial"/>
          <w:sz w:val="19"/>
          <w:szCs w:val="19"/>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including the certifications in item (1)(d) thereof; or</w:t>
      </w:r>
    </w:p>
    <w:p>
      <w:pPr>
        <w:spacing w:after="0" w:line="90" w:lineRule="exact"/>
        <w:rPr>
          <w:rFonts w:ascii="Arial" w:cs="Arial" w:eastAsia="Arial" w:hAnsi="Arial"/>
          <w:sz w:val="19"/>
          <w:szCs w:val="19"/>
          <w:color w:val="auto"/>
        </w:rPr>
      </w:pPr>
    </w:p>
    <w:p>
      <w:pPr>
        <w:jc w:val="both"/>
        <w:ind w:firstLine="1953"/>
        <w:spacing w:after="0" w:line="260" w:lineRule="auto"/>
        <w:tabs>
          <w:tab w:leader="none" w:pos="2426" w:val="left"/>
        </w:tabs>
        <w:numPr>
          <w:ilvl w:val="2"/>
          <w:numId w:val="43"/>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77"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and if the Registrar so requests, an Opinion of Counsel in form reasonably acceptable to the Registrar to the effect that such exchange or transfer is in compliance with the Securities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41" w:name="page42"/>
    <w:bookmarkEnd w:id="41"/>
    <w:p>
      <w:pPr>
        <w:ind w:left="660" w:right="20"/>
        <w:spacing w:after="0" w:line="263" w:lineRule="auto"/>
        <w:rPr>
          <w:sz w:val="20"/>
          <w:szCs w:val="20"/>
          <w:color w:val="auto"/>
        </w:rPr>
      </w:pPr>
      <w:r>
        <w:rPr>
          <w:rFonts w:ascii="Arial" w:cs="Arial" w:eastAsia="Arial" w:hAnsi="Arial"/>
          <w:sz w:val="22"/>
          <w:szCs w:val="22"/>
          <w:color w:val="auto"/>
        </w:rPr>
        <w:t>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jc w:val="both"/>
        <w:ind w:left="660" w:firstLine="645"/>
        <w:spacing w:after="0" w:line="254" w:lineRule="auto"/>
        <w:tabs>
          <w:tab w:leader="none" w:pos="1767" w:val="left"/>
        </w:tabs>
        <w:numPr>
          <w:ilvl w:val="1"/>
          <w:numId w:val="44"/>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 may</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5" w:lineRule="exact"/>
        <w:rPr>
          <w:rFonts w:ascii="Arial" w:cs="Arial" w:eastAsia="Arial" w:hAnsi="Arial"/>
          <w:sz w:val="22"/>
          <w:szCs w:val="22"/>
          <w:color w:val="auto"/>
        </w:rPr>
      </w:pPr>
    </w:p>
    <w:p>
      <w:pPr>
        <w:ind w:firstLine="656"/>
        <w:spacing w:after="0" w:line="276" w:lineRule="auto"/>
        <w:tabs>
          <w:tab w:leader="none" w:pos="1112"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Legends</w:t>
      </w:r>
      <w:r>
        <w:rPr>
          <w:rFonts w:ascii="Arial" w:cs="Arial" w:eastAsia="Arial" w:hAnsi="Arial"/>
          <w:sz w:val="22"/>
          <w:szCs w:val="22"/>
          <w:color w:val="auto"/>
        </w:rPr>
        <w:t>. 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45"/>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p>
    <w:p>
      <w:pPr>
        <w:spacing w:after="0" w:line="233" w:lineRule="exact"/>
        <w:rPr>
          <w:rFonts w:ascii="Arial" w:cs="Arial" w:eastAsia="Arial" w:hAnsi="Arial"/>
          <w:sz w:val="22"/>
          <w:szCs w:val="22"/>
          <w:color w:val="auto"/>
        </w:rPr>
      </w:pPr>
    </w:p>
    <w:p>
      <w:pPr>
        <w:ind w:firstLine="1953"/>
        <w:spacing w:after="0" w:line="301" w:lineRule="auto"/>
        <w:tabs>
          <w:tab w:leader="none" w:pos="2492" w:val="left"/>
        </w:tabs>
        <w:numPr>
          <w:ilvl w:val="2"/>
          <w:numId w:val="45"/>
        </w:numPr>
        <w:rPr>
          <w:rFonts w:ascii="Arial" w:cs="Arial" w:eastAsia="Arial" w:hAnsi="Arial"/>
          <w:sz w:val="21"/>
          <w:szCs w:val="21"/>
          <w:color w:val="auto"/>
        </w:rPr>
      </w:pPr>
      <w:r>
        <w:rPr>
          <w:rFonts w:ascii="Arial" w:cs="Arial" w:eastAsia="Arial" w:hAnsi="Arial"/>
          <w:sz w:val="21"/>
          <w:szCs w:val="21"/>
          <w:color w:val="auto"/>
        </w:rPr>
        <w:t>Except as permitted by subparagraph (B) below, each Global Note and each Definitive Note (and all Notes issued in exchange therefor or substitution thereof) shall bear the legend in substantially the following form:</w:t>
      </w:r>
    </w:p>
    <w:p>
      <w:pPr>
        <w:spacing w:after="0" w:line="110"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[IN THE CASE OF RULE 144A NOTES: ON WHICH THE COMPANY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THE COMPANY OR ANY AFFILIATE OF THE COMPANY WAS THE OWNER OF THIS NOTE (OR ANY PREDECESSOR OF SUCH NOTE)] RESELL OR OTHERWISE TRANSFER THIS NOTE EXCEPT (A) TO THE COMPANY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THE COMPANY THAT SUCH TRANSFER IS IN COMPLIANCE WITH THE SECURITIES ACT OR (F) PURSUANT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42" w:name="page43"/>
    <w:bookmarkEnd w:id="42"/>
    <w:p>
      <w:pPr>
        <w:jc w:val="both"/>
        <w:spacing w:after="0" w:line="220" w:lineRule="auto"/>
        <w:rPr>
          <w:sz w:val="20"/>
          <w:szCs w:val="20"/>
          <w:color w:val="auto"/>
        </w:rPr>
      </w:pPr>
      <w:r>
        <w:rPr>
          <w:rFonts w:ascii="Arial" w:cs="Arial" w:eastAsia="Arial" w:hAnsi="Arial"/>
          <w:sz w:val="21"/>
          <w:szCs w:val="21"/>
          <w:color w:val="auto"/>
        </w:rPr>
        <w:t>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63" w:lineRule="exact"/>
        <w:rPr>
          <w:sz w:val="20"/>
          <w:szCs w:val="20"/>
          <w:color w:val="auto"/>
        </w:rPr>
      </w:pPr>
    </w:p>
    <w:p>
      <w:pPr>
        <w:jc w:val="both"/>
        <w:ind w:firstLine="1953"/>
        <w:spacing w:after="0" w:line="227" w:lineRule="auto"/>
        <w:tabs>
          <w:tab w:leader="none" w:pos="2467"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subparagraphs (b)(4), (c)(3), (c)(4), (d)(2), (d)(3), (e)(2) or (e)(3) of this Section 2.06 (and all Notes issued in exchange therefor or substitution thereof) shall not bear the Private Placement Legend.</w:t>
      </w:r>
    </w:p>
    <w:p>
      <w:pPr>
        <w:spacing w:after="0" w:line="187" w:lineRule="exact"/>
        <w:rPr>
          <w:rFonts w:ascii="Arial" w:cs="Arial" w:eastAsia="Arial" w:hAnsi="Arial"/>
          <w:sz w:val="22"/>
          <w:szCs w:val="22"/>
          <w:color w:val="auto"/>
        </w:rPr>
      </w:pPr>
    </w:p>
    <w:p>
      <w:pPr>
        <w:ind w:left="1740" w:hanging="435"/>
        <w:spacing w:after="0"/>
        <w:tabs>
          <w:tab w:leader="none" w:pos="1740"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 xml:space="preserve">Global Note Legend. </w:t>
      </w:r>
      <w:r>
        <w:rPr>
          <w:rFonts w:ascii="Arial" w:cs="Arial" w:eastAsia="Arial" w:hAnsi="Arial"/>
          <w:sz w:val="22"/>
          <w:szCs w:val="22"/>
          <w:color w:val="auto"/>
        </w:rPr>
        <w:t>Each Global Note shall bear a legend in substantially the following form:</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04" w:right="239" w:bottom="1440" w:gutter="0" w:footer="0" w:header="0"/>
        </w:sectPr>
      </w:pPr>
    </w:p>
    <w:bookmarkStart w:id="43" w:name="page44"/>
    <w:bookmarkEnd w:id="43"/>
    <w:p>
      <w:pPr>
        <w:spacing w:after="0"/>
        <w:rPr>
          <w:sz w:val="20"/>
          <w:szCs w:val="20"/>
          <w:color w:val="auto"/>
        </w:rPr>
      </w:pPr>
      <w:r>
        <w:rPr>
          <w:rFonts w:ascii="Arial" w:cs="Arial" w:eastAsia="Arial" w:hAnsi="Arial"/>
          <w:sz w:val="21"/>
          <w:szCs w:val="21"/>
          <w:color w:val="auto"/>
        </w:rPr>
        <w:t>IS WRONGFUL INASMUCH AS THE REGISTERED OWNER HEREOF, CEDE &amp; CO., HAS AN INTEREST HEREIN.”</w:t>
      </w:r>
    </w:p>
    <w:p>
      <w:pPr>
        <w:spacing w:after="0" w:line="231" w:lineRule="exact"/>
        <w:rPr>
          <w:sz w:val="20"/>
          <w:szCs w:val="20"/>
          <w:color w:val="auto"/>
        </w:rPr>
      </w:pPr>
    </w:p>
    <w:p>
      <w:pPr>
        <w:ind w:left="660" w:firstLine="645"/>
        <w:spacing w:after="0" w:line="276" w:lineRule="auto"/>
        <w:tabs>
          <w:tab w:leader="none" w:pos="1754"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Regulation S Temporary Global Note Legend. </w:t>
      </w:r>
      <w:r>
        <w:rPr>
          <w:rFonts w:ascii="Arial" w:cs="Arial" w:eastAsia="Arial" w:hAnsi="Arial"/>
          <w:sz w:val="22"/>
          <w:szCs w:val="22"/>
          <w:color w:val="auto"/>
        </w:rPr>
        <w:t>The Regulation S Temporary Global Note shall bear a Legend in</w:t>
      </w:r>
      <w:r>
        <w:rPr>
          <w:rFonts w:ascii="Arial" w:cs="Arial" w:eastAsia="Arial" w:hAnsi="Arial"/>
          <w:sz w:val="22"/>
          <w:szCs w:val="22"/>
          <w:i w:val="1"/>
          <w:iCs w:val="1"/>
          <w:color w:val="auto"/>
        </w:rPr>
        <w:t xml:space="preserve"> </w:t>
      </w:r>
      <w:r>
        <w:rPr>
          <w:rFonts w:ascii="Arial" w:cs="Arial" w:eastAsia="Arial" w:hAnsi="Arial"/>
          <w:sz w:val="22"/>
          <w:szCs w:val="22"/>
          <w:color w:val="auto"/>
        </w:rPr>
        <w:t>substantially the following form:</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76" w:lineRule="exact"/>
        <w:rPr>
          <w:sz w:val="20"/>
          <w:szCs w:val="20"/>
          <w:color w:val="auto"/>
        </w:rPr>
      </w:pPr>
    </w:p>
    <w:p>
      <w:pPr>
        <w:jc w:val="both"/>
        <w:ind w:firstLine="656"/>
        <w:spacing w:after="0" w:line="290" w:lineRule="auto"/>
        <w:tabs>
          <w:tab w:leader="none" w:pos="1148"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 xml:space="preserve">Cancellation and/or Adjustment of Global Notes. </w:t>
      </w:r>
      <w:r>
        <w:rPr>
          <w:rFonts w:ascii="Arial" w:cs="Arial" w:eastAsia="Arial" w:hAnsi="Arial"/>
          <w:sz w:val="19"/>
          <w:szCs w:val="19"/>
          <w:color w:val="auto"/>
        </w:rPr>
        <w:t>At such time as all beneficial interests in a particular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55" w:lineRule="exact"/>
        <w:rPr>
          <w:rFonts w:ascii="Arial" w:cs="Arial" w:eastAsia="Arial" w:hAnsi="Arial"/>
          <w:sz w:val="19"/>
          <w:szCs w:val="19"/>
          <w:color w:val="auto"/>
        </w:rPr>
      </w:pPr>
    </w:p>
    <w:p>
      <w:pPr>
        <w:ind w:left="1080" w:hanging="424"/>
        <w:spacing w:after="0"/>
        <w:tabs>
          <w:tab w:leader="none" w:pos="1080"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81" w:val="left"/>
        </w:tabs>
        <w:numPr>
          <w:ilvl w:val="1"/>
          <w:numId w:val="49"/>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177" w:lineRule="exact"/>
        <w:rPr>
          <w:rFonts w:ascii="Arial" w:cs="Arial" w:eastAsia="Arial" w:hAnsi="Arial"/>
          <w:sz w:val="22"/>
          <w:szCs w:val="22"/>
          <w:color w:val="auto"/>
        </w:rPr>
      </w:pPr>
    </w:p>
    <w:p>
      <w:pPr>
        <w:jc w:val="both"/>
        <w:ind w:left="660" w:firstLine="645"/>
        <w:spacing w:after="0" w:line="270" w:lineRule="auto"/>
        <w:tabs>
          <w:tab w:leader="none" w:pos="1835" w:val="left"/>
        </w:tabs>
        <w:numPr>
          <w:ilvl w:val="1"/>
          <w:numId w:val="49"/>
        </w:numPr>
        <w:rPr>
          <w:rFonts w:ascii="Arial" w:cs="Arial" w:eastAsia="Arial" w:hAnsi="Arial"/>
          <w:sz w:val="21"/>
          <w:szCs w:val="21"/>
          <w:color w:val="auto"/>
        </w:rPr>
      </w:pPr>
      <w:r>
        <w:rPr>
          <w:rFonts w:ascii="Arial" w:cs="Arial" w:eastAsia="Arial" w:hAnsi="Arial"/>
          <w:sz w:val="21"/>
          <w:szCs w:val="21"/>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4.11 and 9.04 hereof).</w:t>
      </w:r>
    </w:p>
    <w:p>
      <w:pPr>
        <w:spacing w:after="0" w:line="169" w:lineRule="exact"/>
        <w:rPr>
          <w:rFonts w:ascii="Arial" w:cs="Arial" w:eastAsia="Arial" w:hAnsi="Arial"/>
          <w:sz w:val="21"/>
          <w:szCs w:val="21"/>
          <w:color w:val="auto"/>
        </w:rPr>
      </w:pPr>
    </w:p>
    <w:p>
      <w:pPr>
        <w:ind w:left="660" w:right="20" w:firstLine="645"/>
        <w:spacing w:after="0" w:line="276" w:lineRule="auto"/>
        <w:tabs>
          <w:tab w:leader="none" w:pos="1781"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any Note selected for redemption in whole or in part, except the unredeemed portion of any Note being redeemed in part.</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767" w:val="left"/>
        </w:tabs>
        <w:numPr>
          <w:ilvl w:val="1"/>
          <w:numId w:val="49"/>
        </w:numPr>
        <w:rPr>
          <w:rFonts w:ascii="Arial" w:cs="Arial" w:eastAsia="Arial" w:hAnsi="Arial"/>
          <w:sz w:val="22"/>
          <w:szCs w:val="22"/>
          <w:color w:val="auto"/>
        </w:rPr>
      </w:pPr>
      <w:r>
        <w:rPr>
          <w:rFonts w:ascii="Arial" w:cs="Arial" w:eastAsia="Arial" w:hAnsi="Arial"/>
          <w:sz w:val="22"/>
          <w:szCs w:val="22"/>
          <w:color w:val="auto"/>
        </w:rPr>
        <w:t>All Global Notes and Definitive Notes issued upon any registration of transfer or exchange of Global Notes or Definitive Notes shall be the valid obligations of the Issuers,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44" w:name="page45"/>
    <w:bookmarkEnd w:id="44"/>
    <w:p>
      <w:pPr>
        <w:ind w:left="660"/>
        <w:spacing w:after="0" w:line="263" w:lineRule="auto"/>
        <w:rPr>
          <w:sz w:val="20"/>
          <w:szCs w:val="20"/>
          <w:color w:val="auto"/>
        </w:rPr>
      </w:pPr>
      <w:r>
        <w:rPr>
          <w:rFonts w:ascii="Arial" w:cs="Arial" w:eastAsia="Arial" w:hAnsi="Arial"/>
          <w:sz w:val="22"/>
          <w:szCs w:val="22"/>
          <w:color w:val="auto"/>
        </w:rPr>
        <w:t>evidencing the same debt, and entitled to the same benefits under this Indenture, as the Global Notes or Definitive Notes surrendered upon such registration of transfer or exchange.</w:t>
      </w:r>
    </w:p>
    <w:p>
      <w:pPr>
        <w:spacing w:after="0" w:line="175" w:lineRule="exact"/>
        <w:rPr>
          <w:sz w:val="20"/>
          <w:szCs w:val="20"/>
          <w:color w:val="auto"/>
        </w:rPr>
      </w:pPr>
    </w:p>
    <w:p>
      <w:pPr>
        <w:ind w:left="1740" w:hanging="435"/>
        <w:spacing w:after="0"/>
        <w:tabs>
          <w:tab w:leader="none" w:pos="17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Neither the Registrar nor the Issuers shall be required:</w:t>
      </w:r>
    </w:p>
    <w:p>
      <w:pPr>
        <w:spacing w:after="0" w:line="233" w:lineRule="exact"/>
        <w:rPr>
          <w:rFonts w:ascii="Arial" w:cs="Arial" w:eastAsia="Arial" w:hAnsi="Arial"/>
          <w:sz w:val="22"/>
          <w:szCs w:val="22"/>
          <w:color w:val="auto"/>
        </w:rPr>
      </w:pPr>
    </w:p>
    <w:p>
      <w:pPr>
        <w:jc w:val="both"/>
        <w:ind w:firstLine="1953"/>
        <w:spacing w:after="0" w:line="260" w:lineRule="auto"/>
        <w:tabs>
          <w:tab w:leader="none" w:pos="2425" w:val="left"/>
        </w:tabs>
        <w:numPr>
          <w:ilvl w:val="1"/>
          <w:numId w:val="50"/>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77" w:lineRule="exact"/>
        <w:rPr>
          <w:rFonts w:ascii="Arial" w:cs="Arial" w:eastAsia="Arial" w:hAnsi="Arial"/>
          <w:sz w:val="22"/>
          <w:szCs w:val="22"/>
          <w:color w:val="auto"/>
        </w:rPr>
      </w:pPr>
    </w:p>
    <w:p>
      <w:pPr>
        <w:ind w:right="20" w:firstLine="1953"/>
        <w:spacing w:after="0" w:line="276" w:lineRule="auto"/>
        <w:tabs>
          <w:tab w:leader="none" w:pos="2453" w:val="left"/>
        </w:tabs>
        <w:numPr>
          <w:ilvl w:val="1"/>
          <w:numId w:val="50"/>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 interest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payment date.</w:t>
      </w:r>
    </w:p>
    <w:p>
      <w:pPr>
        <w:spacing w:after="0" w:line="215" w:lineRule="exact"/>
        <w:rPr>
          <w:rFonts w:ascii="Arial" w:cs="Arial" w:eastAsia="Arial" w:hAnsi="Arial"/>
          <w:sz w:val="19"/>
          <w:szCs w:val="19"/>
          <w:color w:val="auto"/>
        </w:rPr>
      </w:pPr>
    </w:p>
    <w:p>
      <w:pPr>
        <w:jc w:val="both"/>
        <w:ind w:left="660" w:firstLine="645"/>
        <w:spacing w:after="0" w:line="254" w:lineRule="auto"/>
        <w:tabs>
          <w:tab w:leader="none" w:pos="1794"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185" w:lineRule="exact"/>
        <w:rPr>
          <w:rFonts w:ascii="Arial" w:cs="Arial" w:eastAsia="Arial" w:hAnsi="Arial"/>
          <w:sz w:val="22"/>
          <w:szCs w:val="22"/>
          <w:color w:val="auto"/>
        </w:rPr>
      </w:pPr>
    </w:p>
    <w:p>
      <w:pPr>
        <w:ind w:left="1760" w:hanging="455"/>
        <w:spacing w:after="0"/>
        <w:tabs>
          <w:tab w:leader="none" w:pos="17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2.02 hereof.</w:t>
      </w:r>
    </w:p>
    <w:p>
      <w:pPr>
        <w:spacing w:after="0" w:line="215" w:lineRule="exact"/>
        <w:rPr>
          <w:rFonts w:ascii="Arial" w:cs="Arial" w:eastAsia="Arial" w:hAnsi="Arial"/>
          <w:sz w:val="19"/>
          <w:szCs w:val="19"/>
          <w:color w:val="auto"/>
        </w:rPr>
      </w:pPr>
    </w:p>
    <w:p>
      <w:pPr>
        <w:ind w:left="660" w:right="20" w:firstLine="645"/>
        <w:spacing w:after="0" w:line="276" w:lineRule="auto"/>
        <w:tabs>
          <w:tab w:leader="none" w:pos="17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certifications and certificates required to be submitted to the Registrar pursuant to this Section 2.06 to effect a registration of transfer or exchange may be submitted by facsimile.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2.07</w:t>
      </w:r>
      <w:r>
        <w:rPr>
          <w:rFonts w:ascii="Arial" w:cs="Arial" w:eastAsia="Arial" w:hAnsi="Arial"/>
          <w:sz w:val="22"/>
          <w:szCs w:val="22"/>
          <w:i w:val="1"/>
          <w:iCs w:val="1"/>
          <w:color w:val="auto"/>
        </w:rPr>
        <w:t>Replacement Notes.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Every replacement Note is an additional obligation of the Issuers and shall be entitled to all of the benefits of this Indenture equally and proportionately with all other Notes duly issued hereunder.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2.08</w:t>
      </w:r>
      <w:r>
        <w:rPr>
          <w:rFonts w:ascii="Arial" w:cs="Arial" w:eastAsia="Arial" w:hAnsi="Arial"/>
          <w:sz w:val="22"/>
          <w:szCs w:val="22"/>
          <w:i w:val="1"/>
          <w:iCs w:val="1"/>
          <w:color w:val="auto"/>
        </w:rPr>
        <w:t>Outstanding Notes.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Notes outstanding at any time are all the Notes authenticated by the Trustee except for those canceled by it, those delivered to it for cancellation, those reductions in the interest in a Global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22"/>
          <w:szCs w:val="22"/>
          <w:color w:val="auto"/>
        </w:rPr>
        <w:t>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6" w:lineRule="exact"/>
        <w:rPr>
          <w:sz w:val="20"/>
          <w:szCs w:val="20"/>
          <w:color w:val="auto"/>
        </w:rPr>
      </w:pPr>
    </w:p>
    <w:p>
      <w:pPr>
        <w:ind w:left="80"/>
        <w:spacing w:after="0"/>
        <w:tabs>
          <w:tab w:leader="none" w:pos="132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Treasury Notes.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2.10</w:t>
      </w:r>
      <w:r>
        <w:rPr>
          <w:rFonts w:ascii="Arial" w:cs="Arial" w:eastAsia="Arial" w:hAnsi="Arial"/>
          <w:sz w:val="22"/>
          <w:szCs w:val="22"/>
          <w:i w:val="1"/>
          <w:iCs w:val="1"/>
          <w:color w:val="auto"/>
        </w:rPr>
        <w:t>Temporary Notes.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2.11</w:t>
      </w:r>
      <w:r>
        <w:rPr>
          <w:rFonts w:ascii="Arial" w:cs="Arial" w:eastAsia="Arial" w:hAnsi="Arial"/>
          <w:sz w:val="22"/>
          <w:szCs w:val="22"/>
          <w:i w:val="1"/>
          <w:iCs w:val="1"/>
          <w:color w:val="auto"/>
        </w:rPr>
        <w:t>Cancellation.</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Certification of the destruction of all canceled Notes shall be delivered to the Issuers. The Issuers may not issue new Notes to replace Notes that they have paid or that have been delivered to the Trustee for cancellation.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Section 2.12</w:t>
      </w:r>
      <w:r>
        <w:rPr>
          <w:rFonts w:ascii="Arial" w:cs="Arial" w:eastAsia="Arial" w:hAnsi="Arial"/>
          <w:sz w:val="22"/>
          <w:szCs w:val="22"/>
          <w:i w:val="1"/>
          <w:iCs w:val="1"/>
          <w:color w:val="auto"/>
        </w:rPr>
        <w:t>Defaulted Interest.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46" w:name="page47"/>
    <w:bookmarkEnd w:id="46"/>
    <w:p>
      <w:pPr>
        <w:jc w:val="both"/>
        <w:ind w:firstLine="648"/>
        <w:spacing w:after="0" w:line="290" w:lineRule="auto"/>
        <w:rPr>
          <w:sz w:val="20"/>
          <w:szCs w:val="20"/>
          <w:color w:val="auto"/>
        </w:rPr>
      </w:pPr>
      <w:r>
        <w:rPr>
          <w:rFonts w:ascii="Arial" w:cs="Arial" w:eastAsia="Arial" w:hAnsi="Arial"/>
          <w:sz w:val="19"/>
          <w:szCs w:val="19"/>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Section 2.13</w:t>
      </w:r>
      <w:r>
        <w:rPr>
          <w:rFonts w:ascii="Arial" w:cs="Arial" w:eastAsia="Arial" w:hAnsi="Arial"/>
          <w:sz w:val="22"/>
          <w:szCs w:val="22"/>
          <w:i w:val="1"/>
          <w:iCs w:val="1"/>
          <w:color w:val="auto"/>
        </w:rPr>
        <w:t>Issuance of Additional Notes.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Issuers will be entitled, upon delivery of an Officers’ Certificate, Opinion of Counsel and Authentication Order, subject to compliance with Section 2.02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Without the consent of any Holder of Notes, the Issuers will be entitled to make any amendments to this Indenture, the Note Guarantees, the Pledge Agreement or the Intercreditor Agreement as they reasonably determine appropriate in good faith to facilitate the issuance of such Additional Notes.</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With respect to any Additional Notes, the Issuers will set forth in a resolution of the Board of Directors of Wynn Capital and an Officers’ Certificate, a copy of each which shall be delivered to the Trustee, the following information:</w:t>
      </w:r>
    </w:p>
    <w:p>
      <w:pPr>
        <w:spacing w:after="0" w:line="175" w:lineRule="exact"/>
        <w:rPr>
          <w:sz w:val="20"/>
          <w:szCs w:val="20"/>
          <w:color w:val="auto"/>
        </w:rPr>
      </w:pPr>
    </w:p>
    <w:p>
      <w:pPr>
        <w:ind w:left="1120" w:hanging="464"/>
        <w:spacing w:after="0"/>
        <w:tabs>
          <w:tab w:leader="none" w:pos="11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 Indenture;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jc w:val="both"/>
        <w:ind w:firstLine="656"/>
        <w:spacing w:after="0" w:line="260" w:lineRule="auto"/>
        <w:tabs>
          <w:tab w:leader="none" w:pos="1161" w:val="left"/>
        </w:tabs>
        <w:numPr>
          <w:ilvl w:val="0"/>
          <w:numId w:val="52"/>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REDEMPTION AND PREPAYMENT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3.01</w:t>
      </w:r>
      <w:r>
        <w:rPr>
          <w:rFonts w:ascii="Arial" w:cs="Arial" w:eastAsia="Arial" w:hAnsi="Arial"/>
          <w:sz w:val="22"/>
          <w:szCs w:val="22"/>
          <w:i w:val="1"/>
          <w:iCs w:val="1"/>
          <w:color w:val="auto"/>
        </w:rPr>
        <w:t>Notices to Trustee.</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If the Issuers elect to redeem Notes pursuant to the optional redemption provisions of Section 3.07 hereof, they must furnish to the Trustee, at least 30 days but not more than 60 days before a redemption date, an Officers’ Certificate setting forth:</w:t>
      </w:r>
    </w:p>
    <w:p>
      <w:pPr>
        <w:spacing w:after="0" w:line="105"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47" w:name="page48"/>
    <w:bookmarkEnd w:id="47"/>
    <w:p>
      <w:pPr>
        <w:ind w:left="1080" w:hanging="424"/>
        <w:spacing w:after="0"/>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3.02</w:t>
      </w:r>
      <w:r>
        <w:rPr>
          <w:rFonts w:ascii="Arial" w:cs="Arial" w:eastAsia="Arial" w:hAnsi="Arial"/>
          <w:sz w:val="22"/>
          <w:szCs w:val="22"/>
          <w:i w:val="1"/>
          <w:iCs w:val="1"/>
          <w:color w:val="auto"/>
        </w:rPr>
        <w:t>Selection of Notes to Be Redeemed or Purchased.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less than all of the Notes are to be redeemed or purchased in an offer to purchase at any time, the Trustee shall select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 for redemption or purchase as follows:</w:t>
      </w:r>
    </w:p>
    <w:p>
      <w:pPr>
        <w:spacing w:after="0" w:line="202" w:lineRule="exact"/>
        <w:rPr>
          <w:sz w:val="20"/>
          <w:szCs w:val="20"/>
          <w:color w:val="auto"/>
        </w:rPr>
      </w:pPr>
    </w:p>
    <w:p>
      <w:pPr>
        <w:ind w:firstLine="656"/>
        <w:spacing w:after="0" w:line="276" w:lineRule="auto"/>
        <w:tabs>
          <w:tab w:leader="none" w:pos="1203"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the Notes are listed on any national securities exchange, in compliance with the requirements of the principal national securities exchange on which the Notes are listed; or</w:t>
      </w:r>
    </w:p>
    <w:p>
      <w:pPr>
        <w:spacing w:after="0" w:line="160" w:lineRule="exact"/>
        <w:rPr>
          <w:rFonts w:ascii="Arial" w:cs="Arial" w:eastAsia="Arial" w:hAnsi="Arial"/>
          <w:sz w:val="22"/>
          <w:szCs w:val="22"/>
          <w:color w:val="auto"/>
        </w:rPr>
      </w:pPr>
    </w:p>
    <w:p>
      <w:pPr>
        <w:ind w:firstLine="656"/>
        <w:spacing w:after="0" w:line="276" w:lineRule="auto"/>
        <w:tabs>
          <w:tab w:leader="none" w:pos="1148"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the Notes are not listed on any national securities exchange, on a pro rata basis, by lot or by such method as the Trustee shall deem fair and appropriate.</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Section 3.03</w:t>
      </w:r>
      <w:r>
        <w:rPr>
          <w:rFonts w:ascii="Arial" w:cs="Arial" w:eastAsia="Arial" w:hAnsi="Arial"/>
          <w:sz w:val="22"/>
          <w:szCs w:val="22"/>
          <w:i w:val="1"/>
          <w:iCs w:val="1"/>
          <w:color w:val="auto"/>
        </w:rPr>
        <w:t>Notice of Redemption.</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At least 30 days but not more than 60 days before a redemption date, the Issuers shall deliver or cause to be delivered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Articles 8 or 12 of this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20"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48" w:name="page49"/>
    <w:bookmarkEnd w:id="48"/>
    <w:p>
      <w:pPr>
        <w:ind w:left="1080" w:hanging="424"/>
        <w:spacing w:after="0"/>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that Notes called for redemption must be surrendered to the Paying Agent to collect the redemption price;</w:t>
      </w:r>
    </w:p>
    <w:p>
      <w:pPr>
        <w:spacing w:after="0" w:line="233" w:lineRule="exact"/>
        <w:rPr>
          <w:rFonts w:ascii="Arial" w:cs="Arial" w:eastAsia="Arial" w:hAnsi="Arial"/>
          <w:sz w:val="22"/>
          <w:szCs w:val="22"/>
          <w:color w:val="auto"/>
        </w:rPr>
      </w:pPr>
    </w:p>
    <w:p>
      <w:pPr>
        <w:ind w:firstLine="656"/>
        <w:spacing w:after="0" w:line="276" w:lineRule="auto"/>
        <w:tabs>
          <w:tab w:leader="none" w:pos="1085"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that, unless the Issuers default in making such redemption payment, interest on Notes called for redemption ceases to accrue on and after the redemption date;</w:t>
      </w:r>
    </w:p>
    <w:p>
      <w:pPr>
        <w:spacing w:after="0" w:line="160" w:lineRule="exact"/>
        <w:rPr>
          <w:rFonts w:ascii="Arial" w:cs="Arial" w:eastAsia="Arial" w:hAnsi="Arial"/>
          <w:sz w:val="22"/>
          <w:szCs w:val="22"/>
          <w:color w:val="auto"/>
        </w:rPr>
      </w:pPr>
    </w:p>
    <w:p>
      <w:pPr>
        <w:ind w:firstLine="656"/>
        <w:spacing w:after="0" w:line="276" w:lineRule="auto"/>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160" w:lineRule="exact"/>
        <w:rPr>
          <w:rFonts w:ascii="Arial" w:cs="Arial" w:eastAsia="Arial" w:hAnsi="Arial"/>
          <w:sz w:val="22"/>
          <w:szCs w:val="22"/>
          <w:color w:val="auto"/>
        </w:rPr>
      </w:pPr>
    </w:p>
    <w:p>
      <w:pPr>
        <w:ind w:firstLine="656"/>
        <w:spacing w:after="0" w:line="276" w:lineRule="auto"/>
        <w:tabs>
          <w:tab w:leader="none" w:pos="1121"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At the Issuers’ request, the Trustee shall give the notice of redemption in the Issuers’ name and at their expense; provided, however, that the Issuers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3.04</w:t>
      </w:r>
      <w:r>
        <w:rPr>
          <w:rFonts w:ascii="Arial" w:cs="Arial" w:eastAsia="Arial" w:hAnsi="Arial"/>
          <w:sz w:val="22"/>
          <w:szCs w:val="22"/>
          <w:i w:val="1"/>
          <w:iCs w:val="1"/>
          <w:color w:val="auto"/>
        </w:rPr>
        <w:t>Effect of Notice of Redemption.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Once notice of redemption is mailed in accordance with Section 3.03 hereof, Notes called for redemption become irrevocably due and payable on the redemption date at the redemption price. A notice of redemption may not be conditional. If mailed in the manner provided in Section 3.03 hereof, the notice of redemption shall be conclusively presumed to have been given whether or not the Holder receives such notice.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3.05</w:t>
      </w:r>
      <w:r>
        <w:rPr>
          <w:rFonts w:ascii="Arial" w:cs="Arial" w:eastAsia="Arial" w:hAnsi="Arial"/>
          <w:sz w:val="22"/>
          <w:szCs w:val="22"/>
          <w:i w:val="1"/>
          <w:iCs w:val="1"/>
          <w:color w:val="auto"/>
        </w:rPr>
        <w:t>Deposit of Redemption or Purchase Price.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One Business Day prior to the redemption or purchase price date, the Issuers shall deposit with the Trustee or with the Paying Agent money sufficient to pay the redemption or purchase price of and accrued interest and premium,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if any, on, all Notes to be redeemed or purchased.</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22"/>
          <w:szCs w:val="22"/>
          <w:color w:val="auto"/>
        </w:rPr>
        <w:t>principal is paid, and to the extent lawful on any interest not paid on such unpaid principal, in each case at the rate provided in the Notes and in Section 4.01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3.06</w:t>
      </w:r>
      <w:r>
        <w:rPr>
          <w:rFonts w:ascii="Arial" w:cs="Arial" w:eastAsia="Arial" w:hAnsi="Arial"/>
          <w:sz w:val="22"/>
          <w:szCs w:val="22"/>
          <w:i w:val="1"/>
          <w:iCs w:val="1"/>
          <w:color w:val="auto"/>
        </w:rPr>
        <w:t>Notes Redeemed or Purchased in Part.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3.07</w:t>
      </w:r>
      <w:r>
        <w:rPr>
          <w:rFonts w:ascii="Arial" w:cs="Arial" w:eastAsia="Arial" w:hAnsi="Arial"/>
          <w:sz w:val="22"/>
          <w:szCs w:val="22"/>
          <w:i w:val="1"/>
          <w:iCs w:val="1"/>
          <w:color w:val="auto"/>
        </w:rPr>
        <w:t>Optional Redemption.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are redeemable at the Issuers’ election, in whole or in part at any time prior to their Stated Maturity.</w:t>
      </w:r>
    </w:p>
    <w:p>
      <w:pPr>
        <w:spacing w:after="0" w:line="220"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redemption price for the Notes that are redeemed before December 1, 2024 will be equal to the greater of:</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33" w:lineRule="exact"/>
        <w:rPr>
          <w:rFonts w:ascii="Arial" w:cs="Arial" w:eastAsia="Arial" w:hAnsi="Arial"/>
          <w:sz w:val="22"/>
          <w:szCs w:val="22"/>
          <w:color w:val="auto"/>
        </w:rPr>
      </w:pPr>
    </w:p>
    <w:p>
      <w:pPr>
        <w:jc w:val="both"/>
        <w:ind w:left="660" w:firstLine="645"/>
        <w:spacing w:after="0" w:line="270" w:lineRule="auto"/>
        <w:tabs>
          <w:tab w:leader="none" w:pos="1754" w:val="left"/>
        </w:tabs>
        <w:numPr>
          <w:ilvl w:val="1"/>
          <w:numId w:val="58"/>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plus, in either of the above cases, accrued and unpaid interest to the date of redemption on the Notes to be redeemed.</w:t>
      </w:r>
    </w:p>
    <w:p>
      <w:pPr>
        <w:spacing w:after="0" w:line="231" w:lineRule="exact"/>
        <w:rPr>
          <w:sz w:val="20"/>
          <w:szCs w:val="20"/>
          <w:color w:val="auto"/>
        </w:rPr>
      </w:pPr>
    </w:p>
    <w:p>
      <w:pPr>
        <w:ind w:right="20" w:firstLine="656"/>
        <w:spacing w:after="0" w:line="301" w:lineRule="auto"/>
        <w:tabs>
          <w:tab w:leader="none" w:pos="1121"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redemption price for Notes that are redeemed on or after December 1, 2024 will be equal to the sum of 100% of their principal amount, plus accrued and unpaid interest to the date of redemption on the Notes to be redeemed.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Section 3.08</w:t>
      </w:r>
      <w:r>
        <w:rPr>
          <w:rFonts w:ascii="Arial" w:cs="Arial" w:eastAsia="Arial" w:hAnsi="Arial"/>
          <w:sz w:val="22"/>
          <w:szCs w:val="22"/>
          <w:i w:val="1"/>
          <w:iCs w:val="1"/>
          <w:color w:val="auto"/>
        </w:rPr>
        <w:t>Mandatory Redemption.</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Other than as set forth in Section 3.09 below, the Issuers are not required to make mandatory redemption or sinking fund payments with respect to the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3.09</w:t>
      </w:r>
      <w:r>
        <w:rPr>
          <w:rFonts w:ascii="Arial" w:cs="Arial" w:eastAsia="Arial" w:hAnsi="Arial"/>
          <w:sz w:val="22"/>
          <w:szCs w:val="22"/>
          <w:i w:val="1"/>
          <w:iCs w:val="1"/>
          <w:color w:val="auto"/>
        </w:rPr>
        <w:t>Mandatory Disposition or Redemption Pursuant to Gaming Laws.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Issuers shall have the right, at their option, 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50" w:name="page51"/>
    <w:bookmarkEnd w:id="50"/>
    <w:p>
      <w:pPr>
        <w:ind w:firstLine="656"/>
        <w:spacing w:after="0" w:line="276" w:lineRule="auto"/>
        <w:tabs>
          <w:tab w:leader="none" w:pos="1082"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875"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77" w:lineRule="exact"/>
        <w:rPr>
          <w:rFonts w:ascii="Arial" w:cs="Arial" w:eastAsia="Arial" w:hAnsi="Arial"/>
          <w:sz w:val="22"/>
          <w:szCs w:val="22"/>
          <w:color w:val="auto"/>
        </w:rPr>
      </w:pPr>
    </w:p>
    <w:p>
      <w:pPr>
        <w:ind w:left="660" w:right="20" w:firstLine="645"/>
        <w:spacing w:after="0" w:line="276" w:lineRule="auto"/>
        <w:tabs>
          <w:tab w:leader="none" w:pos="1767"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2"/>
          <w:numId w:val="60"/>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33" w:lineRule="exact"/>
        <w:rPr>
          <w:rFonts w:ascii="Arial" w:cs="Arial" w:eastAsia="Arial" w:hAnsi="Arial"/>
          <w:sz w:val="22"/>
          <w:szCs w:val="22"/>
          <w:color w:val="auto"/>
        </w:rPr>
      </w:pPr>
    </w:p>
    <w:p>
      <w:pPr>
        <w:ind w:left="2420" w:hanging="467"/>
        <w:spacing w:after="0"/>
        <w:tabs>
          <w:tab w:leader="none" w:pos="2420" w:val="left"/>
        </w:tabs>
        <w:numPr>
          <w:ilvl w:val="2"/>
          <w:numId w:val="60"/>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each case, together with accrued and unpaid interest, if any, on the Notes to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05"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33" w:lineRule="exact"/>
        <w:rPr>
          <w:rFonts w:ascii="Arial" w:cs="Arial" w:eastAsia="Arial" w:hAnsi="Arial"/>
          <w:sz w:val="22"/>
          <w:szCs w:val="22"/>
          <w:color w:val="auto"/>
        </w:rPr>
      </w:pPr>
    </w:p>
    <w:p>
      <w:pPr>
        <w:ind w:firstLine="656"/>
        <w:spacing w:after="0" w:line="276" w:lineRule="auto"/>
        <w:tabs>
          <w:tab w:leader="none" w:pos="1134"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Issuers for services rendered or otherwise, except the redemption price of the Notes.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4.01</w:t>
      </w:r>
      <w:r>
        <w:rPr>
          <w:rFonts w:ascii="Arial" w:cs="Arial" w:eastAsia="Arial" w:hAnsi="Arial"/>
          <w:sz w:val="22"/>
          <w:szCs w:val="22"/>
          <w:i w:val="1"/>
          <w:iCs w:val="1"/>
          <w:color w:val="auto"/>
        </w:rPr>
        <w:t>Payment of Notes.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51" w:name="page52"/>
    <w:bookmarkEnd w:id="51"/>
    <w:p>
      <w:pPr>
        <w:jc w:val="both"/>
        <w:ind w:firstLine="648"/>
        <w:spacing w:after="0" w:line="302" w:lineRule="auto"/>
        <w:rPr>
          <w:sz w:val="20"/>
          <w:szCs w:val="20"/>
          <w:color w:val="auto"/>
        </w:rPr>
      </w:pPr>
      <w:r>
        <w:rPr>
          <w:rFonts w:ascii="Arial" w:cs="Arial" w:eastAsia="Arial" w:hAnsi="Arial"/>
          <w:sz w:val="19"/>
          <w:szCs w:val="19"/>
          <w:color w:val="auto"/>
        </w:rPr>
        <w:t>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(without regard to any applicable grace period) at the same rate to the extent lawful.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4.02</w:t>
      </w:r>
      <w:r>
        <w:rPr>
          <w:rFonts w:ascii="Arial" w:cs="Arial" w:eastAsia="Arial" w:hAnsi="Arial"/>
          <w:sz w:val="22"/>
          <w:szCs w:val="22"/>
          <w:i w:val="1"/>
          <w:iCs w:val="1"/>
          <w:color w:val="auto"/>
        </w:rPr>
        <w:t>Maintenance of Office or Agency.</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5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Issuers hereby designate the Corporate Trust Office of the Trustee as one such office or agency of the Issuers in accordance with Section 2.03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4.03</w:t>
      </w:r>
      <w:r>
        <w:rPr>
          <w:rFonts w:ascii="Arial" w:cs="Arial" w:eastAsia="Arial" w:hAnsi="Arial"/>
          <w:sz w:val="22"/>
          <w:szCs w:val="22"/>
          <w:i w:val="1"/>
          <w:iCs w:val="1"/>
          <w:color w:val="auto"/>
        </w:rPr>
        <w:t>Reports.</w:t>
      </w:r>
    </w:p>
    <w:p>
      <w:pPr>
        <w:spacing w:after="0" w:line="220" w:lineRule="exact"/>
        <w:rPr>
          <w:sz w:val="20"/>
          <w:szCs w:val="20"/>
          <w:color w:val="auto"/>
        </w:rPr>
      </w:pPr>
    </w:p>
    <w:p>
      <w:pPr>
        <w:ind w:left="1120" w:hanging="464"/>
        <w:spacing w:after="0"/>
        <w:tabs>
          <w:tab w:leader="none" w:pos="11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So long as any notes are outstanding, Wynn Las Vegas shall furnish to the Trustee:</w:t>
      </w:r>
    </w:p>
    <w:p>
      <w:pPr>
        <w:spacing w:after="0" w:line="220" w:lineRule="exact"/>
        <w:rPr>
          <w:sz w:val="20"/>
          <w:szCs w:val="20"/>
          <w:color w:val="auto"/>
        </w:rPr>
      </w:pPr>
    </w:p>
    <w:p>
      <w:pPr>
        <w:jc w:val="both"/>
        <w:ind w:firstLine="656"/>
        <w:spacing w:after="0" w:line="266" w:lineRule="auto"/>
        <w:tabs>
          <w:tab w:leader="none" w:pos="1068" w:val="left"/>
        </w:tabs>
        <w:numPr>
          <w:ilvl w:val="0"/>
          <w:numId w:val="63"/>
        </w:numPr>
        <w:rPr>
          <w:rFonts w:ascii="Arial" w:cs="Arial" w:eastAsia="Arial" w:hAnsi="Arial"/>
          <w:sz w:val="21"/>
          <w:szCs w:val="21"/>
          <w:color w:val="auto"/>
        </w:rPr>
      </w:pPr>
      <w:r>
        <w:rPr>
          <w:rFonts w:ascii="Arial" w:cs="Arial" w:eastAsia="Arial" w:hAnsi="Arial"/>
          <w:sz w:val="21"/>
          <w:szCs w:val="21"/>
          <w:color w:val="auto"/>
        </w:rPr>
        <w:t>within 90 days after the end of each fiscal year beginning with the fiscal year ended December 31, 2014, annual reports of Wynn Las Vegas containing substantially all of the information that would have been required to be contained in an Annual Report on Form 10-K under the Exchange Act if Wynn Las Vegas had been a reporting company under the Exchange Act (but only to the extent similar information is included in the Issuers’ Offering Memorandum, dated as of February 11, 2015, relating to the offering of the Initial Notes), including (i) “Management’s Discussion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1" w:right="239" w:bottom="1440" w:gutter="0" w:footer="0" w:header="0"/>
        </w:sectPr>
      </w:pPr>
    </w:p>
    <w:bookmarkStart w:id="52" w:name="page53"/>
    <w:bookmarkEnd w:id="52"/>
    <w:p>
      <w:pPr>
        <w:spacing w:after="0" w:line="263" w:lineRule="auto"/>
        <w:rPr>
          <w:sz w:val="20"/>
          <w:szCs w:val="20"/>
          <w:color w:val="auto"/>
        </w:rPr>
      </w:pPr>
      <w:r>
        <w:rPr>
          <w:rFonts w:ascii="Arial" w:cs="Arial" w:eastAsia="Arial" w:hAnsi="Arial"/>
          <w:sz w:val="22"/>
          <w:szCs w:val="22"/>
          <w:color w:val="auto"/>
        </w:rPr>
        <w:t>Analysis of Financial Condition and Results of Operations” and (ii) audited financial statements prepared in accordance with GAAP;</w:t>
      </w:r>
    </w:p>
    <w:p>
      <w:pPr>
        <w:spacing w:after="0" w:line="175" w:lineRule="exact"/>
        <w:rPr>
          <w:sz w:val="20"/>
          <w:szCs w:val="20"/>
          <w:color w:val="auto"/>
        </w:rPr>
      </w:pPr>
    </w:p>
    <w:p>
      <w:pPr>
        <w:jc w:val="both"/>
        <w:ind w:firstLine="656"/>
        <w:spacing w:after="0" w:line="294" w:lineRule="auto"/>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within 45 days after the end of each of the first three fiscal quarters of each fiscal year beginning with the fiscal quarter ended March 31, 2015, quarterly reports of Wynn Las Vegas containing substantially all of the information that would have been required to be contained in a Quarterly Report on Form 10-Q under the Exchange Act if Wynn Las Vegas had been a reporting company under the Exchange Act (but only to the extent similar information is provided in the Issuers’ Offering Memorandum, dated as of February 11, 2015, relating to the offering of the Initial Notes), including (i) “Management’ Discussion and Analysis of Financial Condition and Results of Operations” and (ii) unaudited quarterly financial statements prepared in accordance with GAAP and reviewed pursuant to Statement on Auditing Standards No. 100 (or any successor provision); and</w:t>
      </w:r>
    </w:p>
    <w:p>
      <w:pPr>
        <w:spacing w:after="0" w:line="152" w:lineRule="exact"/>
        <w:rPr>
          <w:rFonts w:ascii="Arial" w:cs="Arial" w:eastAsia="Arial" w:hAnsi="Arial"/>
          <w:sz w:val="19"/>
          <w:szCs w:val="19"/>
          <w:color w:val="auto"/>
        </w:rPr>
      </w:pPr>
    </w:p>
    <w:p>
      <w:pPr>
        <w:jc w:val="both"/>
        <w:ind w:firstLine="656"/>
        <w:spacing w:after="0" w:line="290" w:lineRule="auto"/>
        <w:tabs>
          <w:tab w:leader="none" w:pos="11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within 10 business days after the occurrence of each event that would have been required to be reported in a Current Report on Form 8-K under the Exchange Act if Wynn Las Vegas had been a reporting company under the Exchange Act, current reports containing substantially all of the information that would have been required to be contained in a Current Report on Form 8-K under the Exchange Act if Wynn Las Vegas had been a reporting company under the Exchange Act; provided, however, that no such current report will be required to be furnished if Wynn Las Vegas determines in its good faith judgment that such event is not material to noteholders or the business, assets, operations, financial positions or prospects of Wynn Las Vegas and the Guarantors, taken as a whole; provided further, however, that such reports (i) will not be required to comply with Section 302 or Section 404 of the Sarbanes-Oxley Act of 2002, or related Items 307 and 308 of Regulation S-K promulgated by the SEC, or Item 10(e) of Regulation S-K (with respect to any non-GAAP financial measures contained therein) and (ii) will not be required to contain the separate financial information for Guarantors contemplated by Rule 3-10 of Regulation S-X promulgated by the SEC.</w:t>
      </w:r>
    </w:p>
    <w:p>
      <w:pPr>
        <w:spacing w:after="0" w:line="156" w:lineRule="exact"/>
        <w:rPr>
          <w:sz w:val="20"/>
          <w:szCs w:val="20"/>
          <w:color w:val="auto"/>
        </w:rPr>
      </w:pPr>
    </w:p>
    <w:p>
      <w:pPr>
        <w:ind w:left="1120" w:hanging="464"/>
        <w:spacing w:after="0"/>
        <w:tabs>
          <w:tab w:leader="none" w:pos="11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So long as any notes are outstanding, Wynn Las Vegas shall also:</w:t>
      </w:r>
    </w:p>
    <w:p>
      <w:pPr>
        <w:spacing w:after="0" w:line="220" w:lineRule="exact"/>
        <w:rPr>
          <w:sz w:val="20"/>
          <w:szCs w:val="20"/>
          <w:color w:val="auto"/>
        </w:rPr>
      </w:pPr>
    </w:p>
    <w:p>
      <w:pPr>
        <w:jc w:val="both"/>
        <w:ind w:firstLine="656"/>
        <w:spacing w:after="0" w:line="307" w:lineRule="auto"/>
        <w:tabs>
          <w:tab w:leader="none" w:pos="1122" w:val="left"/>
        </w:tabs>
        <w:numPr>
          <w:ilvl w:val="0"/>
          <w:numId w:val="66"/>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first public disclosure of the annual and quarterly reports required by clauses (a) and (b) of this Section 4.03 announcing the date on which such reports will become publicly available and directing noteholders, prospective investors, broker-dealers and securities analysts to contact the investor relations office of Wynn Las Vegas to obtain copies of such reports;</w:t>
      </w:r>
    </w:p>
    <w:p>
      <w:pPr>
        <w:spacing w:after="0" w:line="138" w:lineRule="exact"/>
        <w:rPr>
          <w:rFonts w:ascii="Arial" w:cs="Arial" w:eastAsia="Arial" w:hAnsi="Arial"/>
          <w:sz w:val="19"/>
          <w:szCs w:val="19"/>
          <w:color w:val="auto"/>
        </w:rPr>
      </w:pPr>
    </w:p>
    <w:p>
      <w:pPr>
        <w:ind w:firstLine="656"/>
        <w:spacing w:after="0" w:line="358" w:lineRule="auto"/>
        <w:tabs>
          <w:tab w:leader="none" w:pos="1107" w:val="left"/>
        </w:tabs>
        <w:numPr>
          <w:ilvl w:val="0"/>
          <w:numId w:val="66"/>
        </w:numPr>
        <w:rPr>
          <w:rFonts w:ascii="Arial" w:cs="Arial" w:eastAsia="Arial" w:hAnsi="Arial"/>
          <w:sz w:val="19"/>
          <w:szCs w:val="19"/>
          <w:color w:val="auto"/>
        </w:rPr>
      </w:pPr>
      <w:r>
        <w:rPr>
          <w:rFonts w:ascii="Arial" w:cs="Arial" w:eastAsia="Arial" w:hAnsi="Arial"/>
          <w:sz w:val="19"/>
          <w:szCs w:val="19"/>
          <w:color w:val="auto"/>
        </w:rPr>
        <w:t>within 10 business days after furnishing to the trustee the annual and quarterly reports required by clauses (a) and (b) of this Section 4.03, hold a conference call to discuss such reports and the results of operations for the relevant reporting period;</w:t>
      </w:r>
    </w:p>
    <w:p>
      <w:pPr>
        <w:spacing w:after="0" w:line="90" w:lineRule="exact"/>
        <w:rPr>
          <w:rFonts w:ascii="Arial" w:cs="Arial" w:eastAsia="Arial" w:hAnsi="Arial"/>
          <w:sz w:val="19"/>
          <w:szCs w:val="19"/>
          <w:color w:val="auto"/>
        </w:rPr>
      </w:pPr>
    </w:p>
    <w:p>
      <w:pPr>
        <w:jc w:val="both"/>
        <w:ind w:firstLine="656"/>
        <w:spacing w:after="0" w:line="320" w:lineRule="auto"/>
        <w:tabs>
          <w:tab w:leader="none" w:pos="1082" w:val="left"/>
        </w:tabs>
        <w:numPr>
          <w:ilvl w:val="0"/>
          <w:numId w:val="66"/>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date of the conference call required to be held in accordance with this paragraph, announcing the time and date of such conference call and either including all information necessary to access the call or directing noteholders, prospective investors, broker-dealers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securities analysts to contact the appropriate person at Wynn Las Vegas to obtain such information; and</w:t>
      </w:r>
    </w:p>
    <w:p>
      <w:pPr>
        <w:spacing w:after="0" w:line="220" w:lineRule="exact"/>
        <w:rPr>
          <w:sz w:val="20"/>
          <w:szCs w:val="20"/>
          <w:color w:val="auto"/>
        </w:rPr>
      </w:pPr>
    </w:p>
    <w:p>
      <w:pPr>
        <w:jc w:val="both"/>
        <w:ind w:firstLine="656"/>
        <w:spacing w:after="0" w:line="260" w:lineRule="auto"/>
        <w:tabs>
          <w:tab w:leader="none" w:pos="1094" w:val="left"/>
        </w:tabs>
        <w:numPr>
          <w:ilvl w:val="0"/>
          <w:numId w:val="67"/>
        </w:numPr>
        <w:rPr>
          <w:rFonts w:ascii="Arial" w:cs="Arial" w:eastAsia="Arial" w:hAnsi="Arial"/>
          <w:sz w:val="22"/>
          <w:szCs w:val="22"/>
          <w:color w:val="auto"/>
        </w:rPr>
      </w:pPr>
      <w:r>
        <w:rPr>
          <w:rFonts w:ascii="Arial" w:cs="Arial" w:eastAsia="Arial" w:hAnsi="Arial"/>
          <w:sz w:val="22"/>
          <w:szCs w:val="22"/>
          <w:color w:val="auto"/>
        </w:rPr>
        <w:t>maintain a website to which noteholders, prospective investors, broker-dealers and securities analysts are given access and to which all of the reports and press releases required by this Section 4.03 are posted within the time periods required by this Section 4.03.</w:t>
      </w:r>
    </w:p>
    <w:p>
      <w:pPr>
        <w:spacing w:after="0" w:line="177" w:lineRule="exact"/>
        <w:rPr>
          <w:sz w:val="20"/>
          <w:szCs w:val="20"/>
          <w:color w:val="auto"/>
        </w:rPr>
      </w:pPr>
    </w:p>
    <w:p>
      <w:pPr>
        <w:jc w:val="both"/>
        <w:ind w:firstLine="656"/>
        <w:spacing w:after="0" w:line="253" w:lineRule="auto"/>
        <w:tabs>
          <w:tab w:leader="none" w:pos="1163" w:val="left"/>
        </w:tabs>
        <w:numPr>
          <w:ilvl w:val="0"/>
          <w:numId w:val="68"/>
        </w:numPr>
        <w:rPr>
          <w:rFonts w:ascii="Arial" w:cs="Arial" w:eastAsia="Arial" w:hAnsi="Arial"/>
          <w:sz w:val="22"/>
          <w:szCs w:val="22"/>
          <w:color w:val="auto"/>
        </w:rPr>
      </w:pPr>
      <w:r>
        <w:rPr>
          <w:rFonts w:ascii="Arial" w:cs="Arial" w:eastAsia="Arial" w:hAnsi="Arial"/>
          <w:sz w:val="22"/>
          <w:szCs w:val="22"/>
          <w:color w:val="auto"/>
        </w:rPr>
        <w:t>Wynn Las Vegas shall furnish to noteholders,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47"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4.03, Wynn Las Vegas may fulfill the requirement to furnish any such information described in Section 4.03(1)(a), (b) and (c) by filing the information with the SEC within the time periods specified in the SEC’s rules and regulations that are then applicable to Wynn Las Vegas.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4.04</w:t>
      </w:r>
      <w:r>
        <w:rPr>
          <w:rFonts w:ascii="Arial" w:cs="Arial" w:eastAsia="Arial" w:hAnsi="Arial"/>
          <w:sz w:val="22"/>
          <w:szCs w:val="22"/>
          <w:i w:val="1"/>
          <w:iCs w:val="1"/>
          <w:color w:val="auto"/>
        </w:rPr>
        <w:t>Compliance Certificate.</w:t>
      </w:r>
    </w:p>
    <w:p>
      <w:pPr>
        <w:spacing w:after="0" w:line="220" w:lineRule="exact"/>
        <w:rPr>
          <w:sz w:val="20"/>
          <w:szCs w:val="20"/>
          <w:color w:val="auto"/>
        </w:rPr>
      </w:pPr>
    </w:p>
    <w:p>
      <w:pPr>
        <w:jc w:val="both"/>
        <w:ind w:firstLine="656"/>
        <w:spacing w:after="0" w:line="259" w:lineRule="auto"/>
        <w:tabs>
          <w:tab w:leader="none" w:pos="1082"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Issuers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further stating, as to each such Officer signing such certificate, that to the best of his or her knowledge the Issuers have kept, observed, performed and fulfilled each and every covenant contained in this Indenture and are not in default in the performance or observance of any of the terms, provisions and conditions of this Indenture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85" w:lineRule="exact"/>
        <w:rPr>
          <w:rFonts w:ascii="Arial" w:cs="Arial" w:eastAsia="Arial" w:hAnsi="Arial"/>
          <w:sz w:val="21"/>
          <w:szCs w:val="21"/>
          <w:color w:val="auto"/>
        </w:rPr>
      </w:pPr>
    </w:p>
    <w:p>
      <w:pPr>
        <w:jc w:val="both"/>
        <w:ind w:firstLine="656"/>
        <w:spacing w:after="0" w:line="262" w:lineRule="auto"/>
        <w:tabs>
          <w:tab w:leader="none" w:pos="10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American Institute of Certified Public Accountants, the year-end financial statements delivered pursuant to Section 4.03(1)(a)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80" w:lineRule="exact"/>
        <w:rPr>
          <w:rFonts w:ascii="Arial" w:cs="Arial" w:eastAsia="Arial" w:hAnsi="Arial"/>
          <w:sz w:val="21"/>
          <w:szCs w:val="21"/>
          <w:color w:val="auto"/>
        </w:rPr>
      </w:pPr>
    </w:p>
    <w:p>
      <w:pPr>
        <w:ind w:firstLine="656"/>
        <w:spacing w:after="0" w:line="276" w:lineRule="auto"/>
        <w:tabs>
          <w:tab w:leader="none" w:pos="119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Issuers shall deliver to the Trustee, forthwith upon any Officer becoming aware of any Default or Event of Default, an Officers’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22"/>
          <w:szCs w:val="22"/>
          <w:color w:val="auto"/>
        </w:rPr>
        <w:t>Certificate specifying such Default or Event of Default and what action the Issuers are taking or proposes to take with respect thereto.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4.05</w:t>
      </w:r>
      <w:r>
        <w:rPr>
          <w:rFonts w:ascii="Arial" w:cs="Arial" w:eastAsia="Arial" w:hAnsi="Arial"/>
          <w:sz w:val="22"/>
          <w:szCs w:val="22"/>
          <w:i w:val="1"/>
          <w:iCs w:val="1"/>
          <w:color w:val="auto"/>
        </w:rPr>
        <w:t>Taxes.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Section 4.06</w:t>
      </w:r>
      <w:r>
        <w:rPr>
          <w:rFonts w:ascii="Arial" w:cs="Arial" w:eastAsia="Arial" w:hAnsi="Arial"/>
          <w:sz w:val="22"/>
          <w:szCs w:val="22"/>
          <w:i w:val="1"/>
          <w:iCs w:val="1"/>
          <w:color w:val="auto"/>
        </w:rPr>
        <w:t>Stay, Extension and Usury Laws.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Section 4.07</w:t>
      </w:r>
      <w:r>
        <w:rPr>
          <w:rFonts w:ascii="Arial" w:cs="Arial" w:eastAsia="Arial" w:hAnsi="Arial"/>
          <w:sz w:val="22"/>
          <w:szCs w:val="22"/>
          <w:i w:val="1"/>
          <w:iCs w:val="1"/>
          <w:color w:val="auto"/>
        </w:rPr>
        <w:t>Limitation on Liens Securing Indebtedness</w:t>
      </w:r>
    </w:p>
    <w:p>
      <w:pPr>
        <w:spacing w:after="0" w:line="220" w:lineRule="exact"/>
        <w:rPr>
          <w:sz w:val="20"/>
          <w:szCs w:val="20"/>
          <w:color w:val="auto"/>
        </w:rPr>
      </w:pPr>
    </w:p>
    <w:p>
      <w:pPr>
        <w:jc w:val="both"/>
        <w:ind w:firstLine="656"/>
        <w:spacing w:after="0" w:line="247" w:lineRule="auto"/>
        <w:tabs>
          <w:tab w:leader="none" w:pos="1183" w:val="left"/>
        </w:tabs>
        <w:numPr>
          <w:ilvl w:val="0"/>
          <w:numId w:val="70"/>
        </w:numPr>
        <w:rPr>
          <w:rFonts w:ascii="Arial" w:cs="Arial" w:eastAsia="Arial" w:hAnsi="Arial"/>
          <w:sz w:val="22"/>
          <w:szCs w:val="22"/>
          <w:color w:val="auto"/>
        </w:rPr>
      </w:pPr>
      <w:r>
        <w:rPr>
          <w:rFonts w:ascii="Arial" w:cs="Arial" w:eastAsia="Arial" w:hAnsi="Arial"/>
          <w:sz w:val="22"/>
          <w:szCs w:val="22"/>
          <w:color w:val="auto"/>
        </w:rPr>
        <w:t>Other than as provided below under Section 4.09, neither Issuer nor any Guarantor may issue, assume or guarantee any Indebtedness secured by a Lien upon any Principal Property or on any evidences of Indebtedness or shares of Capital Stock of, or other ownership interests in, any Subsidiaries (regardless of whether the Principal Property, Indebtedness, Capital Stock or ownership interests were acquired before or after the date of the Indenture) without effectively providing that the Notes shall be secured equally and ratably with (or prior to) such Indebtedness so long as such Indebtedness shall be so secured, except that this restriction will not apply to:</w:t>
      </w:r>
    </w:p>
    <w:p>
      <w:pPr>
        <w:spacing w:after="0" w:line="194"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Liens existing on the date of the Indenture;</w:t>
      </w:r>
    </w:p>
    <w:p>
      <w:pPr>
        <w:spacing w:after="0" w:line="233" w:lineRule="exact"/>
        <w:rPr>
          <w:rFonts w:ascii="Arial" w:cs="Arial" w:eastAsia="Arial" w:hAnsi="Arial"/>
          <w:sz w:val="22"/>
          <w:szCs w:val="22"/>
          <w:color w:val="auto"/>
        </w:rPr>
      </w:pPr>
    </w:p>
    <w:p>
      <w:pPr>
        <w:jc w:val="both"/>
        <w:ind w:firstLine="656"/>
        <w:spacing w:after="0" w:line="307" w:lineRule="auto"/>
        <w:tabs>
          <w:tab w:leader="none" w:pos="1107" w:val="left"/>
        </w:tabs>
        <w:numPr>
          <w:ilvl w:val="0"/>
          <w:numId w:val="71"/>
        </w:numPr>
        <w:rPr>
          <w:rFonts w:ascii="Arial" w:cs="Arial" w:eastAsia="Arial" w:hAnsi="Arial"/>
          <w:sz w:val="19"/>
          <w:szCs w:val="19"/>
          <w:color w:val="auto"/>
        </w:rPr>
      </w:pPr>
      <w:r>
        <w:rPr>
          <w:rFonts w:ascii="Arial" w:cs="Arial" w:eastAsia="Arial" w:hAnsi="Arial"/>
          <w:sz w:val="19"/>
          <w:szCs w:val="19"/>
          <w:color w:val="auto"/>
        </w:rPr>
        <w:t>Liens affecting property of a corporation or other entity existing at the time it becomes a Guarantor or at the time it is merged into or consolidated with an Issuer or a Guarantor (provided that such Liens are not incurred in connection with, or in contemplation of, such entity becoming a Guarantor or such merger or consolidation and do not extend to or cover property of an Issuer or any Guarantor other than property of the entity so acquired or which becomes a Guarantor);</w:t>
      </w:r>
    </w:p>
    <w:p>
      <w:pPr>
        <w:spacing w:after="0" w:line="138" w:lineRule="exact"/>
        <w:rPr>
          <w:rFonts w:ascii="Arial" w:cs="Arial" w:eastAsia="Arial" w:hAnsi="Arial"/>
          <w:sz w:val="19"/>
          <w:szCs w:val="19"/>
          <w:color w:val="auto"/>
        </w:rPr>
      </w:pPr>
    </w:p>
    <w:p>
      <w:pPr>
        <w:jc w:val="both"/>
        <w:ind w:firstLine="656"/>
        <w:spacing w:after="0" w:line="270" w:lineRule="auto"/>
        <w:tabs>
          <w:tab w:leader="none" w:pos="1095" w:val="left"/>
        </w:tabs>
        <w:numPr>
          <w:ilvl w:val="0"/>
          <w:numId w:val="71"/>
        </w:numPr>
        <w:rPr>
          <w:rFonts w:ascii="Arial" w:cs="Arial" w:eastAsia="Arial" w:hAnsi="Arial"/>
          <w:sz w:val="21"/>
          <w:szCs w:val="21"/>
          <w:color w:val="auto"/>
        </w:rPr>
      </w:pPr>
      <w:r>
        <w:rPr>
          <w:rFonts w:ascii="Arial" w:cs="Arial" w:eastAsia="Arial" w:hAnsi="Arial"/>
          <w:sz w:val="21"/>
          <w:szCs w:val="21"/>
          <w:color w:val="auto"/>
        </w:rPr>
        <w:t>Liens (including purchase money Liens) existing at the time of acquisition thereof on property acquired after the date hereof or to secure Indebtedness Incurred prior to, at the time of, or within 24 months after the acquisition for the purpose of financing all or part of the purchase price of property acquired after the date hereof (provided that such Liens do not extend to or cover any property of an Issuer or any Guarantor other than the property so acquired);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55" w:name="page56"/>
    <w:bookmarkEnd w:id="55"/>
    <w:p>
      <w:pPr>
        <w:jc w:val="both"/>
        <w:ind w:left="-20" w:firstLine="656"/>
        <w:spacing w:after="0" w:line="248" w:lineRule="auto"/>
        <w:tabs>
          <w:tab w:leader="none" w:pos="1087"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Liens on any property acquired, developed, constructed or otherwise improved by Wynn Las Vegas or any Subsidiary (including liens on the Equity Interests of any Subsidiary of Wynn Las Vegas and substantially all assets of such Subsidiary, in each case to the extent such property constitutes substantially all of the business of such Subsidiary) to 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spacing w:after="0" w:line="195" w:lineRule="exact"/>
        <w:rPr>
          <w:rFonts w:ascii="Arial" w:cs="Arial" w:eastAsia="Arial" w:hAnsi="Arial"/>
          <w:sz w:val="22"/>
          <w:szCs w:val="22"/>
          <w:color w:val="auto"/>
        </w:rPr>
      </w:pPr>
    </w:p>
    <w:p>
      <w:pPr>
        <w:ind w:left="-20" w:firstLine="656"/>
        <w:spacing w:after="0" w:line="276" w:lineRule="auto"/>
        <w:tabs>
          <w:tab w:leader="none" w:pos="1089"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Liens which secure Indebtedness of a Subsidiary of Wynn Las Vegas to Wynn Las Vegas or to a Guarantor or which secure Indebtedness of Wynn Las Vegas to a Guarantor;</w:t>
      </w:r>
    </w:p>
    <w:p>
      <w:pPr>
        <w:spacing w:after="0" w:line="160" w:lineRule="exact"/>
        <w:rPr>
          <w:rFonts w:ascii="Arial" w:cs="Arial" w:eastAsia="Arial" w:hAnsi="Arial"/>
          <w:sz w:val="22"/>
          <w:szCs w:val="22"/>
          <w:color w:val="auto"/>
        </w:rPr>
      </w:pPr>
    </w:p>
    <w:p>
      <w:pPr>
        <w:jc w:val="both"/>
        <w:ind w:left="-20" w:firstLine="656"/>
        <w:spacing w:after="0" w:line="260" w:lineRule="auto"/>
        <w:tabs>
          <w:tab w:leader="none" w:pos="1024"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Liens on the stock, partnership or other equity interest of Wynn Las Vegas or any Guarantor in any Joint Venture or any Subsidiary that owns an equity interest in such Joint Venture to secure Indebtedness, provided the amount of such Indebtedness is contributed and/or advanced solely to such Joint Venture;</w:t>
      </w:r>
    </w:p>
    <w:p>
      <w:pPr>
        <w:spacing w:after="0" w:line="177" w:lineRule="exact"/>
        <w:rPr>
          <w:rFonts w:ascii="Arial" w:cs="Arial" w:eastAsia="Arial" w:hAnsi="Arial"/>
          <w:sz w:val="22"/>
          <w:szCs w:val="22"/>
          <w:color w:val="auto"/>
        </w:rPr>
      </w:pPr>
    </w:p>
    <w:p>
      <w:pPr>
        <w:ind w:left="1060" w:hanging="424"/>
        <w:spacing w:after="0"/>
        <w:tabs>
          <w:tab w:leader="none" w:pos="10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Liens to government entities, including pollution control or industrial revenue bond financing;</w:t>
      </w:r>
    </w:p>
    <w:p>
      <w:pPr>
        <w:spacing w:after="0" w:line="233" w:lineRule="exact"/>
        <w:rPr>
          <w:rFonts w:ascii="Arial" w:cs="Arial" w:eastAsia="Arial" w:hAnsi="Arial"/>
          <w:sz w:val="22"/>
          <w:szCs w:val="22"/>
          <w:color w:val="auto"/>
        </w:rPr>
      </w:pPr>
    </w:p>
    <w:p>
      <w:pPr>
        <w:ind w:left="-20" w:firstLine="656"/>
        <w:spacing w:after="0" w:line="276" w:lineRule="auto"/>
        <w:tabs>
          <w:tab w:leader="none" w:pos="11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Liens required by any contract or statute in order to permit Wynn Las Vegas or a Subsidiary of Wynn Las Vegas to perform any contract or subcontract made by it with or at the request of a governmental entity;</w:t>
      </w:r>
    </w:p>
    <w:p>
      <w:pPr>
        <w:spacing w:after="0" w:line="160" w:lineRule="exact"/>
        <w:rPr>
          <w:rFonts w:ascii="Arial" w:cs="Arial" w:eastAsia="Arial" w:hAnsi="Arial"/>
          <w:sz w:val="22"/>
          <w:szCs w:val="22"/>
          <w:color w:val="auto"/>
        </w:rPr>
      </w:pPr>
    </w:p>
    <w:p>
      <w:pPr>
        <w:ind w:left="1020" w:hanging="384"/>
        <w:spacing w:after="0"/>
        <w:tabs>
          <w:tab w:leader="none" w:pos="10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mechanic’s, materialman’s, carrier’s or other like Liens, arising in the ordinary course of business;</w:t>
      </w:r>
    </w:p>
    <w:p>
      <w:pPr>
        <w:spacing w:after="0" w:line="233" w:lineRule="exact"/>
        <w:rPr>
          <w:rFonts w:ascii="Arial" w:cs="Arial" w:eastAsia="Arial" w:hAnsi="Arial"/>
          <w:sz w:val="22"/>
          <w:szCs w:val="22"/>
          <w:color w:val="auto"/>
        </w:rPr>
      </w:pPr>
    </w:p>
    <w:p>
      <w:pPr>
        <w:ind w:left="1020" w:hanging="384"/>
        <w:spacing w:after="0"/>
        <w:tabs>
          <w:tab w:leader="none" w:pos="10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Liens for taxes or assessments and similar charges;</w:t>
      </w:r>
    </w:p>
    <w:p>
      <w:pPr>
        <w:spacing w:after="0" w:line="233" w:lineRule="exact"/>
        <w:rPr>
          <w:rFonts w:ascii="Arial" w:cs="Arial" w:eastAsia="Arial" w:hAnsi="Arial"/>
          <w:sz w:val="22"/>
          <w:szCs w:val="22"/>
          <w:color w:val="auto"/>
        </w:rPr>
      </w:pPr>
    </w:p>
    <w:p>
      <w:pPr>
        <w:ind w:left="-20" w:firstLine="656"/>
        <w:spacing w:after="0" w:line="276" w:lineRule="auto"/>
        <w:tabs>
          <w:tab w:leader="none" w:pos="1141" w:val="left"/>
        </w:tabs>
        <w:numPr>
          <w:ilvl w:val="0"/>
          <w:numId w:val="72"/>
        </w:numPr>
        <w:rPr>
          <w:rFonts w:ascii="Arial" w:cs="Arial" w:eastAsia="Arial" w:hAnsi="Arial"/>
          <w:sz w:val="22"/>
          <w:szCs w:val="22"/>
          <w:color w:val="auto"/>
        </w:rPr>
      </w:pPr>
      <w:r>
        <w:rPr>
          <w:rFonts w:ascii="Arial" w:cs="Arial" w:eastAsia="Arial" w:hAnsi="Arial"/>
          <w:sz w:val="22"/>
          <w:szCs w:val="22"/>
          <w:color w:val="auto"/>
        </w:rPr>
        <w:t>zoning restrictions, easements, licenses, covenants, reservations, restrictions on the use of real property and certain other minor irregularities of title;</w:t>
      </w:r>
    </w:p>
    <w:p>
      <w:pPr>
        <w:spacing w:after="0" w:line="160" w:lineRule="exact"/>
        <w:rPr>
          <w:rFonts w:ascii="Arial" w:cs="Arial" w:eastAsia="Arial" w:hAnsi="Arial"/>
          <w:sz w:val="22"/>
          <w:szCs w:val="22"/>
          <w:color w:val="auto"/>
        </w:rPr>
      </w:pPr>
    </w:p>
    <w:p>
      <w:pPr>
        <w:ind w:left="1020" w:hanging="384"/>
        <w:spacing w:after="0"/>
        <w:tabs>
          <w:tab w:leader="none" w:pos="10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Liens on the Aircraft Assets to secure Indebtedness of World Travel, LLC; and</w:t>
      </w:r>
    </w:p>
    <w:p>
      <w:pPr>
        <w:spacing w:after="0" w:line="233" w:lineRule="exact"/>
        <w:rPr>
          <w:rFonts w:ascii="Arial" w:cs="Arial" w:eastAsia="Arial" w:hAnsi="Arial"/>
          <w:sz w:val="22"/>
          <w:szCs w:val="22"/>
          <w:color w:val="auto"/>
        </w:rPr>
      </w:pPr>
    </w:p>
    <w:p>
      <w:pPr>
        <w:ind w:left="-20" w:firstLine="656"/>
        <w:spacing w:after="0" w:line="276" w:lineRule="auto"/>
        <w:tabs>
          <w:tab w:leader="none" w:pos="118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extension, renewal, replacement or refinancing of any Indebtedness secured by a Lien permitted by any of the foregoing clauses (a) through (f) and (l).</w:t>
      </w:r>
    </w:p>
    <w:p>
      <w:pPr>
        <w:spacing w:after="0" w:line="161" w:lineRule="exact"/>
        <w:rPr>
          <w:sz w:val="20"/>
          <w:szCs w:val="20"/>
          <w:color w:val="auto"/>
        </w:rPr>
      </w:pPr>
    </w:p>
    <w:p>
      <w:pPr>
        <w:ind w:left="1100" w:hanging="464"/>
        <w:spacing w:after="0"/>
        <w:tabs>
          <w:tab w:leader="none" w:pos="11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Notwithstanding Section 4.07(1),</w:t>
      </w:r>
    </w:p>
    <w:p>
      <w:pPr>
        <w:spacing w:after="0" w:line="220" w:lineRule="exact"/>
        <w:rPr>
          <w:sz w:val="20"/>
          <w:szCs w:val="20"/>
          <w:color w:val="auto"/>
        </w:rPr>
      </w:pPr>
    </w:p>
    <w:p>
      <w:pPr>
        <w:jc w:val="both"/>
        <w:ind w:left="-20" w:firstLine="656"/>
        <w:spacing w:after="0" w:line="250" w:lineRule="auto"/>
        <w:tabs>
          <w:tab w:leader="none" w:pos="1075"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any of the Existing Notes are hereafter secured by any Liens on any of the assets of an Issuer or any Guarantor (the “</w:t>
      </w:r>
      <w:r>
        <w:rPr>
          <w:rFonts w:ascii="Arial" w:cs="Arial" w:eastAsia="Arial" w:hAnsi="Arial"/>
          <w:sz w:val="22"/>
          <w:szCs w:val="22"/>
          <w:i w:val="1"/>
          <w:iCs w:val="1"/>
          <w:u w:val="single" w:color="auto"/>
          <w:color w:val="auto"/>
        </w:rPr>
        <w:t>Initial Liens</w:t>
      </w:r>
      <w:r>
        <w:rPr>
          <w:rFonts w:ascii="Arial" w:cs="Arial" w:eastAsia="Arial" w:hAnsi="Arial"/>
          <w:sz w:val="22"/>
          <w:szCs w:val="22"/>
          <w:color w:val="auto"/>
        </w:rPr>
        <w:t>”), then the Issuers and each Guarantor shall, substantially concurrently with the granting of any such Liens, subject to all necessary gaming regulatory approvals, grant perfected Liens in the same collateral to secure the Notes, equally, ratably and on a pari passu basis (the “</w:t>
      </w:r>
      <w:r>
        <w:rPr>
          <w:rFonts w:ascii="Arial" w:cs="Arial" w:eastAsia="Arial" w:hAnsi="Arial"/>
          <w:sz w:val="22"/>
          <w:szCs w:val="22"/>
          <w:i w:val="1"/>
          <w:iCs w:val="1"/>
          <w:u w:val="single" w:color="auto"/>
          <w:color w:val="auto"/>
        </w:rPr>
        <w:t>Pari Passu Liens</w:t>
      </w:r>
      <w:r>
        <w:rPr>
          <w:rFonts w:ascii="Arial" w:cs="Arial" w:eastAsia="Arial" w:hAnsi="Arial"/>
          <w:sz w:val="22"/>
          <w:szCs w:val="22"/>
          <w:color w:val="auto"/>
        </w:rPr>
        <w:t>”). The Pari Passu Liens granted pursuant to this provision shall be (i) granted concurrently with the granting of any such Initial Liens, and (ii) granted pursuant to instruments, documents and agreements which are no less favorable to the trustee 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00"/>
          </w:cols>
          <w:pgMar w:left="260" w:top="631" w:right="239" w:bottom="1440" w:gutter="0" w:footer="0" w:header="0"/>
        </w:sectPr>
      </w:pPr>
    </w:p>
    <w:bookmarkStart w:id="56" w:name="page57"/>
    <w:bookmarkEnd w:id="56"/>
    <w:p>
      <w:pPr>
        <w:jc w:val="both"/>
        <w:spacing w:after="0" w:line="294" w:lineRule="auto"/>
        <w:rPr>
          <w:sz w:val="20"/>
          <w:szCs w:val="20"/>
          <w:color w:val="auto"/>
        </w:rPr>
      </w:pPr>
      <w:r>
        <w:rPr>
          <w:rFonts w:ascii="Arial" w:cs="Arial" w:eastAsia="Arial" w:hAnsi="Arial"/>
          <w:sz w:val="19"/>
          <w:szCs w:val="19"/>
          <w:color w:val="auto"/>
        </w:rPr>
        <w:t>the holders of the Notes than those granted to secure the Existing Notes. In connection with the granting of any such Pari Passu Liens, the Issuers and each Guarantor shall provide to the trustee (y) policies of title insurance on customary terms and conditions, to the extent that policies of title insurance on the corresponding property are provided to the holders of the Existing Notes or their trustee (and in an insured amount that bears the same proportion to the principal amount of the outstanding Notes as the insured amount in the policies provided to the holders of the Existing Notes bears to the aggregate outstanding amount thereof), and (z) legal opinions and other assurances as the trustee may reasonably request; and</w:t>
      </w:r>
    </w:p>
    <w:p>
      <w:pPr>
        <w:spacing w:after="0" w:line="150" w:lineRule="exact"/>
        <w:rPr>
          <w:sz w:val="20"/>
          <w:szCs w:val="20"/>
          <w:color w:val="auto"/>
        </w:rPr>
      </w:pPr>
    </w:p>
    <w:p>
      <w:pPr>
        <w:jc w:val="both"/>
        <w:ind w:firstLine="656"/>
        <w:spacing w:after="0" w:line="251" w:lineRule="auto"/>
        <w:tabs>
          <w:tab w:leader="none" w:pos="1107"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the Issuers and the Guarantors become entitled to the release of all of such Initial Liens securing the Existing Notes and Note Guarantees related thereto, and provided that no Default or Event of Default has then occurred and remains continuing, the Issuers and the Guarantors may in their sole discretion request that the Collateral Agent release any such Initial Liens and Pari Passu Liens securing the Notes, and in such circumstances the collateral agent shall so release such Initial Liens and Pari Passu Liens.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Section 4.08</w:t>
      </w:r>
      <w:r>
        <w:rPr>
          <w:rFonts w:ascii="Arial" w:cs="Arial" w:eastAsia="Arial" w:hAnsi="Arial"/>
          <w:sz w:val="22"/>
          <w:szCs w:val="22"/>
          <w:i w:val="1"/>
          <w:iCs w:val="1"/>
          <w:color w:val="auto"/>
        </w:rPr>
        <w:t>Limitation on Sale and Lease-Back Transactions.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Other than as provided below under Section 4.09, neither Issuer nor any Guarantor will enter into any Sale and Lease-Back Transaction unless either:</w:t>
      </w:r>
    </w:p>
    <w:p>
      <w:pPr>
        <w:spacing w:after="0" w:line="175" w:lineRule="exact"/>
        <w:rPr>
          <w:sz w:val="20"/>
          <w:szCs w:val="20"/>
          <w:color w:val="auto"/>
        </w:rPr>
      </w:pPr>
    </w:p>
    <w:p>
      <w:pPr>
        <w:jc w:val="both"/>
        <w:ind w:firstLine="656"/>
        <w:spacing w:after="0" w:line="260" w:lineRule="auto"/>
        <w:tabs>
          <w:tab w:leader="none" w:pos="1095"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such Issuer or such Guarantor would be entitled, pursuant to the provisions described in clauses (a) through (m) under Section 4.07(1) to create, assume or suffer to exist a Lien on the property to be leased without equally and ratably securing the Notes; or</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 amount equal to the greater of the net cash proceeds of such sale or the Fair Market Value of such property (in the good faith opinion of the Board of Directors of Wynn Capital) is applied within 120 days to the retirement or other discharge of its Funded Debt.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4.09</w:t>
      </w:r>
      <w:r>
        <w:rPr>
          <w:rFonts w:ascii="Arial" w:cs="Arial" w:eastAsia="Arial" w:hAnsi="Arial"/>
          <w:sz w:val="22"/>
          <w:szCs w:val="22"/>
          <w:i w:val="1"/>
          <w:iCs w:val="1"/>
          <w:color w:val="auto"/>
        </w:rPr>
        <w:t>Exempted Liens and Sale and Lease-Back Transactions.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Notwithstanding the restrictions set forth in Section 4.07 and Section 4.08, an Issuer or any Guarantor may create, assume or suffer to exist Liens or enter into Sale and Lease-Back Transactions not otherwise permitted in Section 4.07 or Section 4.08, respectively, provided that at the time of such event, and after giving effect thereto, the sum of outstanding Indebtedness secured by such Liens (not including Liens permitted under Section 4.07) plus all Attributable Debt in respect of such Sale and Lease-Back Transactions entered into (not including Sale and Lease-Back Transactions permitted under Section 4.08), measured, in each case, at the time any such Lien is incurred or any such Sale and Lease-Back Transaction is entered into, by the Issuers and the Guarantors does not exceed 15% of Total Assets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4.09 or any previous extension, renewal, replacement or refinancing of any such Indebtedness (which extended, renewed, replaced or refinanced Indebtedness shall, for the avoidance of doubt, thereafter be included in the calculation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31" w:right="2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of such amount), provided that the foregoing shall not apply to any Liens that may at any time secure any of the Existing Notes.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Section 4.10</w:t>
      </w:r>
      <w:r>
        <w:rPr>
          <w:rFonts w:ascii="Arial" w:cs="Arial" w:eastAsia="Arial" w:hAnsi="Arial"/>
          <w:sz w:val="22"/>
          <w:szCs w:val="22"/>
          <w:i w:val="1"/>
          <w:iCs w:val="1"/>
          <w:color w:val="auto"/>
        </w:rPr>
        <w:t>Corporate and Organizational Existence.</w:t>
      </w:r>
    </w:p>
    <w:p>
      <w:pPr>
        <w:spacing w:after="0" w:line="220"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Subject to Article 5 hereof, except in the case of a Permitted C-Corp. Conversion, each of the Issuers shall, and shall cause the Guarantors to, do or cause to be done all things necessary to preserve and keep in full force and effect:</w:t>
      </w:r>
    </w:p>
    <w:p>
      <w:pPr>
        <w:spacing w:after="0" w:line="152" w:lineRule="exact"/>
        <w:rPr>
          <w:sz w:val="20"/>
          <w:szCs w:val="20"/>
          <w:color w:val="auto"/>
        </w:rPr>
      </w:pPr>
    </w:p>
    <w:p>
      <w:pPr>
        <w:ind w:right="20" w:firstLine="656"/>
        <w:spacing w:after="0" w:line="358" w:lineRule="auto"/>
        <w:tabs>
          <w:tab w:leader="none" w:pos="1149" w:val="left"/>
        </w:tabs>
        <w:numPr>
          <w:ilvl w:val="0"/>
          <w:numId w:val="77"/>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90" w:lineRule="exact"/>
        <w:rPr>
          <w:rFonts w:ascii="Arial" w:cs="Arial" w:eastAsia="Arial" w:hAnsi="Arial"/>
          <w:sz w:val="19"/>
          <w:szCs w:val="19"/>
          <w:color w:val="auto"/>
        </w:rPr>
      </w:pPr>
    </w:p>
    <w:p>
      <w:pPr>
        <w:jc w:val="both"/>
        <w:ind w:firstLine="656"/>
        <w:spacing w:after="0" w:line="250" w:lineRule="auto"/>
        <w:tabs>
          <w:tab w:leader="none" w:pos="1175"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the rights (charter and statutory), licenses and franchises of the Issuers and their respective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Issuers and the Guarantors shall not be required to preserve any such right, license or franchise, or the corporate,</w:t>
      </w:r>
      <w:r>
        <w:rPr>
          <w:rFonts w:ascii="Arial" w:cs="Arial" w:eastAsia="Arial" w:hAnsi="Arial"/>
          <w:sz w:val="22"/>
          <w:szCs w:val="22"/>
          <w:i w:val="1"/>
          <w:iCs w:val="1"/>
          <w:color w:val="auto"/>
        </w:rPr>
        <w:t xml:space="preserve"> </w:t>
      </w:r>
      <w:r>
        <w:rPr>
          <w:rFonts w:ascii="Arial" w:cs="Arial" w:eastAsia="Arial" w:hAnsi="Arial"/>
          <w:sz w:val="22"/>
          <w:szCs w:val="22"/>
          <w:color w:val="auto"/>
        </w:rPr>
        <w:t>partnership or other existence of any of their respective Subsidiaries (other than the Issuers), if the Board of Directors of Wynn Capital or the applicable Guarantor shall determine that the preservation thereof is no longer desirable in the conduct of the business of Wynn Las Vegas and the Guarantors, taken as a whole, and that the loss thereof is not adverse in any material respect to the Holders of the Notes.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4.11</w:t>
      </w:r>
      <w:r>
        <w:rPr>
          <w:rFonts w:ascii="Arial" w:cs="Arial" w:eastAsia="Arial" w:hAnsi="Arial"/>
          <w:sz w:val="22"/>
          <w:szCs w:val="22"/>
          <w:i w:val="1"/>
          <w:iCs w:val="1"/>
          <w:color w:val="auto"/>
        </w:rPr>
        <w:t>Offer to Purchase Upon Change of Control.</w:t>
      </w:r>
    </w:p>
    <w:p>
      <w:pPr>
        <w:spacing w:after="0" w:line="220" w:lineRule="exact"/>
        <w:rPr>
          <w:sz w:val="20"/>
          <w:szCs w:val="20"/>
          <w:color w:val="auto"/>
        </w:rPr>
      </w:pPr>
    </w:p>
    <w:p>
      <w:pPr>
        <w:jc w:val="both"/>
        <w:ind w:firstLine="656"/>
        <w:spacing w:after="0" w:line="264" w:lineRule="auto"/>
        <w:tabs>
          <w:tab w:leader="none" w:pos="1109" w:val="left"/>
        </w:tabs>
        <w:numPr>
          <w:ilvl w:val="0"/>
          <w:numId w:val="78"/>
        </w:numPr>
        <w:rPr>
          <w:rFonts w:ascii="Arial" w:cs="Arial" w:eastAsia="Arial" w:hAnsi="Arial"/>
          <w:sz w:val="21"/>
          <w:szCs w:val="21"/>
          <w:color w:val="auto"/>
        </w:rPr>
      </w:pPr>
      <w:r>
        <w:rPr>
          <w:rFonts w:ascii="Arial" w:cs="Arial" w:eastAsia="Arial" w:hAnsi="Arial"/>
          <w:sz w:val="21"/>
          <w:szCs w:val="21"/>
          <w:color w:val="auto"/>
        </w:rPr>
        <w:t>Upon the occurrence of a Change of Control Triggering Event, the Issuers shall make an offer (a “</w:t>
      </w:r>
      <w:r>
        <w:rPr>
          <w:rFonts w:ascii="Arial" w:cs="Arial" w:eastAsia="Arial" w:hAnsi="Arial"/>
          <w:sz w:val="21"/>
          <w:szCs w:val="21"/>
          <w:i w:val="1"/>
          <w:iCs w:val="1"/>
          <w:u w:val="single" w:color="auto"/>
          <w:color w:val="auto"/>
        </w:rPr>
        <w:t>Change of Control</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Offer</w:t>
      </w:r>
      <w:r>
        <w:rPr>
          <w:rFonts w:ascii="Arial" w:cs="Arial" w:eastAsia="Arial" w:hAnsi="Arial"/>
          <w:sz w:val="21"/>
          <w:szCs w:val="21"/>
          <w:color w:val="auto"/>
        </w:rPr>
        <w:t>”) to each Holder to repurchase all or any part (equal to $2,000 or an integral multiple of $1,000 in excess of $2,000) of each</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Notes at a purchase price equal to 101 % of the aggregate principal amount thereof plus accrued and unpaid interest on the Notes purchased, if any, to the date of purchase (the “</w:t>
      </w:r>
      <w:r>
        <w:rPr>
          <w:rFonts w:ascii="Arial" w:cs="Arial" w:eastAsia="Arial" w:hAnsi="Arial"/>
          <w:sz w:val="21"/>
          <w:szCs w:val="21"/>
          <w:i w:val="1"/>
          <w:iCs w:val="1"/>
          <w:u w:val="single" w:color="auto"/>
          <w:color w:val="auto"/>
        </w:rPr>
        <w:t>Change of Control Payment</w:t>
      </w:r>
      <w:r>
        <w:rPr>
          <w:rFonts w:ascii="Arial" w:cs="Arial" w:eastAsia="Arial" w:hAnsi="Arial"/>
          <w:sz w:val="21"/>
          <w:szCs w:val="21"/>
          <w:color w:val="auto"/>
        </w:rPr>
        <w:t>”). Within ten days following any Change of Control Triggering Event, the Issuers shall mail a notice to each Holder describing the transaction or transactions that constitute the Change of Control Triggering Event and stating:</w:t>
      </w:r>
    </w:p>
    <w:p>
      <w:pPr>
        <w:spacing w:after="0" w:line="175" w:lineRule="exact"/>
        <w:rPr>
          <w:rFonts w:ascii="Arial" w:cs="Arial" w:eastAsia="Arial" w:hAnsi="Arial"/>
          <w:sz w:val="21"/>
          <w:szCs w:val="21"/>
          <w:color w:val="auto"/>
        </w:rPr>
      </w:pPr>
    </w:p>
    <w:p>
      <w:pPr>
        <w:ind w:left="660" w:firstLine="645"/>
        <w:spacing w:after="0" w:line="276" w:lineRule="auto"/>
        <w:tabs>
          <w:tab w:leader="none" w:pos="174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4.11 and that all Notes tendered shall be accepted for payment;</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754"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30 days and no later than 60 days from the date such notice is mailed (the “</w:t>
      </w:r>
      <w:r>
        <w:rPr>
          <w:rFonts w:ascii="Arial" w:cs="Arial" w:eastAsia="Arial" w:hAnsi="Arial"/>
          <w:sz w:val="22"/>
          <w:szCs w:val="22"/>
          <w:i w:val="1"/>
          <w:iCs w:val="1"/>
          <w:u w:val="single" w:color="auto"/>
          <w:color w:val="auto"/>
        </w:rPr>
        <w:t>Change of Control Payment Date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33" w:lineRule="exact"/>
        <w:rPr>
          <w:rFonts w:ascii="Arial" w:cs="Arial" w:eastAsia="Arial" w:hAnsi="Arial"/>
          <w:sz w:val="22"/>
          <w:szCs w:val="22"/>
          <w:color w:val="auto"/>
        </w:rPr>
      </w:pPr>
    </w:p>
    <w:p>
      <w:pPr>
        <w:ind w:left="660" w:firstLine="645"/>
        <w:spacing w:after="0" w:line="358" w:lineRule="auto"/>
        <w:tabs>
          <w:tab w:leader="none" w:pos="1875"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90" w:lineRule="exact"/>
        <w:rPr>
          <w:rFonts w:ascii="Arial" w:cs="Arial" w:eastAsia="Arial" w:hAnsi="Arial"/>
          <w:sz w:val="19"/>
          <w:szCs w:val="19"/>
          <w:color w:val="auto"/>
        </w:rPr>
      </w:pPr>
    </w:p>
    <w:p>
      <w:pPr>
        <w:ind w:left="660" w:firstLine="645"/>
        <w:spacing w:after="0" w:line="276" w:lineRule="auto"/>
        <w:tabs>
          <w:tab w:leader="none" w:pos="1781"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58" w:name="page59"/>
    <w:bookmarkEnd w:id="58"/>
    <w:p>
      <w:pPr>
        <w:jc w:val="both"/>
        <w:ind w:left="660"/>
        <w:spacing w:after="0" w:line="253" w:lineRule="auto"/>
        <w:rPr>
          <w:sz w:val="20"/>
          <w:szCs w:val="20"/>
          <w:color w:val="auto"/>
        </w:rPr>
      </w:pPr>
      <w:r>
        <w:rPr>
          <w:rFonts w:ascii="Arial" w:cs="Arial" w:eastAsia="Arial" w:hAnsi="Arial"/>
          <w:sz w:val="22"/>
          <w:szCs w:val="22"/>
          <w:color w:val="auto"/>
        </w:rPr>
        <w:t>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6" w:lineRule="exact"/>
        <w:rPr>
          <w:sz w:val="20"/>
          <w:szCs w:val="20"/>
          <w:color w:val="auto"/>
        </w:rPr>
      </w:pPr>
    </w:p>
    <w:p>
      <w:pPr>
        <w:jc w:val="both"/>
        <w:ind w:left="660" w:firstLine="645"/>
        <w:spacing w:after="0" w:line="270" w:lineRule="auto"/>
        <w:tabs>
          <w:tab w:leader="none" w:pos="1754"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169" w:lineRule="exact"/>
        <w:rPr>
          <w:rFonts w:ascii="Arial" w:cs="Arial" w:eastAsia="Arial" w:hAnsi="Arial"/>
          <w:sz w:val="21"/>
          <w:szCs w:val="21"/>
          <w:color w:val="auto"/>
        </w:rPr>
      </w:pPr>
    </w:p>
    <w:p>
      <w:pPr>
        <w:jc w:val="both"/>
        <w:ind w:left="660" w:firstLine="645"/>
        <w:spacing w:after="0" w:line="260" w:lineRule="auto"/>
        <w:tabs>
          <w:tab w:leader="none" w:pos="17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in Control. To the extent that the provisions of any securities laws or regulations conflict with the provisions of Section 4.11 of this Indenture, the Issuers shall comply with the applicable securities laws and regulations and shall not be deemed to have breached their obligations under this Section 4.11 by virtue of such compliance.</w:t>
      </w:r>
    </w:p>
    <w:p>
      <w:pPr>
        <w:spacing w:after="0" w:line="176"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On the Change of Control Payment Date, the Issuers shall, to the extent lawful:</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 Offer;</w:t>
      </w:r>
    </w:p>
    <w:p>
      <w:pPr>
        <w:spacing w:after="0" w:line="267" w:lineRule="exact"/>
        <w:rPr>
          <w:rFonts w:ascii="Arial" w:cs="Arial" w:eastAsia="Arial" w:hAnsi="Arial"/>
          <w:sz w:val="19"/>
          <w:szCs w:val="19"/>
          <w:color w:val="auto"/>
        </w:rPr>
      </w:pPr>
    </w:p>
    <w:p>
      <w:pPr>
        <w:ind w:left="660" w:firstLine="645"/>
        <w:spacing w:after="0" w:line="276" w:lineRule="auto"/>
        <w:tabs>
          <w:tab w:leader="none" w:pos="1794" w:val="left"/>
        </w:tabs>
        <w:numPr>
          <w:ilvl w:val="1"/>
          <w:numId w:val="80"/>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60" w:lineRule="exact"/>
        <w:rPr>
          <w:rFonts w:ascii="Arial" w:cs="Arial" w:eastAsia="Arial" w:hAnsi="Arial"/>
          <w:sz w:val="22"/>
          <w:szCs w:val="22"/>
          <w:color w:val="auto"/>
        </w:rPr>
      </w:pPr>
    </w:p>
    <w:p>
      <w:pPr>
        <w:ind w:left="660" w:firstLine="645"/>
        <w:spacing w:after="0" w:line="301" w:lineRule="auto"/>
        <w:tabs>
          <w:tab w:leader="none" w:pos="1740" w:val="left"/>
        </w:tabs>
        <w:numPr>
          <w:ilvl w:val="1"/>
          <w:numId w:val="80"/>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Issuers.</w:t>
      </w:r>
    </w:p>
    <w:p>
      <w:pPr>
        <w:spacing w:after="0" w:line="1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Paying Agent shall promptly deliver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47" w:lineRule="exact"/>
        <w:rPr>
          <w:sz w:val="20"/>
          <w:szCs w:val="20"/>
          <w:color w:val="auto"/>
        </w:rPr>
      </w:pPr>
    </w:p>
    <w:p>
      <w:pPr>
        <w:jc w:val="both"/>
        <w:ind w:firstLine="656"/>
        <w:spacing w:after="0" w:line="260" w:lineRule="auto"/>
        <w:tabs>
          <w:tab w:leader="none" w:pos="1122"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4.11, the Issuers shall not be required to make a Change of Control Offer upon a Change of Control Triggering Event if (1) a third party makes the Change of Control Offer in the manner, at the times and otherwise 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31" w:right="239" w:bottom="1440" w:gutter="0" w:footer="0" w:header="0"/>
        </w:sectPr>
      </w:pPr>
    </w:p>
    <w:bookmarkStart w:id="59" w:name="page60"/>
    <w:bookmarkEnd w:id="59"/>
    <w:p>
      <w:pPr>
        <w:jc w:val="both"/>
        <w:spacing w:after="0" w:line="271" w:lineRule="auto"/>
        <w:rPr>
          <w:sz w:val="20"/>
          <w:szCs w:val="20"/>
          <w:color w:val="auto"/>
        </w:rPr>
      </w:pPr>
      <w:r>
        <w:rPr>
          <w:rFonts w:ascii="Arial" w:cs="Arial" w:eastAsia="Arial" w:hAnsi="Arial"/>
          <w:sz w:val="21"/>
          <w:szCs w:val="21"/>
          <w:color w:val="auto"/>
        </w:rPr>
        <w:t>compliance with the requirements set forth in this Section 4.11 and purchases all Notes validly tendered and not withdrawn under the Change of Control Offer, or (2) a notice of redemption has been given pursuant to this Indenture as described above under Section 3.03 hereof, unless and until there is a default in payment of the applicable redemption price.</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SUCCESSORS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5.01</w:t>
      </w:r>
      <w:r>
        <w:rPr>
          <w:rFonts w:ascii="Arial" w:cs="Arial" w:eastAsia="Arial" w:hAnsi="Arial"/>
          <w:sz w:val="22"/>
          <w:szCs w:val="22"/>
          <w:i w:val="1"/>
          <w:iCs w:val="1"/>
          <w:color w:val="auto"/>
        </w:rPr>
        <w:t>Merger, Consolidation, or Sale of Assets.</w:t>
      </w:r>
    </w:p>
    <w:p>
      <w:pPr>
        <w:spacing w:after="0" w:line="220" w:lineRule="exact"/>
        <w:rPr>
          <w:sz w:val="20"/>
          <w:szCs w:val="20"/>
          <w:color w:val="auto"/>
        </w:rPr>
      </w:pPr>
    </w:p>
    <w:p>
      <w:pPr>
        <w:jc w:val="both"/>
        <w:ind w:firstLine="656"/>
        <w:spacing w:after="0" w:line="260" w:lineRule="auto"/>
        <w:tabs>
          <w:tab w:leader="none" w:pos="1136" w:val="left"/>
        </w:tabs>
        <w:numPr>
          <w:ilvl w:val="0"/>
          <w:numId w:val="82"/>
        </w:numPr>
        <w:rPr>
          <w:rFonts w:ascii="Arial" w:cs="Arial" w:eastAsia="Arial" w:hAnsi="Arial"/>
          <w:sz w:val="22"/>
          <w:szCs w:val="22"/>
          <w:color w:val="auto"/>
        </w:rPr>
      </w:pPr>
      <w:r>
        <w:rPr>
          <w:rFonts w:ascii="Arial" w:cs="Arial" w:eastAsia="Arial" w:hAnsi="Arial"/>
          <w:sz w:val="22"/>
          <w:szCs w:val="22"/>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77" w:lineRule="exact"/>
        <w:rPr>
          <w:rFonts w:ascii="Arial" w:cs="Arial" w:eastAsia="Arial" w:hAnsi="Arial"/>
          <w:sz w:val="22"/>
          <w:szCs w:val="22"/>
          <w:color w:val="auto"/>
        </w:rPr>
      </w:pPr>
    </w:p>
    <w:p>
      <w:pPr>
        <w:jc w:val="both"/>
        <w:ind w:left="660" w:firstLine="645"/>
        <w:spacing w:after="0" w:line="254" w:lineRule="auto"/>
        <w:tabs>
          <w:tab w:leader="none" w:pos="1754" w:val="left"/>
        </w:tabs>
        <w:numPr>
          <w:ilvl w:val="1"/>
          <w:numId w:val="82"/>
        </w:numPr>
        <w:rPr>
          <w:rFonts w:ascii="Arial" w:cs="Arial" w:eastAsia="Arial" w:hAnsi="Arial"/>
          <w:sz w:val="22"/>
          <w:szCs w:val="22"/>
          <w:color w:val="auto"/>
        </w:rPr>
      </w:pPr>
      <w:r>
        <w:rPr>
          <w:rFonts w:ascii="Arial" w:cs="Arial" w:eastAsia="Arial" w:hAnsi="Arial"/>
          <w:sz w:val="22"/>
          <w:szCs w:val="22"/>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85" w:lineRule="exact"/>
        <w:rPr>
          <w:rFonts w:ascii="Arial" w:cs="Arial" w:eastAsia="Arial" w:hAnsi="Arial"/>
          <w:sz w:val="22"/>
          <w:szCs w:val="22"/>
          <w:color w:val="auto"/>
        </w:rPr>
      </w:pPr>
    </w:p>
    <w:p>
      <w:pPr>
        <w:jc w:val="both"/>
        <w:ind w:left="660" w:firstLine="645"/>
        <w:spacing w:after="0" w:line="320" w:lineRule="auto"/>
        <w:tabs>
          <w:tab w:leader="none" w:pos="1754"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and this Indenture pursuant to agreements reasonably satisfactory to the Trustee; and</w:t>
      </w:r>
    </w:p>
    <w:p>
      <w:pPr>
        <w:spacing w:after="0" w:line="125" w:lineRule="exact"/>
        <w:rPr>
          <w:rFonts w:ascii="Arial" w:cs="Arial" w:eastAsia="Arial" w:hAnsi="Arial"/>
          <w:sz w:val="19"/>
          <w:szCs w:val="19"/>
          <w:color w:val="auto"/>
        </w:rPr>
      </w:pPr>
    </w:p>
    <w:p>
      <w:pPr>
        <w:ind w:left="1740" w:hanging="435"/>
        <w:spacing w:after="0"/>
        <w:tabs>
          <w:tab w:leader="none" w:pos="1740" w:val="left"/>
        </w:tabs>
        <w:numPr>
          <w:ilvl w:val="1"/>
          <w:numId w:val="82"/>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addition, no Issuer may, directly or indirectly, lease all or substantially all of its properties or assets, taken as a whole, in one or more related transactions, to any other Person.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provisions of this Section 5.01, Wynn Las Vegas or any Guarantor that is not a subchapter “C” corporation is permitted to convert into a corporation pursuant to a Permitted C-Corp. Conversion.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5.02</w:t>
      </w:r>
      <w:r>
        <w:rPr>
          <w:rFonts w:ascii="Arial" w:cs="Arial" w:eastAsia="Arial" w:hAnsi="Arial"/>
          <w:sz w:val="22"/>
          <w:szCs w:val="22"/>
          <w:i w:val="1"/>
          <w:iCs w:val="1"/>
          <w:color w:val="auto"/>
        </w:rPr>
        <w:t>Successor Corporation Substituted.</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22"/>
          <w:szCs w:val="22"/>
          <w:color w:val="auto"/>
        </w:rPr>
        <w:t>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DEFAULTS AND REMEDIES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6.01</w:t>
      </w:r>
      <w:r>
        <w:rPr>
          <w:rFonts w:ascii="Arial" w:cs="Arial" w:eastAsia="Arial" w:hAnsi="Arial"/>
          <w:sz w:val="22"/>
          <w:szCs w:val="22"/>
          <w:i w:val="1"/>
          <w:iCs w:val="1"/>
          <w:color w:val="auto"/>
        </w:rPr>
        <w:t>Events of Default.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20"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33" w:lineRule="exact"/>
        <w:rPr>
          <w:rFonts w:ascii="Arial" w:cs="Arial" w:eastAsia="Arial" w:hAnsi="Arial"/>
          <w:sz w:val="22"/>
          <w:szCs w:val="22"/>
          <w:color w:val="auto"/>
        </w:rPr>
      </w:pPr>
    </w:p>
    <w:p>
      <w:pPr>
        <w:ind w:firstLine="656"/>
        <w:spacing w:after="0" w:line="276" w:lineRule="auto"/>
        <w:tabs>
          <w:tab w:leader="none" w:pos="1215" w:val="left"/>
        </w:tabs>
        <w:numPr>
          <w:ilvl w:val="0"/>
          <w:numId w:val="83"/>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failure by Wynn Capital, Wynn Las Vegas or any Guarantor:</w:t>
      </w:r>
    </w:p>
    <w:p>
      <w:pPr>
        <w:spacing w:after="0" w:line="233" w:lineRule="exact"/>
        <w:rPr>
          <w:rFonts w:ascii="Arial" w:cs="Arial" w:eastAsia="Arial" w:hAnsi="Arial"/>
          <w:sz w:val="22"/>
          <w:szCs w:val="22"/>
          <w:color w:val="auto"/>
        </w:rPr>
      </w:pPr>
    </w:p>
    <w:p>
      <w:pPr>
        <w:ind w:left="660" w:firstLine="645"/>
        <w:spacing w:after="0" w:line="276" w:lineRule="auto"/>
        <w:tabs>
          <w:tab w:leader="none" w:pos="1781" w:val="left"/>
        </w:tabs>
        <w:numPr>
          <w:ilvl w:val="1"/>
          <w:numId w:val="83"/>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4.11 hereof;</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failure by Wynn Capital, Wynn Las Vegas or any Guarantor for 60 days after receipt of written notice from the Trustee or the Holders of at least 25% in aggregate principal amount of the Notes then outstanding voting as a single class to comply with any of the other agreements in this Indenture not set forth in Section 6.01(c) above;</w:t>
      </w:r>
    </w:p>
    <w:p>
      <w:pPr>
        <w:spacing w:after="0" w:line="177" w:lineRule="exact"/>
        <w:rPr>
          <w:rFonts w:ascii="Arial" w:cs="Arial" w:eastAsia="Arial" w:hAnsi="Arial"/>
          <w:sz w:val="22"/>
          <w:szCs w:val="22"/>
          <w:color w:val="auto"/>
        </w:rPr>
      </w:pPr>
    </w:p>
    <w:p>
      <w:pPr>
        <w:jc w:val="both"/>
        <w:ind w:firstLine="656"/>
        <w:spacing w:after="0" w:line="262" w:lineRule="auto"/>
        <w:tabs>
          <w:tab w:leader="none" w:pos="1190" w:val="left"/>
        </w:tabs>
        <w:numPr>
          <w:ilvl w:val="0"/>
          <w:numId w:val="83"/>
        </w:numPr>
        <w:rPr>
          <w:rFonts w:ascii="Arial" w:cs="Arial" w:eastAsia="Arial" w:hAnsi="Arial"/>
          <w:sz w:val="21"/>
          <w:szCs w:val="21"/>
          <w:color w:val="auto"/>
        </w:rPr>
      </w:pPr>
      <w:r>
        <w:rPr>
          <w:rFonts w:ascii="Arial" w:cs="Arial" w:eastAsia="Arial" w:hAnsi="Arial"/>
          <w:sz w:val="21"/>
          <w:szCs w:val="21"/>
          <w:color w:val="auto"/>
        </w:rPr>
        <w:t>default under any mortgage, indenture or instrument under which there may be issued or by which there may be secured or evidenced any Indebtedness for money borrowed by Wynn Las Vegas or any Guarantor (or the payment of which is guaranteed by Wynn Las Vegas or any Guarantor) whether such Indebtedness or guarantee exists on the date hereof,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$25.0 million or more, if such acceleration is not annulled within 30 days after written notice as provided in the Indenture;</w:t>
      </w:r>
    </w:p>
    <w:p>
      <w:pPr>
        <w:spacing w:after="0" w:line="180" w:lineRule="exact"/>
        <w:rPr>
          <w:rFonts w:ascii="Arial" w:cs="Arial" w:eastAsia="Arial" w:hAnsi="Arial"/>
          <w:sz w:val="21"/>
          <w:szCs w:val="21"/>
          <w:color w:val="auto"/>
        </w:rPr>
      </w:pPr>
    </w:p>
    <w:p>
      <w:pPr>
        <w:jc w:val="both"/>
        <w:ind w:firstLine="656"/>
        <w:spacing w:after="0" w:line="260" w:lineRule="auto"/>
        <w:tabs>
          <w:tab w:leader="none" w:pos="10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failure by Wynn Capital, Wynn Las Vegas or any Guarantor to pay final non-appealable judgments (not paid or covered by insurance as to which the relevant insurance company has not denied responsibility) aggregating in excess of $25.0 million, which judgments are not paid, bonded, discharged or stayed for a period of 60 days;</w:t>
      </w:r>
    </w:p>
    <w:p>
      <w:pPr>
        <w:spacing w:after="0" w:line="177" w:lineRule="exact"/>
        <w:rPr>
          <w:rFonts w:ascii="Arial" w:cs="Arial" w:eastAsia="Arial" w:hAnsi="Arial"/>
          <w:sz w:val="22"/>
          <w:szCs w:val="22"/>
          <w:color w:val="auto"/>
        </w:rPr>
      </w:pPr>
    </w:p>
    <w:p>
      <w:pPr>
        <w:ind w:firstLine="656"/>
        <w:spacing w:after="0" w:line="276" w:lineRule="auto"/>
        <w:tabs>
          <w:tab w:leader="none" w:pos="109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Pledge Agreement shall cease, for any reason (other than pursuant to its terms or the terms of the Indenture), to be in full force and effect, or Wynn Capital or Wynn Las Vegas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22"/>
          <w:szCs w:val="22"/>
          <w:color w:val="auto"/>
        </w:rPr>
        <w:t>or any Affiliate of any such Person or any Person acting on behalf of any such Person, shall so assert, or any security interest created, or purported to be created, by the Pledge Agreement shall cease to be enforceable and of the same effect and priority purported to be created by the Pledge Agreement;</w:t>
      </w:r>
    </w:p>
    <w:p>
      <w:pPr>
        <w:spacing w:after="0" w:line="186"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either Issuer or any Guarantor: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is for relief against either Issuer or any Guarantor in an involuntary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appoints a custodian of either Issuer or any Guarantor;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orders the liquidation of either Issuer or any Guarantor;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and the order or decree remains unstayed and in effect for 60 consecutive days.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6.02</w:t>
      </w:r>
      <w:r>
        <w:rPr>
          <w:rFonts w:ascii="Arial" w:cs="Arial" w:eastAsia="Arial" w:hAnsi="Arial"/>
          <w:sz w:val="22"/>
          <w:szCs w:val="22"/>
          <w:i w:val="1"/>
          <w:iCs w:val="1"/>
          <w:color w:val="auto"/>
        </w:rPr>
        <w:t>Acceleration.</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the case of an Event of Default specified in clause (h) or (i) of Section 6.01 hereof, with respect to either Issuer or any Guarantor,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if any, that has become due solely because of the acceleration) have been cured or waived.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Section 6.03</w:t>
      </w:r>
      <w:r>
        <w:rPr>
          <w:rFonts w:ascii="Arial" w:cs="Arial" w:eastAsia="Arial" w:hAnsi="Arial"/>
          <w:sz w:val="22"/>
          <w:szCs w:val="22"/>
          <w:i w:val="1"/>
          <w:iCs w:val="1"/>
          <w:color w:val="auto"/>
        </w:rPr>
        <w:t>Other Remedies.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31" w:right="239" w:bottom="1440" w:gutter="0" w:footer="0" w:header="0"/>
        </w:sectPr>
      </w:pPr>
    </w:p>
    <w:bookmarkStart w:id="62" w:name="page63"/>
    <w:bookmarkEnd w:id="62"/>
    <w:p>
      <w:pPr>
        <w:jc w:val="both"/>
        <w:ind w:firstLine="648"/>
        <w:spacing w:after="0" w:line="343" w:lineRule="auto"/>
        <w:rPr>
          <w:sz w:val="20"/>
          <w:szCs w:val="20"/>
          <w:color w:val="auto"/>
        </w:rPr>
      </w:pPr>
      <w:r>
        <w:rPr>
          <w:rFonts w:ascii="Arial" w:cs="Arial" w:eastAsia="Arial" w:hAnsi="Arial"/>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6.04</w:t>
      </w:r>
      <w:r>
        <w:rPr>
          <w:rFonts w:ascii="Arial" w:cs="Arial" w:eastAsia="Arial" w:hAnsi="Arial"/>
          <w:sz w:val="22"/>
          <w:szCs w:val="22"/>
          <w:i w:val="1"/>
          <w:iCs w:val="1"/>
          <w:color w:val="auto"/>
        </w:rPr>
        <w:t>Waiver of Past Defaults.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Section 6.05</w:t>
      </w:r>
      <w:r>
        <w:rPr>
          <w:rFonts w:ascii="Arial" w:cs="Arial" w:eastAsia="Arial" w:hAnsi="Arial"/>
          <w:sz w:val="22"/>
          <w:szCs w:val="22"/>
          <w:i w:val="1"/>
          <w:iCs w:val="1"/>
          <w:color w:val="auto"/>
        </w:rPr>
        <w:t>Control by Majority.</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Subject to the Intercreditor Agreement, 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or that may involve the Trustee in personal liability.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Section 6.06</w:t>
      </w:r>
      <w:r>
        <w:rPr>
          <w:rFonts w:ascii="Arial" w:cs="Arial" w:eastAsia="Arial" w:hAnsi="Arial"/>
          <w:sz w:val="22"/>
          <w:szCs w:val="22"/>
          <w:i w:val="1"/>
          <w:iCs w:val="1"/>
          <w:color w:val="auto"/>
        </w:rPr>
        <w:t>Limitation on Suits.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175"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33" w:lineRule="exact"/>
        <w:rPr>
          <w:rFonts w:ascii="Arial" w:cs="Arial" w:eastAsia="Arial" w:hAnsi="Arial"/>
          <w:sz w:val="22"/>
          <w:szCs w:val="22"/>
          <w:color w:val="auto"/>
        </w:rPr>
      </w:pPr>
    </w:p>
    <w:p>
      <w:pPr>
        <w:ind w:firstLine="656"/>
        <w:spacing w:after="0" w:line="276" w:lineRule="auto"/>
        <w:tabs>
          <w:tab w:leader="none" w:pos="1107"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160" w:lineRule="exact"/>
        <w:rPr>
          <w:rFonts w:ascii="Arial" w:cs="Arial" w:eastAsia="Arial" w:hAnsi="Arial"/>
          <w:sz w:val="22"/>
          <w:szCs w:val="22"/>
          <w:color w:val="auto"/>
        </w:rPr>
      </w:pPr>
    </w:p>
    <w:p>
      <w:pPr>
        <w:ind w:right="20" w:firstLine="656"/>
        <w:spacing w:after="0" w:line="276" w:lineRule="auto"/>
        <w:tabs>
          <w:tab w:leader="none" w:pos="1095" w:val="left"/>
        </w:tabs>
        <w:numPr>
          <w:ilvl w:val="0"/>
          <w:numId w:val="85"/>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satisfactory to the Trustee against any loss, liability or expense;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63" w:name="page64"/>
    <w:bookmarkEnd w:id="63"/>
    <w:p>
      <w:pPr>
        <w:ind w:firstLine="656"/>
        <w:spacing w:after="0" w:line="276" w:lineRule="auto"/>
        <w:tabs>
          <w:tab w:leader="none" w:pos="11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160" w:lineRule="exact"/>
        <w:rPr>
          <w:rFonts w:ascii="Arial" w:cs="Arial" w:eastAsia="Arial" w:hAnsi="Arial"/>
          <w:sz w:val="22"/>
          <w:szCs w:val="22"/>
          <w:color w:val="auto"/>
        </w:rPr>
      </w:pPr>
    </w:p>
    <w:p>
      <w:pPr>
        <w:ind w:right="20" w:firstLine="656"/>
        <w:spacing w:after="0" w:line="276" w:lineRule="auto"/>
        <w:tabs>
          <w:tab w:leader="none" w:pos="1109" w:val="left"/>
        </w:tabs>
        <w:numPr>
          <w:ilvl w:val="0"/>
          <w:numId w:val="86"/>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6.07</w:t>
      </w:r>
      <w:r>
        <w:rPr>
          <w:rFonts w:ascii="Arial" w:cs="Arial" w:eastAsia="Arial" w:hAnsi="Arial"/>
          <w:sz w:val="22"/>
          <w:szCs w:val="22"/>
          <w:i w:val="1"/>
          <w:iCs w:val="1"/>
          <w:color w:val="auto"/>
        </w:rPr>
        <w:t>Rights of Holders of Notes to Receive Payment.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Section 6.08</w:t>
      </w:r>
      <w:r>
        <w:rPr>
          <w:rFonts w:ascii="Arial" w:cs="Arial" w:eastAsia="Arial" w:hAnsi="Arial"/>
          <w:sz w:val="22"/>
          <w:szCs w:val="22"/>
          <w:i w:val="1"/>
          <w:iCs w:val="1"/>
          <w:color w:val="auto"/>
        </w:rPr>
        <w:t>Collection Suit by Trustee.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an Event of Default specified in Section 6.01(a) or (b)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Section 6.09</w:t>
      </w:r>
      <w:r>
        <w:rPr>
          <w:rFonts w:ascii="Arial" w:cs="Arial" w:eastAsia="Arial" w:hAnsi="Arial"/>
          <w:sz w:val="22"/>
          <w:szCs w:val="22"/>
          <w:i w:val="1"/>
          <w:iCs w:val="1"/>
          <w:color w:val="auto"/>
        </w:rPr>
        <w:t>Trustee May File Proofs of Claim.</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64" w:name="page65"/>
    <w:bookmarkEnd w:id="64"/>
    <w:p>
      <w:pPr>
        <w:jc w:val="both"/>
        <w:spacing w:after="0" w:line="247" w:lineRule="auto"/>
        <w:rPr>
          <w:sz w:val="20"/>
          <w:szCs w:val="20"/>
          <w:color w:val="auto"/>
        </w:rPr>
      </w:pPr>
      <w:r>
        <w:rPr>
          <w:rFonts w:ascii="Arial" w:cs="Arial" w:eastAsia="Arial" w:hAnsi="Arial"/>
          <w:sz w:val="22"/>
          <w:szCs w:val="22"/>
          <w:color w:val="auto"/>
        </w:rPr>
        <w:t>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Section 6.10</w:t>
      </w:r>
      <w:r>
        <w:rPr>
          <w:rFonts w:ascii="Arial" w:cs="Arial" w:eastAsia="Arial" w:hAnsi="Arial"/>
          <w:sz w:val="22"/>
          <w:szCs w:val="22"/>
          <w:i w:val="1"/>
          <w:iCs w:val="1"/>
          <w:color w:val="auto"/>
        </w:rPr>
        <w:t>Priorities.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Trustee, (including the Collateral Agent) for amounts due under Section 7.07 hereof, including</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of all compensation, expense and liabilities incurred, and all advances made, by the Trustee (including the Collateral Agent) and the costs and expenses of collection;</w:t>
      </w:r>
    </w:p>
    <w:p>
      <w:pPr>
        <w:spacing w:after="0" w:line="18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 xml:space="preserve">Second: </w:t>
      </w:r>
      <w:r>
        <w:rPr>
          <w:rFonts w:ascii="Arial" w:cs="Arial" w:eastAsia="Arial" w:hAnsi="Arial"/>
          <w:sz w:val="22"/>
          <w:szCs w:val="22"/>
          <w:color w:val="auto"/>
        </w:rPr>
        <w:t>to Holders of Notes for amounts due and unpaid on the Notes for principal, premium, if any, and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without preference or priority of any kind, according to the amounts due and payable on the Notes for principal, premium, if any and interest, respectively; and</w:t>
      </w:r>
    </w:p>
    <w:p>
      <w:pPr>
        <w:spacing w:after="0" w:line="18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i w:val="1"/>
          <w:iCs w:val="1"/>
          <w:color w:val="auto"/>
        </w:rPr>
        <w:t>Third:</w:t>
      </w:r>
      <w:r>
        <w:rPr>
          <w:sz w:val="20"/>
          <w:szCs w:val="20"/>
          <w:color w:val="auto"/>
        </w:rPr>
        <w:tab/>
      </w:r>
      <w:r>
        <w:rPr>
          <w:rFonts w:ascii="Arial" w:cs="Arial" w:eastAsia="Arial" w:hAnsi="Arial"/>
          <w:sz w:val="19"/>
          <w:szCs w:val="19"/>
          <w:color w:val="auto"/>
        </w:rPr>
        <w:t>to the Issuers or to such party as a court of competent jurisdiction shall direct.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Section 6.11</w:t>
      </w:r>
      <w:r>
        <w:rPr>
          <w:rFonts w:ascii="Arial" w:cs="Arial" w:eastAsia="Arial" w:hAnsi="Arial"/>
          <w:sz w:val="22"/>
          <w:szCs w:val="22"/>
          <w:i w:val="1"/>
          <w:iCs w:val="1"/>
          <w:color w:val="auto"/>
        </w:rPr>
        <w:t>Undertaking for Costs.</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74"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TRUSTEE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7.01</w:t>
      </w:r>
      <w:r>
        <w:rPr>
          <w:rFonts w:ascii="Arial" w:cs="Arial" w:eastAsia="Arial" w:hAnsi="Arial"/>
          <w:sz w:val="22"/>
          <w:szCs w:val="22"/>
          <w:i w:val="1"/>
          <w:iCs w:val="1"/>
          <w:color w:val="auto"/>
        </w:rPr>
        <w:t>Duties of Trustee.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65" w:name="page66"/>
    <w:bookmarkEnd w:id="65"/>
    <w:p>
      <w:pPr>
        <w:jc w:val="both"/>
        <w:ind w:firstLine="656"/>
        <w:spacing w:after="0" w:line="260" w:lineRule="auto"/>
        <w:tabs>
          <w:tab w:leader="none" w:pos="1068" w:val="left"/>
        </w:tabs>
        <w:numPr>
          <w:ilvl w:val="0"/>
          <w:numId w:val="87"/>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33" w:lineRule="exact"/>
        <w:rPr>
          <w:rFonts w:ascii="Arial" w:cs="Arial" w:eastAsia="Arial" w:hAnsi="Arial"/>
          <w:sz w:val="22"/>
          <w:szCs w:val="22"/>
          <w:color w:val="auto"/>
        </w:rPr>
      </w:pPr>
    </w:p>
    <w:p>
      <w:pPr>
        <w:jc w:val="both"/>
        <w:ind w:left="660" w:firstLine="645"/>
        <w:spacing w:after="0" w:line="307" w:lineRule="auto"/>
        <w:tabs>
          <w:tab w:leader="none" w:pos="1835"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duties of the Trustee shall be determined solely by the express provisions of this Indenture, the Pledge Agreement and the Intercreditor Agreement, and the Trustee need perform only those duties that are specifically set forth in this Indenture, the Pledge Agreement and the Intercreditor Agreement, and no others, and no implied covenants or obligations shall be read into this Indenture, the Pledge Agreement and the Intercreditor Agreement against the Trustee; and</w:t>
      </w:r>
    </w:p>
    <w:p>
      <w:pPr>
        <w:spacing w:after="0" w:line="138" w:lineRule="exact"/>
        <w:rPr>
          <w:rFonts w:ascii="Arial" w:cs="Arial" w:eastAsia="Arial" w:hAnsi="Arial"/>
          <w:sz w:val="19"/>
          <w:szCs w:val="19"/>
          <w:color w:val="auto"/>
        </w:rPr>
      </w:pPr>
    </w:p>
    <w:p>
      <w:pPr>
        <w:jc w:val="both"/>
        <w:ind w:left="660" w:firstLine="645"/>
        <w:spacing w:after="0" w:line="251" w:lineRule="auto"/>
        <w:tabs>
          <w:tab w:leader="none" w:pos="1781" w:val="left"/>
        </w:tabs>
        <w:numPr>
          <w:ilvl w:val="1"/>
          <w:numId w:val="87"/>
        </w:numPr>
        <w:rPr>
          <w:rFonts w:ascii="Arial" w:cs="Arial" w:eastAsia="Arial" w:hAnsi="Arial"/>
          <w:sz w:val="22"/>
          <w:szCs w:val="22"/>
          <w:color w:val="auto"/>
        </w:rPr>
      </w:pPr>
      <w:r>
        <w:rPr>
          <w:rFonts w:ascii="Arial" w:cs="Arial" w:eastAsia="Arial" w:hAnsi="Arial"/>
          <w:sz w:val="22"/>
          <w:szCs w:val="2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Pledge Agreement and the Intercreditor Agreement. However, the Trustee shall examine the certificates and opinions to determine whether or not they conform to the requirements of this Indenture, the Pledge Agreement and the Intercreditor Agreement.</w:t>
      </w:r>
    </w:p>
    <w:p>
      <w:pPr>
        <w:spacing w:after="0" w:line="189" w:lineRule="exact"/>
        <w:rPr>
          <w:rFonts w:ascii="Arial" w:cs="Arial" w:eastAsia="Arial" w:hAnsi="Arial"/>
          <w:sz w:val="22"/>
          <w:szCs w:val="22"/>
          <w:color w:val="auto"/>
        </w:rPr>
      </w:pPr>
    </w:p>
    <w:p>
      <w:pPr>
        <w:ind w:firstLine="656"/>
        <w:spacing w:after="0" w:line="276" w:lineRule="auto"/>
        <w:tabs>
          <w:tab w:leader="none" w:pos="106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33" w:lineRule="exact"/>
        <w:rPr>
          <w:rFonts w:ascii="Arial" w:cs="Arial" w:eastAsia="Arial" w:hAnsi="Arial"/>
          <w:sz w:val="22"/>
          <w:szCs w:val="22"/>
          <w:color w:val="auto"/>
        </w:rPr>
      </w:pPr>
    </w:p>
    <w:p>
      <w:pPr>
        <w:ind w:left="660" w:firstLine="645"/>
        <w:spacing w:after="0" w:line="276" w:lineRule="auto"/>
        <w:tabs>
          <w:tab w:leader="none" w:pos="1767"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60" w:lineRule="exact"/>
        <w:rPr>
          <w:rFonts w:ascii="Arial" w:cs="Arial" w:eastAsia="Arial" w:hAnsi="Arial"/>
          <w:sz w:val="22"/>
          <w:szCs w:val="22"/>
          <w:color w:val="auto"/>
        </w:rPr>
      </w:pPr>
    </w:p>
    <w:p>
      <w:pPr>
        <w:ind w:left="660" w:firstLine="645"/>
        <w:spacing w:after="0" w:line="276" w:lineRule="auto"/>
        <w:tabs>
          <w:tab w:leader="none" w:pos="1794"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160" w:lineRule="exact"/>
        <w:rPr>
          <w:rFonts w:ascii="Arial" w:cs="Arial" w:eastAsia="Arial" w:hAnsi="Arial"/>
          <w:sz w:val="22"/>
          <w:szCs w:val="22"/>
          <w:color w:val="auto"/>
        </w:rPr>
      </w:pPr>
    </w:p>
    <w:p>
      <w:pPr>
        <w:ind w:firstLine="656"/>
        <w:spacing w:after="0" w:line="276" w:lineRule="auto"/>
        <w:tabs>
          <w:tab w:leader="none" w:pos="10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60" w:lineRule="exact"/>
        <w:rPr>
          <w:rFonts w:ascii="Arial" w:cs="Arial" w:eastAsia="Arial" w:hAnsi="Arial"/>
          <w:sz w:val="22"/>
          <w:szCs w:val="22"/>
          <w:color w:val="auto"/>
        </w:rPr>
      </w:pPr>
    </w:p>
    <w:p>
      <w:pPr>
        <w:jc w:val="both"/>
        <w:ind w:firstLine="656"/>
        <w:spacing w:after="0" w:line="307" w:lineRule="auto"/>
        <w:tabs>
          <w:tab w:leader="none" w:pos="119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 provision of this Indenture, the Pledge Agreement or the Intercreditor Agreement shall require the Trustee to expend or risk its own funds or incur any liability. The Trustee shall be under no obligation to exercise any of its rights and powers under this Indenture, the Pledge Agreement and the Intercreditor Agreement at the request of any Holders, unless such Holder shall have offered to the Trustee security and indemnity satisfactory to it against any loss, liability or expense.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66" w:name="page67"/>
    <w:bookmarkEnd w:id="66"/>
    <w:p>
      <w:pPr>
        <w:ind w:firstLine="656"/>
        <w:spacing w:after="0" w:line="358" w:lineRule="auto"/>
        <w:tabs>
          <w:tab w:leader="none" w:pos="1058"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Section 7.02</w:t>
      </w:r>
      <w:r>
        <w:rPr>
          <w:rFonts w:ascii="Arial" w:cs="Arial" w:eastAsia="Arial" w:hAnsi="Arial"/>
          <w:sz w:val="22"/>
          <w:szCs w:val="22"/>
          <w:i w:val="1"/>
          <w:iCs w:val="1"/>
          <w:color w:val="auto"/>
        </w:rPr>
        <w:t>Rights of Trustee.</w:t>
      </w:r>
    </w:p>
    <w:p>
      <w:pPr>
        <w:spacing w:after="0" w:line="220" w:lineRule="exact"/>
        <w:rPr>
          <w:sz w:val="20"/>
          <w:szCs w:val="20"/>
          <w:color w:val="auto"/>
        </w:rPr>
      </w:pPr>
    </w:p>
    <w:p>
      <w:pPr>
        <w:ind w:right="20" w:firstLine="656"/>
        <w:spacing w:after="0" w:line="301" w:lineRule="auto"/>
        <w:tabs>
          <w:tab w:leader="none" w:pos="1202"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37" w:lineRule="exact"/>
        <w:rPr>
          <w:rFonts w:ascii="Arial" w:cs="Arial" w:eastAsia="Arial" w:hAnsi="Arial"/>
          <w:sz w:val="21"/>
          <w:szCs w:val="21"/>
          <w:color w:val="auto"/>
        </w:rPr>
      </w:pPr>
    </w:p>
    <w:p>
      <w:pPr>
        <w:jc w:val="both"/>
        <w:ind w:firstLine="656"/>
        <w:spacing w:after="0" w:line="251" w:lineRule="auto"/>
        <w:tabs>
          <w:tab w:leader="none" w:pos="1161" w:val="left"/>
        </w:tabs>
        <w:numPr>
          <w:ilvl w:val="0"/>
          <w:numId w:val="89"/>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89" w:lineRule="exact"/>
        <w:rPr>
          <w:rFonts w:ascii="Arial" w:cs="Arial" w:eastAsia="Arial" w:hAnsi="Arial"/>
          <w:sz w:val="22"/>
          <w:szCs w:val="22"/>
          <w:color w:val="auto"/>
        </w:rPr>
      </w:pPr>
    </w:p>
    <w:p>
      <w:pPr>
        <w:ind w:right="20" w:firstLine="656"/>
        <w:spacing w:after="0" w:line="276" w:lineRule="auto"/>
        <w:tabs>
          <w:tab w:leader="none" w:pos="105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160" w:lineRule="exact"/>
        <w:rPr>
          <w:rFonts w:ascii="Arial" w:cs="Arial" w:eastAsia="Arial" w:hAnsi="Arial"/>
          <w:sz w:val="22"/>
          <w:szCs w:val="22"/>
          <w:color w:val="auto"/>
        </w:rPr>
      </w:pPr>
    </w:p>
    <w:p>
      <w:pPr>
        <w:ind w:right="20" w:firstLine="656"/>
        <w:spacing w:after="0" w:line="276" w:lineRule="auto"/>
        <w:tabs>
          <w:tab w:leader="none" w:pos="105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60" w:lineRule="exact"/>
        <w:rPr>
          <w:rFonts w:ascii="Arial" w:cs="Arial" w:eastAsia="Arial" w:hAnsi="Arial"/>
          <w:sz w:val="22"/>
          <w:szCs w:val="22"/>
          <w:color w:val="auto"/>
        </w:rPr>
      </w:pPr>
    </w:p>
    <w:p>
      <w:pPr>
        <w:ind w:firstLine="656"/>
        <w:spacing w:after="0" w:line="301" w:lineRule="auto"/>
        <w:tabs>
          <w:tab w:leader="none" w:pos="1148" w:val="left"/>
        </w:tabs>
        <w:numPr>
          <w:ilvl w:val="0"/>
          <w:numId w:val="89"/>
        </w:numPr>
        <w:rPr>
          <w:rFonts w:ascii="Arial" w:cs="Arial" w:eastAsia="Arial" w:hAnsi="Arial"/>
          <w:sz w:val="21"/>
          <w:szCs w:val="21"/>
          <w:color w:val="auto"/>
        </w:rPr>
      </w:pPr>
      <w:r>
        <w:rPr>
          <w:rFonts w:ascii="Arial" w:cs="Arial" w:eastAsia="Arial" w:hAnsi="Arial"/>
          <w:sz w:val="21"/>
          <w:szCs w:val="21"/>
          <w:color w:val="auto"/>
        </w:rPr>
        <w:t>Unless otherwise specifically provided in this Indenture, the Pledge Agreement or the Intercreditor Agreement, any demand, request, direction or notice from the Issuers shall be sufficient if signed by an Officer of either Issuer.</w:t>
      </w:r>
    </w:p>
    <w:p>
      <w:pPr>
        <w:spacing w:after="0" w:line="137" w:lineRule="exact"/>
        <w:rPr>
          <w:rFonts w:ascii="Arial" w:cs="Arial" w:eastAsia="Arial" w:hAnsi="Arial"/>
          <w:sz w:val="21"/>
          <w:szCs w:val="21"/>
          <w:color w:val="auto"/>
        </w:rPr>
      </w:pPr>
    </w:p>
    <w:p>
      <w:pPr>
        <w:jc w:val="both"/>
        <w:ind w:firstLine="656"/>
        <w:spacing w:after="0" w:line="261" w:lineRule="auto"/>
        <w:tabs>
          <w:tab w:leader="none" w:pos="1127"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Trustee shall be under no obligation to exercise any of the rights or powers vested in it by this Indenture, the Pledge Agreement or the Intercreditor Agreement at the request or direction of any of the Holders unless such Holders have offered to the Trustee security or indemnity reasonably satisfactory to the Trustee against the costs, expenses and liabilities that might be incurred by it in compliance with such request or direction. Nor shall the Trustee be bound to investigate (i) the performance of any of the covenants, agreements or other terms or conditions set forth herein or in the Pledge Agreement, (ii) the occurrence of any default, or the validity, enforceability, effectiveness or genuineness of the Pledge Agreement or other agreement, instrument or document, (iii) the creation, perfection or priority of any lien, (iv) the value or sufficiency of any Collateral or (v) the satisfaction of any condition set forth in the Pledge Agreement.</w:t>
      </w:r>
    </w:p>
    <w:p>
      <w:pPr>
        <w:spacing w:after="0" w:line="181" w:lineRule="exact"/>
        <w:rPr>
          <w:rFonts w:ascii="Arial" w:cs="Arial" w:eastAsia="Arial" w:hAnsi="Arial"/>
          <w:sz w:val="21"/>
          <w:szCs w:val="21"/>
          <w:color w:val="auto"/>
        </w:rPr>
      </w:pPr>
    </w:p>
    <w:p>
      <w:pPr>
        <w:ind w:firstLine="656"/>
        <w:spacing w:after="0" w:line="276" w:lineRule="auto"/>
        <w:tabs>
          <w:tab w:leader="none" w:pos="11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Issuers with respect to the covenants contained in Articles 4 and 5 hereof.</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67" w:name="page68"/>
    <w:bookmarkEnd w:id="67"/>
    <w:p>
      <w:pPr>
        <w:jc w:val="both"/>
        <w:ind w:firstLine="656"/>
        <w:spacing w:after="0" w:line="270" w:lineRule="auto"/>
        <w:tabs>
          <w:tab w:leader="none" w:pos="1121"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69" w:lineRule="exact"/>
        <w:rPr>
          <w:rFonts w:ascii="Arial" w:cs="Arial" w:eastAsia="Arial" w:hAnsi="Arial"/>
          <w:sz w:val="21"/>
          <w:szCs w:val="21"/>
          <w:color w:val="auto"/>
        </w:rPr>
      </w:pPr>
    </w:p>
    <w:p>
      <w:pPr>
        <w:ind w:left="1080" w:hanging="424"/>
        <w:spacing w:after="0"/>
        <w:tabs>
          <w:tab w:leader="none" w:pos="10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15" w:lineRule="exact"/>
        <w:rPr>
          <w:rFonts w:ascii="Arial" w:cs="Arial" w:eastAsia="Arial" w:hAnsi="Arial"/>
          <w:sz w:val="19"/>
          <w:szCs w:val="19"/>
          <w:color w:val="auto"/>
        </w:rPr>
      </w:pPr>
    </w:p>
    <w:p>
      <w:pPr>
        <w:jc w:val="both"/>
        <w:ind w:firstLine="656"/>
        <w:spacing w:after="0" w:line="264" w:lineRule="auto"/>
        <w:tabs>
          <w:tab w:leader="none" w:pos="1139" w:val="left"/>
        </w:tabs>
        <w:numPr>
          <w:ilvl w:val="0"/>
          <w:numId w:val="90"/>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7.03</w:t>
      </w:r>
      <w:r>
        <w:rPr>
          <w:rFonts w:ascii="Arial" w:cs="Arial" w:eastAsia="Arial" w:hAnsi="Arial"/>
          <w:sz w:val="22"/>
          <w:szCs w:val="22"/>
          <w:i w:val="1"/>
          <w:iCs w:val="1"/>
          <w:color w:val="auto"/>
        </w:rPr>
        <w:t>Individual Rights of Trustee.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7.09 hereof.</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7.04</w:t>
      </w:r>
      <w:r>
        <w:rPr>
          <w:rFonts w:ascii="Arial" w:cs="Arial" w:eastAsia="Arial" w:hAnsi="Arial"/>
          <w:sz w:val="22"/>
          <w:szCs w:val="22"/>
          <w:i w:val="1"/>
          <w:iCs w:val="1"/>
          <w:color w:val="auto"/>
        </w:rPr>
        <w:t>Trustee’s Disclaimer.</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Section 7.05</w:t>
      </w:r>
      <w:r>
        <w:rPr>
          <w:rFonts w:ascii="Arial" w:cs="Arial" w:eastAsia="Arial" w:hAnsi="Arial"/>
          <w:sz w:val="22"/>
          <w:szCs w:val="22"/>
          <w:i w:val="1"/>
          <w:iCs w:val="1"/>
          <w:color w:val="auto"/>
        </w:rPr>
        <w:t>Notice of Defaults.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1" w:right="23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of its Responsible Officers in good faith determines that withholding the notice is in the interests of the Holders of the Notes.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Section 7.06</w:t>
      </w:r>
      <w:r>
        <w:rPr>
          <w:rFonts w:ascii="Arial" w:cs="Arial" w:eastAsia="Arial" w:hAnsi="Arial"/>
          <w:sz w:val="22"/>
          <w:szCs w:val="22"/>
          <w:i w:val="1"/>
          <w:iCs w:val="1"/>
          <w:color w:val="auto"/>
        </w:rPr>
        <w:t>Compensation and Indemnity.</w:t>
      </w:r>
    </w:p>
    <w:p>
      <w:pPr>
        <w:spacing w:after="0" w:line="220" w:lineRule="exact"/>
        <w:rPr>
          <w:sz w:val="20"/>
          <w:szCs w:val="20"/>
          <w:color w:val="auto"/>
        </w:rPr>
      </w:pPr>
    </w:p>
    <w:p>
      <w:pPr>
        <w:jc w:val="both"/>
        <w:ind w:firstLine="656"/>
        <w:spacing w:after="0" w:line="266" w:lineRule="auto"/>
        <w:tabs>
          <w:tab w:leader="none" w:pos="1068"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74" w:lineRule="exact"/>
        <w:rPr>
          <w:rFonts w:ascii="Arial" w:cs="Arial" w:eastAsia="Arial" w:hAnsi="Arial"/>
          <w:sz w:val="21"/>
          <w:szCs w:val="21"/>
          <w:color w:val="auto"/>
        </w:rPr>
      </w:pPr>
    </w:p>
    <w:p>
      <w:pPr>
        <w:jc w:val="both"/>
        <w:ind w:firstLine="656"/>
        <w:spacing w:after="0" w:line="289" w:lineRule="auto"/>
        <w:tabs>
          <w:tab w:leader="none" w:pos="1121"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Issuers and the Guarantors shall indemnify the Trustee against any and all losses, liabilities or expenses incurred by it arising out of or in connection with the acceptance or administration of its duties under this Indenture, the Pledge Agreement and the Intercreditor Agreement, including the costs and expenses of enforcing this Indenture against the Issuers and the Guarantors (including this Section 7.06)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bad faith.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58" w:lineRule="exact"/>
        <w:rPr>
          <w:rFonts w:ascii="Arial" w:cs="Arial" w:eastAsia="Arial" w:hAnsi="Arial"/>
          <w:sz w:val="19"/>
          <w:szCs w:val="19"/>
          <w:color w:val="auto"/>
        </w:rPr>
      </w:pPr>
    </w:p>
    <w:p>
      <w:pPr>
        <w:ind w:firstLine="656"/>
        <w:spacing w:after="0" w:line="276" w:lineRule="auto"/>
        <w:tabs>
          <w:tab w:leader="none" w:pos="1068"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obligations of the Issuers and the Guarantors under this Section 7.06 shall survive the satisfaction and discharge of this Indenture.</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94"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secure the Issuers’ and the Guarantors’ payment obligations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63"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6.01(h) or (i) hereof occurs, the expenses and the compensation for the services (including the fees and expenses of its agents and counsel) are intended to constitute expenses of administration under any Bankruptcy Law.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7.07</w:t>
      </w:r>
      <w:r>
        <w:rPr>
          <w:rFonts w:ascii="Arial" w:cs="Arial" w:eastAsia="Arial" w:hAnsi="Arial"/>
          <w:sz w:val="22"/>
          <w:szCs w:val="22"/>
          <w:i w:val="1"/>
          <w:iCs w:val="1"/>
          <w:color w:val="auto"/>
        </w:rPr>
        <w:t>Replacement of Trustee.</w:t>
      </w:r>
    </w:p>
    <w:p>
      <w:pPr>
        <w:spacing w:after="0" w:line="220" w:lineRule="exact"/>
        <w:rPr>
          <w:sz w:val="20"/>
          <w:szCs w:val="20"/>
          <w:color w:val="auto"/>
        </w:rPr>
      </w:pPr>
    </w:p>
    <w:p>
      <w:pPr>
        <w:ind w:firstLine="656"/>
        <w:spacing w:after="0" w:line="276" w:lineRule="auto"/>
        <w:tabs>
          <w:tab w:leader="none" w:pos="1109" w:val="left"/>
        </w:tabs>
        <w:numPr>
          <w:ilvl w:val="0"/>
          <w:numId w:val="92"/>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69" w:name="page70"/>
    <w:bookmarkEnd w:id="69"/>
    <w:p>
      <w:pPr>
        <w:jc w:val="both"/>
        <w:ind w:firstLine="656"/>
        <w:spacing w:after="0" w:line="260" w:lineRule="auto"/>
        <w:tabs>
          <w:tab w:leader="none" w:pos="1161"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33" w:lineRule="exact"/>
        <w:rPr>
          <w:rFonts w:ascii="Arial" w:cs="Arial" w:eastAsia="Arial" w:hAnsi="Arial"/>
          <w:sz w:val="22"/>
          <w:szCs w:val="22"/>
          <w:color w:val="auto"/>
        </w:rPr>
      </w:pPr>
    </w:p>
    <w:p>
      <w:pPr>
        <w:ind w:left="660" w:firstLine="645"/>
        <w:spacing w:after="0" w:line="276" w:lineRule="auto"/>
        <w:tabs>
          <w:tab w:leader="none" w:pos="1794"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93"/>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149"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77" w:lineRule="exact"/>
        <w:rPr>
          <w:rFonts w:ascii="Arial" w:cs="Arial" w:eastAsia="Arial" w:hAnsi="Arial"/>
          <w:sz w:val="22"/>
          <w:szCs w:val="22"/>
          <w:color w:val="auto"/>
        </w:rPr>
      </w:pPr>
    </w:p>
    <w:p>
      <w:pPr>
        <w:jc w:val="both"/>
        <w:ind w:firstLine="656"/>
        <w:spacing w:after="0" w:line="248" w:lineRule="auto"/>
        <w:tabs>
          <w:tab w:leader="none" w:pos="1139"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for in Section 7.06 hereof. Notwithstanding replacement of the Trustee pursuant to this Section 7.07, the Issuers’ obligations under Section 7.06 hereof shall continue for the benefit of the retiring Trustee.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Section 7.08</w:t>
      </w:r>
      <w:r>
        <w:rPr>
          <w:rFonts w:ascii="Arial" w:cs="Arial" w:eastAsia="Arial" w:hAnsi="Arial"/>
          <w:sz w:val="22"/>
          <w:szCs w:val="22"/>
          <w:i w:val="1"/>
          <w:iCs w:val="1"/>
          <w:color w:val="auto"/>
        </w:rPr>
        <w:t>Successor Trustee by Merger, etc.</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7.09</w:t>
      </w:r>
      <w:r>
        <w:rPr>
          <w:rFonts w:ascii="Arial" w:cs="Arial" w:eastAsia="Arial" w:hAnsi="Arial"/>
          <w:sz w:val="22"/>
          <w:szCs w:val="22"/>
          <w:i w:val="1"/>
          <w:iCs w:val="1"/>
          <w:color w:val="auto"/>
        </w:rPr>
        <w:t>Eligibility; Disqualification.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70" w:name="page71"/>
    <w:bookmarkEnd w:id="70"/>
    <w:p>
      <w:pPr>
        <w:jc w:val="both"/>
        <w:ind w:firstLine="648"/>
        <w:spacing w:after="0" w:line="250" w:lineRule="auto"/>
        <w:rPr>
          <w:sz w:val="20"/>
          <w:szCs w:val="20"/>
          <w:color w:val="auto"/>
        </w:rPr>
      </w:pPr>
      <w:r>
        <w:rPr>
          <w:rFonts w:ascii="Arial" w:cs="Arial" w:eastAsia="Arial" w:hAnsi="Arial"/>
          <w:sz w:val="22"/>
          <w:szCs w:val="22"/>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18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LEGAL DEFEASANCE AND COVENANT DEFEASANCE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8.01</w:t>
      </w:r>
      <w:r>
        <w:rPr>
          <w:rFonts w:ascii="Arial" w:cs="Arial" w:eastAsia="Arial" w:hAnsi="Arial"/>
          <w:sz w:val="22"/>
          <w:szCs w:val="22"/>
          <w:i w:val="1"/>
          <w:iCs w:val="1"/>
          <w:color w:val="auto"/>
        </w:rPr>
        <w:t>Option to Effect Legal Defeasance or Covenant Defeasance.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8.02</w:t>
      </w:r>
      <w:r>
        <w:rPr>
          <w:rFonts w:ascii="Arial" w:cs="Arial" w:eastAsia="Arial" w:hAnsi="Arial"/>
          <w:sz w:val="22"/>
          <w:szCs w:val="22"/>
          <w:i w:val="1"/>
          <w:iCs w:val="1"/>
          <w:color w:val="auto"/>
        </w:rPr>
        <w:t>Legal Defeasance and Discharge.</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and Wynn Las Vegas and Wynn Resorts Holdings shall be deemed to be discharged from their obligations with respect to the Pledge Agreement on the date the conditions set forth below are satisfied (hereinafter, “</w:t>
      </w:r>
      <w:r>
        <w:rPr>
          <w:rFonts w:ascii="Arial" w:cs="Arial" w:eastAsia="Arial" w:hAnsi="Arial"/>
          <w:sz w:val="19"/>
          <w:szCs w:val="19"/>
          <w:i w:val="1"/>
          <w:iCs w:val="1"/>
          <w:u w:val="single" w:color="auto"/>
          <w:color w:val="auto"/>
        </w:rPr>
        <w:t>Legal Defeasance</w:t>
      </w:r>
      <w:r>
        <w:rPr>
          <w:rFonts w:ascii="Arial" w:cs="Arial" w:eastAsia="Arial" w:hAnsi="Arial"/>
          <w:sz w:val="19"/>
          <w:szCs w:val="19"/>
          <w:color w:val="auto"/>
        </w:rPr>
        <w:t>”). For this purpose, Legal Defeasance means that the Issuers and each of the Guarantors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the Pledge Agreement,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55" w:lineRule="exact"/>
        <w:rPr>
          <w:sz w:val="20"/>
          <w:szCs w:val="20"/>
          <w:color w:val="auto"/>
        </w:rPr>
      </w:pPr>
    </w:p>
    <w:p>
      <w:pPr>
        <w:ind w:firstLine="656"/>
        <w:spacing w:after="0" w:line="276" w:lineRule="auto"/>
        <w:tabs>
          <w:tab w:leader="none" w:pos="1082"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rights of Holders of outstanding Notes to receive payments in respect of the principal of, or interest or premium, if any, on such Notes when such payments are due from the trust referred to in Section 8.04 hereof;</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33" w:lineRule="exact"/>
        <w:rPr>
          <w:rFonts w:ascii="Arial" w:cs="Arial" w:eastAsia="Arial" w:hAnsi="Arial"/>
          <w:sz w:val="22"/>
          <w:szCs w:val="22"/>
          <w:color w:val="auto"/>
        </w:rPr>
      </w:pPr>
    </w:p>
    <w:p>
      <w:pPr>
        <w:ind w:firstLine="656"/>
        <w:spacing w:after="0" w:line="276" w:lineRule="auto"/>
        <w:tabs>
          <w:tab w:leader="none" w:pos="123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and the Guarantors’ obligations in connection therewith; and</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71" w:name="page72"/>
    <w:bookmarkEnd w:id="71"/>
    <w:p>
      <w:pPr>
        <w:jc w:val="both"/>
        <w:ind w:firstLine="648"/>
        <w:spacing w:after="0" w:line="263" w:lineRule="auto"/>
        <w:rPr>
          <w:sz w:val="20"/>
          <w:szCs w:val="20"/>
          <w:color w:val="auto"/>
        </w:rPr>
      </w:pPr>
      <w:r>
        <w:rPr>
          <w:rFonts w:ascii="Arial" w:cs="Arial" w:eastAsia="Arial" w:hAnsi="Arial"/>
          <w:sz w:val="22"/>
          <w:szCs w:val="22"/>
          <w:color w:val="auto"/>
        </w:rPr>
        <w:t>Subject to compliance with this Article 8, the Issuers may exercise their option under this Section 8.02 notwithstanding the prior exercise of its option under Section 8.03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8.03</w:t>
      </w:r>
      <w:r>
        <w:rPr>
          <w:rFonts w:ascii="Arial" w:cs="Arial" w:eastAsia="Arial" w:hAnsi="Arial"/>
          <w:sz w:val="22"/>
          <w:szCs w:val="22"/>
          <w:i w:val="1"/>
          <w:iCs w:val="1"/>
          <w:color w:val="auto"/>
        </w:rPr>
        <w:t>Covenant Defeasance.</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Issuers and any Guarantors shall, subject to the satisfaction of the conditions set forth in Section 8.04 hereof, be released from each of their obligations under the covenants contained in Sections 4.07, 4.08, 4.10 and 4.11 and clause (5) of Section 5.01(a) hereof with respect to the outstanding Notes on and after the date the conditions set forth in Section 8.04 hereof are satisfied (hereinafter, “</w:t>
      </w:r>
      <w:r>
        <w:rPr>
          <w:rFonts w:ascii="Arial" w:cs="Arial" w:eastAsia="Arial" w:hAnsi="Arial"/>
          <w:sz w:val="19"/>
          <w:szCs w:val="19"/>
          <w:i w:val="1"/>
          <w:iCs w:val="1"/>
          <w:u w:val="single" w:color="auto"/>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6.01(g) hereof shall not constitute Events of Default.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Section 8.04</w:t>
      </w:r>
      <w:r>
        <w:rPr>
          <w:rFonts w:ascii="Arial" w:cs="Arial" w:eastAsia="Arial" w:hAnsi="Arial"/>
          <w:sz w:val="22"/>
          <w:szCs w:val="22"/>
          <w:i w:val="1"/>
          <w:iCs w:val="1"/>
          <w:color w:val="auto"/>
        </w:rPr>
        <w:t>Conditions to Legal or Covenant Defeasance.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31" w:lineRule="exact"/>
        <w:rPr>
          <w:sz w:val="20"/>
          <w:szCs w:val="20"/>
          <w:color w:val="auto"/>
        </w:rPr>
      </w:pPr>
    </w:p>
    <w:p>
      <w:pPr>
        <w:jc w:val="both"/>
        <w:ind w:firstLine="656"/>
        <w:spacing w:after="0" w:line="250" w:lineRule="auto"/>
        <w:tabs>
          <w:tab w:leader="none" w:pos="108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188" w:lineRule="exact"/>
        <w:rPr>
          <w:rFonts w:ascii="Arial" w:cs="Arial" w:eastAsia="Arial" w:hAnsi="Arial"/>
          <w:sz w:val="22"/>
          <w:szCs w:val="22"/>
          <w:color w:val="auto"/>
        </w:rPr>
      </w:pPr>
    </w:p>
    <w:p>
      <w:pPr>
        <w:jc w:val="both"/>
        <w:ind w:firstLine="656"/>
        <w:spacing w:after="0" w:line="250" w:lineRule="auto"/>
        <w:tabs>
          <w:tab w:leader="none" w:pos="1161"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date of this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72" w:name="page73"/>
    <w:bookmarkEnd w:id="72"/>
    <w:p>
      <w:pPr>
        <w:spacing w:after="0"/>
        <w:rPr>
          <w:sz w:val="20"/>
          <w:szCs w:val="20"/>
          <w:color w:val="auto"/>
        </w:rPr>
      </w:pPr>
      <w:r>
        <w:rPr>
          <w:rFonts w:ascii="Arial" w:cs="Arial" w:eastAsia="Arial" w:hAnsi="Arial"/>
          <w:sz w:val="19"/>
          <w:szCs w:val="19"/>
          <w:color w:val="auto"/>
        </w:rPr>
        <w:t>same amounts, in the same manner and at the same times as would have been the case if such Legal Defeasance had not occurred;</w:t>
      </w:r>
    </w:p>
    <w:p>
      <w:pPr>
        <w:spacing w:after="0" w:line="254" w:lineRule="exact"/>
        <w:rPr>
          <w:sz w:val="20"/>
          <w:szCs w:val="20"/>
          <w:color w:val="auto"/>
        </w:rPr>
      </w:pPr>
    </w:p>
    <w:p>
      <w:pPr>
        <w:jc w:val="both"/>
        <w:ind w:firstLine="656"/>
        <w:spacing w:after="0" w:line="307" w:lineRule="auto"/>
        <w:tabs>
          <w:tab w:leader="none" w:pos="1109"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38" w:lineRule="exact"/>
        <w:rPr>
          <w:rFonts w:ascii="Arial" w:cs="Arial" w:eastAsia="Arial" w:hAnsi="Arial"/>
          <w:sz w:val="19"/>
          <w:szCs w:val="19"/>
          <w:color w:val="auto"/>
        </w:rPr>
      </w:pPr>
    </w:p>
    <w:p>
      <w:pPr>
        <w:jc w:val="both"/>
        <w:ind w:firstLine="656"/>
        <w:spacing w:after="0" w:line="254" w:lineRule="auto"/>
        <w:tabs>
          <w:tab w:leader="none" w:pos="1161"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either Issuer or any Guarantor is a party or by which any such Person is bound;</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85"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77" w:lineRule="exact"/>
        <w:rPr>
          <w:rFonts w:ascii="Arial" w:cs="Arial" w:eastAsia="Arial" w:hAnsi="Arial"/>
          <w:sz w:val="22"/>
          <w:szCs w:val="22"/>
          <w:color w:val="auto"/>
        </w:rPr>
      </w:pPr>
    </w:p>
    <w:p>
      <w:pPr>
        <w:ind w:firstLine="656"/>
        <w:spacing w:after="0" w:line="276" w:lineRule="auto"/>
        <w:tabs>
          <w:tab w:leader="none" w:pos="1229"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8.05</w:t>
      </w:r>
      <w:r>
        <w:rPr>
          <w:rFonts w:ascii="Arial" w:cs="Arial" w:eastAsia="Arial" w:hAnsi="Arial"/>
          <w:sz w:val="22"/>
          <w:szCs w:val="22"/>
          <w:i w:val="1"/>
          <w:iCs w:val="1"/>
          <w:color w:val="auto"/>
        </w:rPr>
        <w:t>Deposited Money and Government Securities to be Held in Trust; Other Miscellaneous Provisions.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21"/>
          <w:szCs w:val="21"/>
          <w:u w:val="single" w:color="auto"/>
          <w:color w:val="auto"/>
        </w:rPr>
        <w:t>Trustee</w:t>
      </w:r>
      <w:r>
        <w:rPr>
          <w:rFonts w:ascii="Arial" w:cs="Arial" w:eastAsia="Arial" w:hAnsi="Arial"/>
          <w:sz w:val="21"/>
          <w:szCs w:val="21"/>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22"/>
          <w:szCs w:val="22"/>
          <w:color w:val="auto"/>
        </w:rPr>
        <w:t>and to become due thereon in respect of principal, premium, if any, and interest, but such money need not be segregated from other funds except to the extent required by law.</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Section 8.06</w:t>
      </w:r>
      <w:r>
        <w:rPr>
          <w:rFonts w:ascii="Arial" w:cs="Arial" w:eastAsia="Arial" w:hAnsi="Arial"/>
          <w:sz w:val="22"/>
          <w:szCs w:val="22"/>
          <w:i w:val="1"/>
          <w:iCs w:val="1"/>
          <w:color w:val="auto"/>
        </w:rPr>
        <w:t>Repayment to Issuers.</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Any money deposited with the Trustee or any Paying Agent, or then held by the Issuers, in trust for the payment of the principal of, premium, if any, or interest on any Note and remaining unclaimed for two years after such principal, premium,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8.07</w:t>
      </w:r>
      <w:r>
        <w:rPr>
          <w:rFonts w:ascii="Arial" w:cs="Arial" w:eastAsia="Arial" w:hAnsi="Arial"/>
          <w:sz w:val="22"/>
          <w:szCs w:val="22"/>
          <w:i w:val="1"/>
          <w:iCs w:val="1"/>
          <w:color w:val="auto"/>
        </w:rPr>
        <w:t>Reinstatement.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the Note Guarantee, the Pledge Agreement and the Intercreditor Agreement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Issuers make any payment of principal of, premium, if any, or interest on any Note following the reinstatement of its obligations, the Issuers shall subrogated to the rights of the Holders of such Notes to receive such payment from the money held by the Trustee or Paying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74" w:name="page75"/>
    <w:bookmarkEnd w:id="74"/>
    <w:p>
      <w:pPr>
        <w:ind w:left="500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AMENDMENT, SUPPLEMENT AND WAIVER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9.01</w:t>
      </w:r>
      <w:r>
        <w:rPr>
          <w:rFonts w:ascii="Arial" w:cs="Arial" w:eastAsia="Arial" w:hAnsi="Arial"/>
          <w:sz w:val="22"/>
          <w:szCs w:val="22"/>
          <w:i w:val="1"/>
          <w:iCs w:val="1"/>
          <w:color w:val="auto"/>
        </w:rPr>
        <w:t>Without Consent of Holders of Notes.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Section 9.02 of this Indenture, without the consent of any Holder, the Issuers, the Guarantors and the Trustee may amend or supplement this Indenture, the Notes or the Note Guarantees or, subject to the terms of the Intercreditor Agreement, the Pledge Agreement to:</w:t>
      </w:r>
    </w:p>
    <w:p>
      <w:pPr>
        <w:spacing w:after="0" w:line="186"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provide for uncertificated Notes in addition to or in place of certificated Notes;</w:t>
      </w:r>
    </w:p>
    <w:p>
      <w:pPr>
        <w:spacing w:after="0" w:line="233" w:lineRule="exact"/>
        <w:rPr>
          <w:rFonts w:ascii="Arial" w:cs="Arial" w:eastAsia="Arial" w:hAnsi="Arial"/>
          <w:sz w:val="22"/>
          <w:szCs w:val="22"/>
          <w:color w:val="auto"/>
        </w:rPr>
      </w:pPr>
    </w:p>
    <w:p>
      <w:pPr>
        <w:jc w:val="both"/>
        <w:ind w:firstLine="656"/>
        <w:spacing w:after="0" w:line="278" w:lineRule="auto"/>
        <w:tabs>
          <w:tab w:leader="none" w:pos="1217" w:val="left"/>
        </w:tabs>
        <w:numPr>
          <w:ilvl w:val="0"/>
          <w:numId w:val="97"/>
        </w:numPr>
        <w:rPr>
          <w:rFonts w:ascii="Arial" w:cs="Arial" w:eastAsia="Arial" w:hAnsi="Arial"/>
          <w:sz w:val="21"/>
          <w:szCs w:val="21"/>
          <w:color w:val="auto"/>
        </w:rPr>
      </w:pPr>
      <w:r>
        <w:rPr>
          <w:rFonts w:ascii="Arial" w:cs="Arial" w:eastAsia="Arial" w:hAnsi="Arial"/>
          <w:sz w:val="21"/>
          <w:szCs w:val="21"/>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the Issuers’ or such Guarantor’s assets pursuant to Article 5 or Article 11 hereof;</w:t>
      </w:r>
    </w:p>
    <w:p>
      <w:pPr>
        <w:spacing w:after="0" w:line="160" w:lineRule="exact"/>
        <w:rPr>
          <w:rFonts w:ascii="Arial" w:cs="Arial" w:eastAsia="Arial" w:hAnsi="Arial"/>
          <w:sz w:val="21"/>
          <w:szCs w:val="21"/>
          <w:color w:val="auto"/>
        </w:rPr>
      </w:pPr>
    </w:p>
    <w:p>
      <w:pPr>
        <w:ind w:firstLine="656"/>
        <w:spacing w:after="0" w:line="276" w:lineRule="auto"/>
        <w:tabs>
          <w:tab w:leader="none" w:pos="1161" w:val="left"/>
        </w:tabs>
        <w:numPr>
          <w:ilvl w:val="0"/>
          <w:numId w:val="97"/>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160" w:lineRule="exact"/>
        <w:rPr>
          <w:rFonts w:ascii="Arial" w:cs="Arial" w:eastAsia="Arial" w:hAnsi="Arial"/>
          <w:sz w:val="22"/>
          <w:szCs w:val="22"/>
          <w:color w:val="auto"/>
        </w:rPr>
      </w:pPr>
    </w:p>
    <w:p>
      <w:pPr>
        <w:jc w:val="both"/>
        <w:ind w:firstLine="656"/>
        <w:spacing w:after="0" w:line="270" w:lineRule="auto"/>
        <w:tabs>
          <w:tab w:leader="none" w:pos="1149" w:val="left"/>
        </w:tabs>
        <w:numPr>
          <w:ilvl w:val="0"/>
          <w:numId w:val="97"/>
        </w:numPr>
        <w:rPr>
          <w:rFonts w:ascii="Arial" w:cs="Arial" w:eastAsia="Arial" w:hAnsi="Arial"/>
          <w:sz w:val="21"/>
          <w:szCs w:val="21"/>
          <w:color w:val="auto"/>
        </w:rPr>
      </w:pPr>
      <w:r>
        <w:rPr>
          <w:rFonts w:ascii="Arial" w:cs="Arial" w:eastAsia="Arial" w:hAnsi="Arial"/>
          <w:sz w:val="21"/>
          <w:szCs w:val="21"/>
          <w:color w:val="auto"/>
        </w:rPr>
        <w:t>to conform the text of the Indenture, the Notes or the Note Guarantees to any provision of the “Description of the Notes” in the Issuers’ Offering Memorandum, dated as of February 11, 2015, relating to the offering of the Initial Notes, to the extent that such provision in the “Description of the Notes” was intended to be a verbatim recitation of a provision of this Indenture, the Notes or the Note Guarantees, which intent may be evidenced by an Officers’ Certificate to that effect;</w:t>
      </w:r>
    </w:p>
    <w:p>
      <w:pPr>
        <w:spacing w:after="0" w:line="169" w:lineRule="exact"/>
        <w:rPr>
          <w:rFonts w:ascii="Arial" w:cs="Arial" w:eastAsia="Arial" w:hAnsi="Arial"/>
          <w:sz w:val="21"/>
          <w:szCs w:val="21"/>
          <w:color w:val="auto"/>
        </w:rPr>
      </w:pPr>
    </w:p>
    <w:p>
      <w:pPr>
        <w:ind w:right="20" w:firstLine="656"/>
        <w:spacing w:after="0" w:line="276" w:lineRule="auto"/>
        <w:tabs>
          <w:tab w:leader="none" w:pos="1058"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allow any Guarantor to execute a supplemental indenture and/or a Note Guarantee with respect to the Notes;</w:t>
      </w:r>
    </w:p>
    <w:p>
      <w:pPr>
        <w:spacing w:after="0" w:line="244" w:lineRule="exact"/>
        <w:rPr>
          <w:rFonts w:ascii="Arial" w:cs="Arial" w:eastAsia="Arial" w:hAnsi="Arial"/>
          <w:sz w:val="21"/>
          <w:szCs w:val="21"/>
          <w:color w:val="auto"/>
        </w:rPr>
      </w:pPr>
    </w:p>
    <w:p>
      <w:pPr>
        <w:ind w:left="1080" w:hanging="424"/>
        <w:spacing w:after="0"/>
        <w:tabs>
          <w:tab w:leader="none" w:pos="10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enter into additional or supplemental pledge agreements or an intercreditor agreement with respect thereto; or</w:t>
      </w:r>
    </w:p>
    <w:p>
      <w:pPr>
        <w:spacing w:after="0" w:line="244" w:lineRule="exact"/>
        <w:rPr>
          <w:rFonts w:ascii="Arial" w:cs="Arial" w:eastAsia="Arial" w:hAnsi="Arial"/>
          <w:sz w:val="21"/>
          <w:szCs w:val="21"/>
          <w:color w:val="auto"/>
        </w:rPr>
      </w:pPr>
    </w:p>
    <w:p>
      <w:pPr>
        <w:ind w:left="1040" w:hanging="384"/>
        <w:spacing w:after="0"/>
        <w:tabs>
          <w:tab w:leader="none" w:pos="10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to provide for the Notes to become secured.</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Upon request of the Issuers, the Trustee will enter into amendments, restatements and modifications of the Pledge Agreement and Intercreditor Agreement from time to time in connection with the grant of any Liens permitted under this Indenture; provided, however, that any such amended, restated or modified Pledge Agreement and Intercreditor Agreement shall contain terms no less favorable to the Trustee or the Holders of the Notes than the terms contained in the Pledge Agreement and Intercreditor Agreement being amended, restated or modified (except as expressly provided for in this Indenture); provided, further, that any such amendment, restatement or modification does not otherwise adversely affect the rights or remedies of the Trustee or the Holders of the Notes in any material respect (except as expressly provided for in this Indenture).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25" w:right="239" w:bottom="1440" w:gutter="0" w:footer="0" w:header="0"/>
        </w:sectPr>
      </w:pPr>
    </w:p>
    <w:bookmarkStart w:id="75" w:name="page76"/>
    <w:bookmarkEnd w:id="75"/>
    <w:p>
      <w:pPr>
        <w:jc w:val="both"/>
        <w:ind w:firstLine="648"/>
        <w:spacing w:after="0" w:line="261" w:lineRule="auto"/>
        <w:rPr>
          <w:sz w:val="20"/>
          <w:szCs w:val="20"/>
          <w:color w:val="auto"/>
        </w:rPr>
      </w:pPr>
      <w:r>
        <w:rPr>
          <w:rFonts w:ascii="Arial" w:cs="Arial" w:eastAsia="Arial" w:hAnsi="Arial"/>
          <w:sz w:val="21"/>
          <w:szCs w:val="21"/>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Section 9.02</w:t>
      </w:r>
      <w:r>
        <w:rPr>
          <w:rFonts w:ascii="Arial" w:cs="Arial" w:eastAsia="Arial" w:hAnsi="Arial"/>
          <w:sz w:val="22"/>
          <w:szCs w:val="22"/>
          <w:i w:val="1"/>
          <w:iCs w:val="1"/>
          <w:color w:val="auto"/>
        </w:rPr>
        <w:t>With Consent of Holders of Notes.</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Except as provided below in this Section 9.02, the Issuers, the Guarantors and the Trustee may amend or supplement this Indenture (including, without limitation, Section 4.11 hereof), the Notes, the Note Guarantees and, subject to the terms of the Intercreditor Agreement and this Indenture, the Pledge Agreement,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the Note Guarantees or, subject to the terms of the Intercreditor Agreement and this Indenture, the Pledge Agreement,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9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 6.07 hereof, the Holders of a majority in aggregate principal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76" w:name="page77"/>
    <w:bookmarkEnd w:id="76"/>
    <w:p>
      <w:pPr>
        <w:jc w:val="both"/>
        <w:spacing w:after="0" w:line="250" w:lineRule="auto"/>
        <w:rPr>
          <w:sz w:val="20"/>
          <w:szCs w:val="20"/>
          <w:color w:val="auto"/>
        </w:rPr>
      </w:pPr>
      <w:r>
        <w:rPr>
          <w:rFonts w:ascii="Arial" w:cs="Arial" w:eastAsia="Arial" w:hAnsi="Arial"/>
          <w:sz w:val="22"/>
          <w:szCs w:val="22"/>
          <w:color w:val="auto"/>
        </w:rPr>
        <w:t>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an amendment, supplement or waiver under this Section 9.02 may not (with respect to any Notes held by a non-consenting Holder):</w:t>
      </w:r>
    </w:p>
    <w:p>
      <w:pPr>
        <w:spacing w:after="0" w:line="188"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44" w:lineRule="exact"/>
        <w:rPr>
          <w:rFonts w:ascii="Arial" w:cs="Arial" w:eastAsia="Arial" w:hAnsi="Arial"/>
          <w:sz w:val="21"/>
          <w:szCs w:val="21"/>
          <w:color w:val="auto"/>
        </w:rPr>
      </w:pPr>
    </w:p>
    <w:p>
      <w:pPr>
        <w:ind w:firstLine="656"/>
        <w:spacing w:after="0" w:line="276" w:lineRule="auto"/>
        <w:tabs>
          <w:tab w:leader="none" w:pos="1094" w:val="left"/>
        </w:tabs>
        <w:numPr>
          <w:ilvl w:val="0"/>
          <w:numId w:val="98"/>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4.11 hereof;</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33" w:lineRule="exact"/>
        <w:rPr>
          <w:rFonts w:ascii="Arial" w:cs="Arial" w:eastAsia="Arial" w:hAnsi="Arial"/>
          <w:sz w:val="22"/>
          <w:szCs w:val="22"/>
          <w:color w:val="auto"/>
        </w:rPr>
      </w:pPr>
    </w:p>
    <w:p>
      <w:pPr>
        <w:ind w:firstLine="656"/>
        <w:spacing w:after="0" w:line="276" w:lineRule="auto"/>
        <w:tabs>
          <w:tab w:leader="none" w:pos="1125" w:val="left"/>
        </w:tabs>
        <w:numPr>
          <w:ilvl w:val="0"/>
          <w:numId w:val="98"/>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waive a redemption payment with respect to any Note (other than a payment required by Sections 4.11 hereof);</w:t>
      </w:r>
    </w:p>
    <w:p>
      <w:pPr>
        <w:spacing w:after="0" w:line="244" w:lineRule="exact"/>
        <w:rPr>
          <w:rFonts w:ascii="Arial" w:cs="Arial" w:eastAsia="Arial" w:hAnsi="Arial"/>
          <w:sz w:val="21"/>
          <w:szCs w:val="21"/>
          <w:color w:val="auto"/>
        </w:rPr>
      </w:pPr>
    </w:p>
    <w:p>
      <w:pPr>
        <w:jc w:val="both"/>
        <w:ind w:firstLine="656"/>
        <w:spacing w:after="0" w:line="260" w:lineRule="auto"/>
        <w:tabs>
          <w:tab w:leader="none" w:pos="1107" w:val="left"/>
        </w:tabs>
        <w:numPr>
          <w:ilvl w:val="0"/>
          <w:numId w:val="98"/>
        </w:numPr>
        <w:rPr>
          <w:rFonts w:ascii="Arial" w:cs="Arial" w:eastAsia="Arial" w:hAnsi="Arial"/>
          <w:sz w:val="22"/>
          <w:szCs w:val="22"/>
          <w:color w:val="auto"/>
        </w:rPr>
      </w:pPr>
      <w:r>
        <w:rPr>
          <w:rFonts w:ascii="Arial" w:cs="Arial" w:eastAsia="Arial" w:hAnsi="Arial"/>
          <w:sz w:val="22"/>
          <w:szCs w:val="22"/>
          <w:color w:val="auto"/>
        </w:rPr>
        <w:t>amend or modify any Note Guarantee in a manner that would adversely affect the holders of the Notes or release any Guarantor from any of its obligations under its Note Guarantee or this Indenture (except in accordance with the terms of this Indenture);</w:t>
      </w:r>
    </w:p>
    <w:p>
      <w:pPr>
        <w:spacing w:after="0" w:line="177" w:lineRule="exact"/>
        <w:rPr>
          <w:rFonts w:ascii="Arial" w:cs="Arial" w:eastAsia="Arial" w:hAnsi="Arial"/>
          <w:sz w:val="22"/>
          <w:szCs w:val="22"/>
          <w:color w:val="auto"/>
        </w:rPr>
      </w:pPr>
    </w:p>
    <w:p>
      <w:pPr>
        <w:ind w:firstLine="656"/>
        <w:spacing w:after="0" w:line="276" w:lineRule="auto"/>
        <w:tabs>
          <w:tab w:leader="none" w:pos="1046" w:val="left"/>
        </w:tabs>
        <w:numPr>
          <w:ilvl w:val="0"/>
          <w:numId w:val="98"/>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in each case, except in accordance with the provisions of this Indenture, the Pledge Agreement and the Intercreditor Agreement;</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amend the provisions of Section 10.03 hereof; or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9.03</w:t>
      </w:r>
      <w:r>
        <w:rPr>
          <w:rFonts w:ascii="Arial" w:cs="Arial" w:eastAsia="Arial" w:hAnsi="Arial"/>
          <w:sz w:val="22"/>
          <w:szCs w:val="22"/>
          <w:i w:val="1"/>
          <w:iCs w:val="1"/>
          <w:color w:val="auto"/>
        </w:rPr>
        <w:t>Revocation and Effect of Consents.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22"/>
          <w:szCs w:val="22"/>
          <w:color w:val="auto"/>
        </w:rPr>
        <w:t>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9.04</w:t>
      </w:r>
      <w:r>
        <w:rPr>
          <w:rFonts w:ascii="Arial" w:cs="Arial" w:eastAsia="Arial" w:hAnsi="Arial"/>
          <w:sz w:val="22"/>
          <w:szCs w:val="22"/>
          <w:i w:val="1"/>
          <w:iCs w:val="1"/>
          <w:color w:val="auto"/>
        </w:rPr>
        <w:t>Notation on or Exchange of Notes.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9.05</w:t>
      </w:r>
      <w:r>
        <w:rPr>
          <w:rFonts w:ascii="Arial" w:cs="Arial" w:eastAsia="Arial" w:hAnsi="Arial"/>
          <w:sz w:val="22"/>
          <w:szCs w:val="22"/>
          <w:i w:val="1"/>
          <w:iCs w:val="1"/>
          <w:color w:val="auto"/>
        </w:rPr>
        <w:t>Trustee to Sign Amendments, etc.</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14.02 hereof, an Officers’ Certificate and an Opinion of Counsel stating that the execution of such amended or supplemental indenture is authorized or permitted by this Indenture.</w:t>
      </w:r>
    </w:p>
    <w:p>
      <w:pPr>
        <w:spacing w:after="0" w:line="144"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COLLATERAL AND SECURITY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10.01</w:t>
      </w:r>
      <w:r>
        <w:rPr>
          <w:rFonts w:ascii="Arial" w:cs="Arial" w:eastAsia="Arial" w:hAnsi="Arial"/>
          <w:sz w:val="22"/>
          <w:szCs w:val="22"/>
          <w:i w:val="1"/>
          <w:iCs w:val="1"/>
          <w:color w:val="auto"/>
        </w:rPr>
        <w:t>Collateral Documents.</w:t>
      </w:r>
    </w:p>
    <w:p>
      <w:pPr>
        <w:spacing w:after="0" w:line="220" w:lineRule="exact"/>
        <w:rPr>
          <w:sz w:val="20"/>
          <w:szCs w:val="20"/>
          <w:color w:val="auto"/>
        </w:rPr>
      </w:pPr>
    </w:p>
    <w:p>
      <w:pPr>
        <w:jc w:val="both"/>
        <w:ind w:firstLine="656"/>
        <w:spacing w:after="0" w:line="289" w:lineRule="auto"/>
        <w:tabs>
          <w:tab w:leader="none" w:pos="1068"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due and punctual payment of the principal of and interest and premium on the Notes when and as the same shall be due and payable, whether on an interest payment date, at maturity, by acceleration, repurchase, redemption or otherwise, and interest on the overdue principal of and interest and premium on the Notes and performance of all other obligations of the Issuers and the Guarantors to the Holders of Notes or the Trustee under this Indenture and the Notes, according to the terms hereunder or thereunder, are secured as provided in the Collateral Documents which have been entered into prior to or simultaneously with the execution of this Indenture. Each Holder of Notes, by its acceptance thereof, consents and agrees to the terms of the Collateral Documents (including, without limitation, the provisions providing for foreclosure and release of Collateral and limitations on exercise of rights and remedies) as the same may be in effect or may be amended from time to time in accordance with the terms of this Indenture and the Collateral Documents and authorizes and directs the Trustee and the Collateral Agent, as applicable, to enter into the Collateral Documents and to perform their respective obligations and exercise their respective rights thereunder in accordance therewith. The Issuers shall deliver or cause to be delivered to the Trustee copies of all documents delivered to the Collateral Agent pursuant to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78" w:name="page79"/>
    <w:bookmarkEnd w:id="78"/>
    <w:p>
      <w:pPr>
        <w:jc w:val="both"/>
        <w:spacing w:after="0" w:line="286" w:lineRule="auto"/>
        <w:rPr>
          <w:sz w:val="20"/>
          <w:szCs w:val="20"/>
          <w:color w:val="auto"/>
        </w:rPr>
      </w:pPr>
      <w:r>
        <w:rPr>
          <w:rFonts w:ascii="Arial" w:cs="Arial" w:eastAsia="Arial" w:hAnsi="Arial"/>
          <w:sz w:val="19"/>
          <w:szCs w:val="19"/>
          <w:color w:val="auto"/>
        </w:rPr>
        <w:t>Collateral Documents and the Issuers shall do or cause to be done all such acts and things as may be necessary or proper, or as may be required by the provisions of the Collateral Documents, to assure and confirm to the Trustee the security interests in the Collateral contemplated hereby, by the Collateral Documents or any part thereof, as from time to time constituted, so as to render the same available (subject to the terms of the Intercreditor Agreement) for the security and benefit of this Indenture, the Notes and the Note Guarantees to the extent secured by the Collateral Documents, according to the intent and purposes therein expressed. Subject to the terms of the Intercreditor Agreement, the Issuers shall take, upon request of the Trustee, any and all actions reasonably required to cause the Collateral Documents to create and maintain, as security for the Obligations of the Issuers hereunder and of the Guarantors under the Note Guarantees, a valid and enforceable perfected Lien of the priority required by the Collateral Documents in and on all the Collateral, in favor of the Collateral Agent for the benefit of itself, the Trustee and the Holders of Notes, superior to and prior to the rights of all third Persons, in each case, subject to Liens permitted under this Indenture and the terms of the Intercreditor Agreement. For the avoidance of doubt, the obligations of the Issuers and the Guarantors under this Indenture and the Notes are not secured by any deeds of trust, security agreements, control agreements or any other agreements entered into prior to the date hereof to secure the the 7⅞% 2020 Notes, the 7¾% 2020 Notes, the 2022 Notes or the 2023 Notes.</w:t>
      </w:r>
    </w:p>
    <w:p>
      <w:pPr>
        <w:spacing w:after="0" w:line="200" w:lineRule="exact"/>
        <w:rPr>
          <w:sz w:val="20"/>
          <w:szCs w:val="20"/>
          <w:color w:val="auto"/>
        </w:rPr>
      </w:pPr>
    </w:p>
    <w:p>
      <w:pPr>
        <w:spacing w:after="0" w:line="224" w:lineRule="exact"/>
        <w:rPr>
          <w:sz w:val="20"/>
          <w:szCs w:val="20"/>
          <w:color w:val="auto"/>
        </w:rPr>
      </w:pPr>
    </w:p>
    <w:p>
      <w:pPr>
        <w:jc w:val="both"/>
        <w:ind w:firstLine="656"/>
        <w:spacing w:after="0" w:line="286" w:lineRule="auto"/>
        <w:tabs>
          <w:tab w:leader="none" w:pos="112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each Holder by accepting a Note agrees that any other document or instrument pursuant to which the Issuers or any Affiliate thereof from time to time grants a Lien to the Trustee or the Holders or an agent or representative on their behalf to secure their obligations hereunder (collectively, the “</w:t>
      </w:r>
      <w:r>
        <w:rPr>
          <w:rFonts w:ascii="Arial" w:cs="Arial" w:eastAsia="Arial" w:hAnsi="Arial"/>
          <w:sz w:val="19"/>
          <w:szCs w:val="19"/>
          <w:i w:val="1"/>
          <w:iCs w:val="1"/>
          <w:u w:val="single" w:color="auto"/>
          <w:color w:val="auto"/>
        </w:rPr>
        <w:t>Security Documents</w:t>
      </w:r>
      <w:r>
        <w:rPr>
          <w:rFonts w:ascii="Arial" w:cs="Arial" w:eastAsia="Arial" w:hAnsi="Arial"/>
          <w:sz w:val="19"/>
          <w:szCs w:val="19"/>
          <w:color w:val="auto"/>
        </w:rPr>
        <w:t>”) are “Shared Security Documents,” and that the Trustee is authorized and directed by each Holder to treat and the Trustee and each such Holder agrees that it will treat the same as “Shared Security Documents” under and as defined in the Intercreditor Agreement and subject to the terms thereof for all purposes, including without limitation, for purposes of amending, modifying, varying or waiving any provision thereof, releasing any collateral thereunder, exercising any rights or remedies thereunder, directing the Collateral Agent thereunder to take any action thereunder or with respect thereto, removing the Collateral Agent and for purposes of sharing the proceeds of the collateral thereunder with the other First Lien Secured Parties (as defined in the Intercreditor Agreement). In furtherance of the foregoing, the Trustee shall (and is hereby authorized to) take or instruct the Collateral Agent thereunder to take such actions under the Security Documents or related thereto as requested by the Required Secured Parties (as defined in the Intercreditor Agreement) from time to time, and notwithstanding any provision in this Indenture to the contrary, unless all debt secured by the Security Documents has been Discharged, the Trustee will not release or instruct the Collateral Agent thereunder to release any Collateral unless such release is not prohibited by the Intercreditor Agreement or such Collateral has been released from the Lien securing the obligations owed to all other First Lien Secured Parties. The Holders hereby designate and direct the Trustee to designate, and the Trustee hereby designates Deutsche Bank Trust Company Americas as its collateral agent to act as specified in and under the Intercreditor Agreement, this Indenture, the Security Documents and any other such documents or instruments entered into by Deutsche Bank Trust Company Americas (and its successors) as the collateral agent for the benefit of the Trustee and the Holders. The Issuers and the Guarantors hereby consent to the foregoing provisions.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Section 10.02</w:t>
      </w:r>
      <w:r>
        <w:rPr>
          <w:rFonts w:ascii="Arial" w:cs="Arial" w:eastAsia="Arial" w:hAnsi="Arial"/>
          <w:sz w:val="22"/>
          <w:szCs w:val="22"/>
          <w:i w:val="1"/>
          <w:iCs w:val="1"/>
          <w:color w:val="auto"/>
        </w:rPr>
        <w:t>Recording and Opinions.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31" w:right="23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22"/>
          <w:szCs w:val="22"/>
          <w:color w:val="auto"/>
        </w:rPr>
        <w:t>The Issuers shall furnish to the Trustee simultaneously with the execution and delivery of this Indenture an Opinion of Counsel either:</w:t>
      </w:r>
    </w:p>
    <w:p>
      <w:pPr>
        <w:spacing w:after="0" w:line="175" w:lineRule="exact"/>
        <w:rPr>
          <w:sz w:val="20"/>
          <w:szCs w:val="20"/>
          <w:color w:val="auto"/>
        </w:rPr>
      </w:pPr>
    </w:p>
    <w:p>
      <w:pPr>
        <w:jc w:val="both"/>
        <w:ind w:firstLine="656"/>
        <w:spacing w:after="0" w:line="320" w:lineRule="auto"/>
        <w:tabs>
          <w:tab w:leader="none" w:pos="110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stating that, in the opinion of such counsel, all action has been taken with respect to the recording, registering and/or filing of any financing statements or other instruments necessary to make effective the Lien intended to be created by the Collateral Documents, and reciting with respect to the security interests in the Collateral, the details of such action; or</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stating that, in the opinion of such counsel, no such action is necessary to make such Lien effective.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10.03</w:t>
      </w:r>
      <w:r>
        <w:rPr>
          <w:rFonts w:ascii="Arial" w:cs="Arial" w:eastAsia="Arial" w:hAnsi="Arial"/>
          <w:sz w:val="22"/>
          <w:szCs w:val="22"/>
          <w:i w:val="1"/>
          <w:iCs w:val="1"/>
          <w:color w:val="auto"/>
        </w:rPr>
        <w:t>Release of Collateral.</w:t>
      </w:r>
    </w:p>
    <w:p>
      <w:pPr>
        <w:spacing w:after="0" w:line="220" w:lineRule="exact"/>
        <w:rPr>
          <w:sz w:val="20"/>
          <w:szCs w:val="20"/>
          <w:color w:val="auto"/>
        </w:rPr>
      </w:pPr>
    </w:p>
    <w:p>
      <w:pPr>
        <w:jc w:val="both"/>
        <w:ind w:firstLine="656"/>
        <w:spacing w:after="0" w:line="259" w:lineRule="auto"/>
        <w:tabs>
          <w:tab w:leader="none" w:pos="116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Subject to Sections 9.02 and 10.01(b), the other provisions of this Section 10.03 and the terms of the Intercreditor Agreement and the other Collateral Documents,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Subject to Sections 9.02 and 10.01(b), Collateral may be released from the Liens and security interests created by the Collateral Documents at any time or from time to time in accordance with the provisions of the Collateral Documents and as provided in this Section 10.03. Subject to the provisions of the Intercreditor Agreement and this Indenture, upon the request of the Issuers pursuant to an Officers’ Certificate certifying that all terms for release and conditions precedent under this Indenture and under any applicable Collateral Document have been met and specifying (1) the identity of the Collateral to be released and (2) the provisions of this Indenture or the applicable Collateral Document which authorize such release, the Trustee shall release the Liens in favor of the Trustee (at the sole cost and expense of the Issuers) on:</w:t>
      </w:r>
    </w:p>
    <w:p>
      <w:pPr>
        <w:spacing w:after="0" w:line="185" w:lineRule="exact"/>
        <w:rPr>
          <w:rFonts w:ascii="Arial" w:cs="Arial" w:eastAsia="Arial" w:hAnsi="Arial"/>
          <w:sz w:val="21"/>
          <w:szCs w:val="21"/>
          <w:color w:val="auto"/>
        </w:rPr>
      </w:pPr>
    </w:p>
    <w:p>
      <w:pPr>
        <w:ind w:left="660" w:firstLine="645"/>
        <w:spacing w:after="0" w:line="358" w:lineRule="auto"/>
        <w:tabs>
          <w:tab w:leader="none" w:pos="174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all Collateral (except as provided in Articles 8 and 12 of this Indenture) upon Legal Defeasance as provided for in Section 8.02 hereof or satisfaction and discharge of this Indenture as provided for Section 12.01 hereof;</w:t>
      </w:r>
    </w:p>
    <w:p>
      <w:pPr>
        <w:spacing w:after="0" w:line="90" w:lineRule="exact"/>
        <w:rPr>
          <w:rFonts w:ascii="Arial" w:cs="Arial" w:eastAsia="Arial" w:hAnsi="Arial"/>
          <w:sz w:val="19"/>
          <w:szCs w:val="19"/>
          <w:color w:val="auto"/>
        </w:rPr>
      </w:pPr>
    </w:p>
    <w:p>
      <w:pPr>
        <w:ind w:left="660" w:right="20" w:firstLine="645"/>
        <w:spacing w:after="0" w:line="301" w:lineRule="auto"/>
        <w:tabs>
          <w:tab w:leader="none" w:pos="1781" w:val="left"/>
        </w:tabs>
        <w:numPr>
          <w:ilvl w:val="1"/>
          <w:numId w:val="102"/>
        </w:numPr>
        <w:rPr>
          <w:rFonts w:ascii="Arial" w:cs="Arial" w:eastAsia="Arial" w:hAnsi="Arial"/>
          <w:sz w:val="21"/>
          <w:szCs w:val="21"/>
          <w:color w:val="auto"/>
        </w:rPr>
      </w:pPr>
      <w:r>
        <w:rPr>
          <w:rFonts w:ascii="Arial" w:cs="Arial" w:eastAsia="Arial" w:hAnsi="Arial"/>
          <w:sz w:val="21"/>
          <w:szCs w:val="21"/>
          <w:color w:val="auto"/>
        </w:rPr>
        <w:t>all Collateral upon the payment in full in cash in immediately available funds of all Obligations of the Issuers and the Guarantors under this Indenture, the Notes, the Note Guarantees and the Collateral Documents;</w:t>
      </w:r>
    </w:p>
    <w:p>
      <w:pPr>
        <w:spacing w:after="0" w:line="137" w:lineRule="exact"/>
        <w:rPr>
          <w:rFonts w:ascii="Arial" w:cs="Arial" w:eastAsia="Arial" w:hAnsi="Arial"/>
          <w:sz w:val="21"/>
          <w:szCs w:val="21"/>
          <w:color w:val="auto"/>
        </w:rPr>
      </w:pPr>
    </w:p>
    <w:p>
      <w:pPr>
        <w:ind w:left="660" w:firstLine="645"/>
        <w:spacing w:after="0" w:line="276" w:lineRule="auto"/>
        <w:tabs>
          <w:tab w:leader="none" w:pos="174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all Collateral on any date following the date of this Indenture upon which Wynn Resorts receives an Investment Grade rating from one or more Rating Agencies; and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Released Assets.</w:t>
      </w:r>
    </w:p>
    <w:p>
      <w:pPr>
        <w:spacing w:after="0" w:line="233" w:lineRule="exact"/>
        <w:rPr>
          <w:rFonts w:ascii="Arial" w:cs="Arial" w:eastAsia="Arial" w:hAnsi="Arial"/>
          <w:sz w:val="22"/>
          <w:szCs w:val="22"/>
          <w:color w:val="auto"/>
        </w:rPr>
      </w:pPr>
    </w:p>
    <w:p>
      <w:pPr>
        <w:jc w:val="both"/>
        <w:ind w:firstLine="656"/>
        <w:spacing w:after="0" w:line="278" w:lineRule="auto"/>
        <w:tabs>
          <w:tab w:leader="none" w:pos="122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Upon receipt by the Trustee of the applicable Officers’ Certificate required to be delivered pursuant to Section 10.03(a), the Trustee shall execute, deliver or acknowledge any necessary or proper instruments of termination, satisfaction or release to evidence the release of any Collateral permitted to be released pursuant to this Section 10.03.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80" w:name="page81"/>
    <w:bookmarkEnd w:id="80"/>
    <w:p>
      <w:pPr>
        <w:jc w:val="both"/>
        <w:ind w:firstLine="656"/>
        <w:spacing w:after="0" w:line="320" w:lineRule="auto"/>
        <w:tabs>
          <w:tab w:leader="none" w:pos="109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Indenture or the Collateral Documents, no Collateral may be released from the Lien and security interests created by the Collateral Documents unless the Officers’ Certificate required by this Section 10.03 has been delivered to the Trustee and any applicable provisions of the Intercreditor Agreement have been complied with.</w:t>
      </w:r>
    </w:p>
    <w:p>
      <w:pPr>
        <w:spacing w:after="0" w:line="125" w:lineRule="exact"/>
        <w:rPr>
          <w:rFonts w:ascii="Arial" w:cs="Arial" w:eastAsia="Arial" w:hAnsi="Arial"/>
          <w:sz w:val="19"/>
          <w:szCs w:val="19"/>
          <w:color w:val="auto"/>
        </w:rPr>
      </w:pPr>
    </w:p>
    <w:p>
      <w:pPr>
        <w:jc w:val="both"/>
        <w:ind w:firstLine="656"/>
        <w:spacing w:after="0" w:line="260" w:lineRule="auto"/>
        <w:tabs>
          <w:tab w:leader="none" w:pos="105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At any time when a Default or Event of Default has occurred and is continuing and the maturity of the Notes has been accelerated (whether by declaration or otherwise), no release of Collateral pursuant to the provisions of this Section 10.03 or the Collateral Documents shall be effective as against the Holders of Notes.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10.04</w:t>
      </w:r>
      <w:r>
        <w:rPr>
          <w:rFonts w:ascii="Arial" w:cs="Arial" w:eastAsia="Arial" w:hAnsi="Arial"/>
          <w:sz w:val="22"/>
          <w:szCs w:val="22"/>
          <w:i w:val="1"/>
          <w:iCs w:val="1"/>
          <w:color w:val="auto"/>
        </w:rPr>
        <w:t>Authorization of Actions to Be Taken by the Trustee Under the Collateral Documents.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Subject to the provisions of Sections 7.01, 7.02 and 10.01(b) hereof, the Intercreditor Agreement and the Collateral Documents, the Trustee may, in its sole discretion and without the consent of the Holders of Notes, direct, on behalf of the Holders of Notes, the Collateral Agent to, take all actions it deems necessary or appropriate in order to:</w:t>
      </w:r>
    </w:p>
    <w:p>
      <w:pPr>
        <w:spacing w:after="0" w:line="168"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enforce any of the terms of the Collateral Documents; and</w:t>
      </w:r>
    </w:p>
    <w:p>
      <w:pPr>
        <w:spacing w:after="0" w:line="233" w:lineRule="exact"/>
        <w:rPr>
          <w:rFonts w:ascii="Arial" w:cs="Arial" w:eastAsia="Arial" w:hAnsi="Arial"/>
          <w:sz w:val="22"/>
          <w:szCs w:val="22"/>
          <w:color w:val="auto"/>
        </w:rPr>
      </w:pPr>
    </w:p>
    <w:p>
      <w:pPr>
        <w:ind w:firstLine="656"/>
        <w:spacing w:after="0" w:line="276" w:lineRule="auto"/>
        <w:tabs>
          <w:tab w:leader="none" w:pos="121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collect and receive any and all amounts payable in respect of the Obligations of the Issuers and the Guarantors hereunder and under the Collateral Documents.</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Trustee shall have power to institute and maintain such suits and proceedings as it may deem expedient to prevent any impairment of the Collateral by any acts that may be unlawful or in violation of the Collateral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of Notes or of the Trustee).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Section 10.05</w:t>
      </w:r>
      <w:r>
        <w:rPr>
          <w:rFonts w:ascii="Arial" w:cs="Arial" w:eastAsia="Arial" w:hAnsi="Arial"/>
          <w:sz w:val="22"/>
          <w:szCs w:val="22"/>
          <w:i w:val="1"/>
          <w:iCs w:val="1"/>
          <w:color w:val="auto"/>
        </w:rPr>
        <w:t>Authorization of Receipt of Funds by the Trustee Under the Collateral Documents.</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Trustee is authorized to receive any funds for the benefit of the Holders of Notes distributed under the Collateral Documents, and to make further distributions of such funds to the Holders of Notes according to the provisions of this Indenture.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Section 10.06</w:t>
      </w:r>
      <w:r>
        <w:rPr>
          <w:rFonts w:ascii="Arial" w:cs="Arial" w:eastAsia="Arial" w:hAnsi="Arial"/>
          <w:sz w:val="22"/>
          <w:szCs w:val="22"/>
          <w:i w:val="1"/>
          <w:iCs w:val="1"/>
          <w:color w:val="auto"/>
        </w:rPr>
        <w:t>Rights in the Pledged Collateral.</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So long as no Event of Default shall have occurred and be continuing, and subject to the provisions of this Indenture, the Intercreditor Agreement and the other Collateral Documents, Wynn Las Vegas, each Guarantor, and any of their respective direct or indirect parents shall be entitled to receive the benefit of all cash dividends, interest and other payments made upon or with respect to the Collateral pledged by such Person and to exercise any voting and other consensual rights pertaining to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sectPr>
      </w:pPr>
    </w:p>
    <w:bookmarkStart w:id="81" w:name="page82"/>
    <w:bookmarkEnd w:id="81"/>
    <w:p>
      <w:pPr>
        <w:jc w:val="both"/>
        <w:spacing w:after="0" w:line="253" w:lineRule="auto"/>
        <w:rPr>
          <w:sz w:val="20"/>
          <w:szCs w:val="20"/>
          <w:color w:val="auto"/>
        </w:rPr>
      </w:pPr>
      <w:r>
        <w:rPr>
          <w:rFonts w:ascii="Arial" w:cs="Arial" w:eastAsia="Arial" w:hAnsi="Arial"/>
          <w:sz w:val="22"/>
          <w:szCs w:val="22"/>
          <w:color w:val="auto"/>
        </w:rPr>
        <w:t>Collateral pledged by such Person. Upon the occurrence and during the continuance of an Event of Default and, subject to the terms of the Collateral Documents, this Indenture and the limitations in the Intercreditor Agreement and the exercise by the Trustee of its rights under the Collateral Documents and subject to applicable Gaming Laws:</w:t>
      </w:r>
    </w:p>
    <w:p>
      <w:pPr>
        <w:spacing w:after="0" w:line="186" w:lineRule="exact"/>
        <w:rPr>
          <w:sz w:val="20"/>
          <w:szCs w:val="20"/>
          <w:color w:val="auto"/>
        </w:rPr>
      </w:pPr>
    </w:p>
    <w:p>
      <w:pPr>
        <w:jc w:val="both"/>
        <w:ind w:right="20" w:firstLine="656"/>
        <w:spacing w:after="0" w:line="260" w:lineRule="auto"/>
        <w:tabs>
          <w:tab w:leader="none" w:pos="113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upon receipt by the affected Person of notice from the Trustee so stating, all rights of such Person to exercise such voting or other consensual rights shall cease, and all such rights shall become vested in the Trustee which, to the extent permitted by law, shall have the sole right to exercise such rights;</w:t>
      </w:r>
    </w:p>
    <w:p>
      <w:pPr>
        <w:spacing w:after="0" w:line="177" w:lineRule="exact"/>
        <w:rPr>
          <w:rFonts w:ascii="Arial" w:cs="Arial" w:eastAsia="Arial" w:hAnsi="Arial"/>
          <w:sz w:val="22"/>
          <w:szCs w:val="22"/>
          <w:color w:val="auto"/>
        </w:rPr>
      </w:pPr>
    </w:p>
    <w:p>
      <w:pPr>
        <w:ind w:firstLine="656"/>
        <w:spacing w:after="0" w:line="301" w:lineRule="auto"/>
        <w:tabs>
          <w:tab w:leader="none" w:pos="112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all rights of such Person to receive all cash dividends, interest and other payments made upon, or with respect to, the Collateral shall cease and such cash dividends, interest and other payments shall be paid to the Trustee; and</w:t>
      </w:r>
    </w:p>
    <w:p>
      <w:pPr>
        <w:spacing w:after="0" w:line="137" w:lineRule="exact"/>
        <w:rPr>
          <w:rFonts w:ascii="Arial" w:cs="Arial" w:eastAsia="Arial" w:hAnsi="Arial"/>
          <w:sz w:val="21"/>
          <w:szCs w:val="21"/>
          <w:color w:val="auto"/>
        </w:rPr>
      </w:pPr>
    </w:p>
    <w:p>
      <w:pPr>
        <w:jc w:val="both"/>
        <w:ind w:firstLine="656"/>
        <w:spacing w:after="0" w:line="260" w:lineRule="auto"/>
        <w:tabs>
          <w:tab w:leader="none" w:pos="109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subject to applicable law, including procedural restraints imposed on sales of collateral by secured creditors generally, the Trustee may sell the Collateral or any part thereof in accordance with the terms of this Indenture, the Intercreditor Agreement and the other Collateral Documents.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10.07</w:t>
      </w:r>
      <w:r>
        <w:rPr>
          <w:rFonts w:ascii="Arial" w:cs="Arial" w:eastAsia="Arial" w:hAnsi="Arial"/>
          <w:sz w:val="22"/>
          <w:szCs w:val="22"/>
          <w:i w:val="1"/>
          <w:iCs w:val="1"/>
          <w:color w:val="auto"/>
        </w:rPr>
        <w:t>Termination of Security Interest.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Upon the payment in full in immediately available funds of all Obligations of the Issuers under this Indenture and the Notes, or upon Legal Defeasance, the Trustee shall, at the written request of the Issuers, deliver a certificate to the Collateral Agent stating that such Obligations have been paid in full, and instruct the Collateral Agent to release the Liens on the Collateral pursuant to this Indenture and the Collateral Documents and to take such actions at the Issuers’ sole cost and expense as the Issuers may reasonably request to evidence such release, including, without limitation, the return of assets pledged as Collateral and the execution and delivery of related instruments of transfer, lien, releases, reconveyances, termination statements and any similar documents and instruments.</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NOTE GUARANTEES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11.01</w:t>
      </w:r>
      <w:r>
        <w:rPr>
          <w:rFonts w:ascii="Arial" w:cs="Arial" w:eastAsia="Arial" w:hAnsi="Arial"/>
          <w:sz w:val="22"/>
          <w:szCs w:val="22"/>
          <w:i w:val="1"/>
          <w:iCs w:val="1"/>
          <w:color w:val="auto"/>
        </w:rPr>
        <w:t>Note Guarantee.</w:t>
      </w:r>
    </w:p>
    <w:p>
      <w:pPr>
        <w:spacing w:after="0" w:line="220" w:lineRule="exact"/>
        <w:rPr>
          <w:sz w:val="20"/>
          <w:szCs w:val="20"/>
          <w:color w:val="auto"/>
        </w:rPr>
      </w:pPr>
    </w:p>
    <w:p>
      <w:pPr>
        <w:jc w:val="both"/>
        <w:ind w:firstLine="656"/>
        <w:spacing w:after="0" w:line="320" w:lineRule="auto"/>
        <w:tabs>
          <w:tab w:leader="none" w:pos="116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Issuers hereunder or thereunder, that:</w:t>
      </w:r>
    </w:p>
    <w:p>
      <w:pPr>
        <w:spacing w:after="0" w:line="125" w:lineRule="exact"/>
        <w:rPr>
          <w:rFonts w:ascii="Arial" w:cs="Arial" w:eastAsia="Arial" w:hAnsi="Arial"/>
          <w:sz w:val="19"/>
          <w:szCs w:val="19"/>
          <w:color w:val="auto"/>
        </w:rPr>
      </w:pPr>
    </w:p>
    <w:p>
      <w:pPr>
        <w:jc w:val="both"/>
        <w:ind w:left="660" w:firstLine="645"/>
        <w:spacing w:after="0" w:line="270" w:lineRule="auto"/>
        <w:tabs>
          <w:tab w:leader="none" w:pos="1754" w:val="left"/>
        </w:tabs>
        <w:numPr>
          <w:ilvl w:val="1"/>
          <w:numId w:val="106"/>
        </w:numPr>
        <w:rPr>
          <w:rFonts w:ascii="Arial" w:cs="Arial" w:eastAsia="Arial" w:hAnsi="Arial"/>
          <w:sz w:val="21"/>
          <w:szCs w:val="21"/>
          <w:color w:val="auto"/>
        </w:rPr>
      </w:pPr>
      <w:r>
        <w:rPr>
          <w:rFonts w:ascii="Arial" w:cs="Arial" w:eastAsia="Arial" w:hAnsi="Arial"/>
          <w:sz w:val="21"/>
          <w:szCs w:val="21"/>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31" w:right="239" w:bottom="1440" w:gutter="0" w:footer="0" w:header="0"/>
        </w:sectPr>
      </w:pPr>
    </w:p>
    <w:bookmarkStart w:id="82" w:name="page83"/>
    <w:bookmarkEnd w:id="82"/>
    <w:p>
      <w:pPr>
        <w:jc w:val="both"/>
        <w:ind w:left="660" w:firstLine="645"/>
        <w:spacing w:after="0" w:line="260" w:lineRule="auto"/>
        <w:tabs>
          <w:tab w:leader="none" w:pos="17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186" w:lineRule="exact"/>
        <w:rPr>
          <w:sz w:val="20"/>
          <w:szCs w:val="20"/>
          <w:color w:val="auto"/>
        </w:rPr>
      </w:pPr>
    </w:p>
    <w:p>
      <w:pPr>
        <w:jc w:val="both"/>
        <w:ind w:firstLine="656"/>
        <w:spacing w:after="0" w:line="289" w:lineRule="auto"/>
        <w:tabs>
          <w:tab w:leader="none" w:pos="110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58" w:lineRule="exact"/>
        <w:rPr>
          <w:rFonts w:ascii="Arial" w:cs="Arial" w:eastAsia="Arial" w:hAnsi="Arial"/>
          <w:sz w:val="19"/>
          <w:szCs w:val="19"/>
          <w:color w:val="auto"/>
        </w:rPr>
      </w:pPr>
    </w:p>
    <w:p>
      <w:pPr>
        <w:jc w:val="both"/>
        <w:ind w:firstLine="656"/>
        <w:spacing w:after="0" w:line="320" w:lineRule="auto"/>
        <w:tabs>
          <w:tab w:leader="none" w:pos="117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25" w:lineRule="exact"/>
        <w:rPr>
          <w:rFonts w:ascii="Arial" w:cs="Arial" w:eastAsia="Arial" w:hAnsi="Arial"/>
          <w:sz w:val="19"/>
          <w:szCs w:val="19"/>
          <w:color w:val="auto"/>
        </w:rPr>
      </w:pPr>
    </w:p>
    <w:p>
      <w:pPr>
        <w:jc w:val="both"/>
        <w:ind w:firstLine="656"/>
        <w:spacing w:after="0" w:line="291" w:lineRule="auto"/>
        <w:tabs>
          <w:tab w:leader="none" w:pos="117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Section 11.02</w:t>
      </w:r>
      <w:r>
        <w:rPr>
          <w:rFonts w:ascii="Arial" w:cs="Arial" w:eastAsia="Arial" w:hAnsi="Arial"/>
          <w:sz w:val="22"/>
          <w:szCs w:val="22"/>
          <w:i w:val="1"/>
          <w:iCs w:val="1"/>
          <w:color w:val="auto"/>
        </w:rPr>
        <w:t>Limitation on Guarantor Liability.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31" w:right="239" w:bottom="1440" w:gutter="0" w:footer="0" w:header="0"/>
        </w:sectPr>
      </w:pPr>
    </w:p>
    <w:bookmarkStart w:id="83" w:name="page84"/>
    <w:bookmarkEnd w:id="83"/>
    <w:p>
      <w:pPr>
        <w:jc w:val="both"/>
        <w:ind w:firstLine="648"/>
        <w:spacing w:after="0" w:line="289" w:lineRule="auto"/>
        <w:rPr>
          <w:sz w:val="20"/>
          <w:szCs w:val="20"/>
          <w:color w:val="auto"/>
        </w:rPr>
      </w:pPr>
      <w:r>
        <w:rPr>
          <w:rFonts w:ascii="Arial" w:cs="Arial" w:eastAsia="Arial" w:hAnsi="Arial"/>
          <w:sz w:val="19"/>
          <w:szCs w:val="19"/>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Section 11.03</w:t>
      </w:r>
      <w:r>
        <w:rPr>
          <w:rFonts w:ascii="Arial" w:cs="Arial" w:eastAsia="Arial" w:hAnsi="Arial"/>
          <w:sz w:val="22"/>
          <w:szCs w:val="22"/>
          <w:i w:val="1"/>
          <w:iCs w:val="1"/>
          <w:color w:val="auto"/>
        </w:rPr>
        <w:t>Execution and Delivery of Note Guarantee.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Each of the Guarantors hereby agrees that its Note Guarantee set forth in Section 11.01 shall remain in full force and effect notwithstanding any failure to endorse on each Note a notation of such Note Guarantee.</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delivery of any Note by the Trustee, after the authentication thereof hereunder, shall constitute due delivery of the Note Guarantee set forth in this Indenture on behalf of the Guarantors.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11.04</w:t>
      </w:r>
      <w:r>
        <w:rPr>
          <w:rFonts w:ascii="Arial" w:cs="Arial" w:eastAsia="Arial" w:hAnsi="Arial"/>
          <w:sz w:val="22"/>
          <w:szCs w:val="22"/>
          <w:i w:val="1"/>
          <w:iCs w:val="1"/>
          <w:color w:val="auto"/>
        </w:rPr>
        <w:t>Guarantors May Consolidate, etc., on Certain Terms.</w:t>
      </w:r>
    </w:p>
    <w:p>
      <w:pPr>
        <w:spacing w:after="0" w:line="220" w:lineRule="exact"/>
        <w:rPr>
          <w:sz w:val="20"/>
          <w:szCs w:val="20"/>
          <w:color w:val="auto"/>
        </w:rPr>
      </w:pPr>
    </w:p>
    <w:p>
      <w:pPr>
        <w:ind w:firstLine="656"/>
        <w:spacing w:after="0" w:line="276" w:lineRule="auto"/>
        <w:tabs>
          <w:tab w:leader="none" w:pos="110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 Guarantor may not consolidate with or merge with or into (whether or not such Guarantor is the surviving Person) another Person, other than either of the Issuers or another Guarantor, unless: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immediately after giving effect to that transaction, no Default or Event of Default exists; and</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67" w:val="left"/>
        </w:tabs>
        <w:numPr>
          <w:ilvl w:val="1"/>
          <w:numId w:val="109"/>
        </w:numPr>
        <w:rPr>
          <w:rFonts w:ascii="Arial" w:cs="Arial" w:eastAsia="Arial" w:hAnsi="Arial"/>
          <w:sz w:val="22"/>
          <w:szCs w:val="22"/>
          <w:color w:val="auto"/>
        </w:rPr>
      </w:pPr>
      <w:r>
        <w:rPr>
          <w:rFonts w:ascii="Arial" w:cs="Arial" w:eastAsia="Arial" w:hAnsi="Arial"/>
          <w:sz w:val="22"/>
          <w:szCs w:val="22"/>
          <w:color w:val="auto"/>
        </w:rPr>
        <w:t>the Person surviving any such consolidation or merger assumes all the obligations of that Guarantor under this Indenture and its Note Guarantee pursuant to a supplemental indenture and other appropriate documents satisfactory to the Trustee.</w:t>
      </w:r>
    </w:p>
    <w:p>
      <w:pPr>
        <w:spacing w:after="0" w:line="177" w:lineRule="exact"/>
        <w:rPr>
          <w:rFonts w:ascii="Arial" w:cs="Arial" w:eastAsia="Arial" w:hAnsi="Arial"/>
          <w:sz w:val="22"/>
          <w:szCs w:val="22"/>
          <w:color w:val="auto"/>
        </w:rPr>
      </w:pPr>
    </w:p>
    <w:p>
      <w:pPr>
        <w:ind w:firstLine="656"/>
        <w:spacing w:after="0" w:line="276" w:lineRule="auto"/>
        <w:tabs>
          <w:tab w:leader="none" w:pos="10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case of any consolidation or merger involving a Guarantor under this Section 11.04 hereof, and upon the assumption by the successor Person, by supplemental indenture, executed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31" w:right="2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21"/>
          <w:szCs w:val="21"/>
          <w:color w:val="auto"/>
        </w:rPr>
        <w:t>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84" w:lineRule="exact"/>
        <w:rPr>
          <w:sz w:val="20"/>
          <w:szCs w:val="20"/>
          <w:color w:val="auto"/>
        </w:rPr>
      </w:pPr>
    </w:p>
    <w:p>
      <w:pPr>
        <w:ind w:firstLine="656"/>
        <w:spacing w:after="0" w:line="276" w:lineRule="auto"/>
        <w:tabs>
          <w:tab w:leader="none" w:pos="109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Except as set forth in Articles 4 and 5 hereof, nothing contained in this Indenture or in any of the Notes shall prevent any consolidation or merger of a Guarantor with or into the Issuers or another Guarantor.</w:t>
      </w:r>
    </w:p>
    <w:p>
      <w:pPr>
        <w:spacing w:after="0" w:line="160" w:lineRule="exact"/>
        <w:rPr>
          <w:rFonts w:ascii="Arial" w:cs="Arial" w:eastAsia="Arial" w:hAnsi="Arial"/>
          <w:sz w:val="22"/>
          <w:szCs w:val="22"/>
          <w:color w:val="auto"/>
        </w:rPr>
      </w:pPr>
    </w:p>
    <w:p>
      <w:pPr>
        <w:ind w:right="20" w:firstLine="656"/>
        <w:spacing w:after="0" w:line="276" w:lineRule="auto"/>
        <w:tabs>
          <w:tab w:leader="none" w:pos="112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Notwithstanding the foregoing, each Guarantor is permitted to reorganize as a corporation pursuant to a Permitted C-Corp. Conversion.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11.05</w:t>
      </w:r>
      <w:r>
        <w:rPr>
          <w:rFonts w:ascii="Arial" w:cs="Arial" w:eastAsia="Arial" w:hAnsi="Arial"/>
          <w:sz w:val="22"/>
          <w:szCs w:val="22"/>
          <w:i w:val="1"/>
          <w:iCs w:val="1"/>
          <w:color w:val="auto"/>
        </w:rPr>
        <w:t>Release of Guarantees.</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Subject to compliance with the provisions described above under this Article 11, the Note Guarantee of a Guarantor and the security interests granted by that Guarantor to secure its Note Guarantee will be released:</w:t>
      </w:r>
    </w:p>
    <w:p>
      <w:pPr>
        <w:spacing w:after="0" w:line="175" w:lineRule="exact"/>
        <w:rPr>
          <w:sz w:val="20"/>
          <w:szCs w:val="20"/>
          <w:color w:val="auto"/>
        </w:rPr>
      </w:pPr>
    </w:p>
    <w:p>
      <w:pPr>
        <w:jc w:val="both"/>
        <w:ind w:firstLine="656"/>
        <w:spacing w:after="0" w:line="260" w:lineRule="auto"/>
        <w:tabs>
          <w:tab w:leader="none" w:pos="109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connection with any sale or other disposition of all or substantially all of the assets of that Guarantor (including by way of merger or consolidation) to a Person that is not (either before or after giving effect to such transaction) an Issuer or a Guarantor;</w:t>
      </w:r>
    </w:p>
    <w:p>
      <w:pPr>
        <w:spacing w:after="0" w:line="177" w:lineRule="exact"/>
        <w:rPr>
          <w:rFonts w:ascii="Arial" w:cs="Arial" w:eastAsia="Arial" w:hAnsi="Arial"/>
          <w:sz w:val="22"/>
          <w:szCs w:val="22"/>
          <w:color w:val="auto"/>
        </w:rPr>
      </w:pPr>
    </w:p>
    <w:p>
      <w:pPr>
        <w:ind w:firstLine="656"/>
        <w:spacing w:after="0" w:line="276" w:lineRule="auto"/>
        <w:tabs>
          <w:tab w:leader="none" w:pos="114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connection with any sale or other disposition of all of the Capital Stock of that Guarantor to a Person that is not (either before or after giving effect to such transaction) an Issuer or a Guarantor; or</w:t>
      </w:r>
    </w:p>
    <w:p>
      <w:pPr>
        <w:spacing w:after="0" w:line="160" w:lineRule="exact"/>
        <w:rPr>
          <w:rFonts w:ascii="Arial" w:cs="Arial" w:eastAsia="Arial" w:hAnsi="Arial"/>
          <w:sz w:val="22"/>
          <w:szCs w:val="22"/>
          <w:color w:val="auto"/>
        </w:rPr>
      </w:pPr>
    </w:p>
    <w:p>
      <w:pPr>
        <w:ind w:firstLine="656"/>
        <w:spacing w:after="0" w:line="276" w:lineRule="auto"/>
        <w:tabs>
          <w:tab w:leader="none" w:pos="120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upon Legal Defeasance as provided for in Section 8.02 hereof or satisfaction and discharge of this Indenture as provided for in Section 12.01 hereof.</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11.06</w:t>
      </w:r>
      <w:r>
        <w:rPr>
          <w:rFonts w:ascii="Arial" w:cs="Arial" w:eastAsia="Arial" w:hAnsi="Arial"/>
          <w:sz w:val="22"/>
          <w:szCs w:val="22"/>
          <w:i w:val="1"/>
          <w:iCs w:val="1"/>
          <w:color w:val="auto"/>
        </w:rPr>
        <w:t>Additional Note Guarantees.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Wynn Las Vegas or any Guarantor acquires or creates another Domestic Subsidiary after the date of this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or an Excluded Subsidiary need not become a Guarantor until such time as it ceases to be an Immaterial Subsidiary or an Excluded Subsidiary, as the case may be.</w:t>
      </w:r>
    </w:p>
    <w:p>
      <w:pPr>
        <w:spacing w:after="0" w:line="170"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SATISFACTION AND DISCHARGE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31"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Section 12.01</w:t>
      </w:r>
      <w:r>
        <w:rPr>
          <w:rFonts w:ascii="Arial" w:cs="Arial" w:eastAsia="Arial" w:hAnsi="Arial"/>
          <w:sz w:val="22"/>
          <w:szCs w:val="22"/>
          <w:i w:val="1"/>
          <w:iCs w:val="1"/>
          <w:color w:val="auto"/>
        </w:rPr>
        <w:t>Satisfaction and Discharge.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Indenture and the Pledge Agreement shall be discharged and shall cease to be of further effect as to all Notes issued hereunder, when:</w:t>
      </w:r>
    </w:p>
    <w:p>
      <w:pPr>
        <w:spacing w:after="0" w:line="175"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94"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177" w:lineRule="exact"/>
        <w:rPr>
          <w:rFonts w:ascii="Arial" w:cs="Arial" w:eastAsia="Arial" w:hAnsi="Arial"/>
          <w:sz w:val="22"/>
          <w:szCs w:val="22"/>
          <w:color w:val="auto"/>
        </w:rPr>
      </w:pPr>
    </w:p>
    <w:p>
      <w:pPr>
        <w:jc w:val="both"/>
        <w:ind w:left="660" w:firstLine="645"/>
        <w:spacing w:after="0" w:line="262" w:lineRule="auto"/>
        <w:tabs>
          <w:tab w:leader="none" w:pos="1754" w:val="left"/>
        </w:tabs>
        <w:numPr>
          <w:ilvl w:val="1"/>
          <w:numId w:val="112"/>
        </w:numPr>
        <w:rPr>
          <w:rFonts w:ascii="Arial" w:cs="Arial" w:eastAsia="Arial" w:hAnsi="Arial"/>
          <w:sz w:val="21"/>
          <w:szCs w:val="21"/>
          <w:color w:val="auto"/>
        </w:rPr>
      </w:pPr>
      <w:r>
        <w:rPr>
          <w:rFonts w:ascii="Arial" w:cs="Arial" w:eastAsia="Arial" w:hAnsi="Arial"/>
          <w:sz w:val="21"/>
          <w:szCs w:val="21"/>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80" w:lineRule="exact"/>
        <w:rPr>
          <w:rFonts w:ascii="Arial" w:cs="Arial" w:eastAsia="Arial" w:hAnsi="Arial"/>
          <w:sz w:val="21"/>
          <w:szCs w:val="21"/>
          <w:color w:val="auto"/>
        </w:rPr>
      </w:pPr>
    </w:p>
    <w:p>
      <w:pPr>
        <w:jc w:val="both"/>
        <w:ind w:firstLine="656"/>
        <w:spacing w:after="0" w:line="254" w:lineRule="auto"/>
        <w:tabs>
          <w:tab w:leader="none" w:pos="110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Issuers or any Guarantor have paid or caused to be paid all sums payable by the Issuers under this Indenture; and</w:t>
      </w:r>
    </w:p>
    <w:p>
      <w:pPr>
        <w:spacing w:after="0" w:line="267" w:lineRule="exact"/>
        <w:rPr>
          <w:rFonts w:ascii="Arial" w:cs="Arial" w:eastAsia="Arial" w:hAnsi="Arial"/>
          <w:sz w:val="19"/>
          <w:szCs w:val="19"/>
          <w:color w:val="auto"/>
        </w:rPr>
      </w:pPr>
    </w:p>
    <w:p>
      <w:pPr>
        <w:ind w:firstLine="656"/>
        <w:spacing w:after="0" w:line="276" w:lineRule="auto"/>
        <w:tabs>
          <w:tab w:leader="none" w:pos="114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Issuers have delivered irrevocable instructions to the Trustee under this Indenture to apply the deposited money toward the payment of the Notes at maturity or the redemption date, as the case may be.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addition, the Issuers must deliver an Officers’ Certificate and an Opinion of Counsel to the Trustee stating that all conditions precedent to satisfaction and discharge have been satisfied.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7.06 hereof, that, by their terms, survive the satisfaction and discharge of this Indenture.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12.02</w:t>
      </w:r>
      <w:r>
        <w:rPr>
          <w:rFonts w:ascii="Arial" w:cs="Arial" w:eastAsia="Arial" w:hAnsi="Arial"/>
          <w:sz w:val="22"/>
          <w:szCs w:val="22"/>
          <w:i w:val="1"/>
          <w:iCs w:val="1"/>
          <w:color w:val="auto"/>
        </w:rPr>
        <w:t>Application of Trust Money.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31" w:right="239" w:bottom="1440" w:gutter="0" w:footer="0" w:header="0"/>
        </w:sectPr>
      </w:pPr>
    </w:p>
    <w:bookmarkStart w:id="86" w:name="page87"/>
    <w:bookmarkEnd w:id="86"/>
    <w:p>
      <w:pPr>
        <w:jc w:val="both"/>
        <w:ind w:firstLine="648"/>
        <w:spacing w:after="0" w:line="297" w:lineRule="auto"/>
        <w:rPr>
          <w:sz w:val="20"/>
          <w:szCs w:val="20"/>
          <w:color w:val="auto"/>
        </w:rPr>
      </w:pPr>
      <w:r>
        <w:rPr>
          <w:rFonts w:ascii="Arial" w:cs="Arial" w:eastAsia="Arial" w:hAnsi="Arial"/>
          <w:sz w:val="19"/>
          <w:szCs w:val="19"/>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the Note Guarantees and the Pledge Agreement shall be revived and reinstated as though no deposit had occurred pursuant to Section 12.01; provided that if the Issuers have made any 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145"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JOINT AND SEVERAL LIABILITY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13.01</w:t>
      </w:r>
      <w:r>
        <w:rPr>
          <w:rFonts w:ascii="Arial" w:cs="Arial" w:eastAsia="Arial" w:hAnsi="Arial"/>
          <w:sz w:val="22"/>
          <w:szCs w:val="22"/>
          <w:i w:val="1"/>
          <w:iCs w:val="1"/>
          <w:color w:val="auto"/>
        </w:rPr>
        <w:t>Joint and Several Liability.</w:t>
      </w:r>
    </w:p>
    <w:p>
      <w:pPr>
        <w:spacing w:after="0" w:line="220" w:lineRule="exact"/>
        <w:rPr>
          <w:sz w:val="20"/>
          <w:szCs w:val="20"/>
          <w:color w:val="auto"/>
        </w:rPr>
      </w:pPr>
    </w:p>
    <w:p>
      <w:pPr>
        <w:jc w:val="both"/>
        <w:ind w:firstLine="656"/>
        <w:spacing w:after="0" w:line="266" w:lineRule="auto"/>
        <w:tabs>
          <w:tab w:leader="none" w:pos="1257" w:val="left"/>
        </w:tabs>
        <w:numPr>
          <w:ilvl w:val="0"/>
          <w:numId w:val="113"/>
        </w:numPr>
        <w:rPr>
          <w:rFonts w:ascii="Arial" w:cs="Arial" w:eastAsia="Arial" w:hAnsi="Arial"/>
          <w:sz w:val="21"/>
          <w:szCs w:val="21"/>
          <w:color w:val="auto"/>
        </w:rPr>
      </w:pPr>
      <w:r>
        <w:rPr>
          <w:rFonts w:ascii="Arial" w:cs="Arial" w:eastAsia="Arial" w:hAnsi="Arial"/>
          <w:sz w:val="21"/>
          <w:szCs w:val="21"/>
          <w:color w:val="auto"/>
        </w:rPr>
        <w:t>Notwithstanding any contrary provision contained in this Indenture, the Notes and the Pledge Agreement, the covenants, agreements and obligations of the Issuers, and either of them, shall be deemed joint and several obligations of the Issuers. Any waiver including, without limitation, any suretyship waiver, made by either Issuer in this Indenture, the Notes or the Pledge Agreement shall be deemed to be made also by the other Issuer and references in any such waiver to either Issuer shall be deemed to include the other Issuer and each of them to the fullest extent permitted by applicable law.</w:t>
      </w:r>
    </w:p>
    <w:p>
      <w:pPr>
        <w:spacing w:after="0" w:line="174" w:lineRule="exact"/>
        <w:rPr>
          <w:rFonts w:ascii="Arial" w:cs="Arial" w:eastAsia="Arial" w:hAnsi="Arial"/>
          <w:sz w:val="21"/>
          <w:szCs w:val="21"/>
          <w:color w:val="auto"/>
        </w:rPr>
      </w:pPr>
    </w:p>
    <w:p>
      <w:pPr>
        <w:ind w:right="20" w:firstLine="656"/>
        <w:spacing w:after="0" w:line="301" w:lineRule="auto"/>
        <w:tabs>
          <w:tab w:leader="none" w:pos="124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Notwithstanding any contrary provision contained in this Indenture, the Notes or Pledge Agreement, each such document to which both Issuers are party shall be deemed to include, without limitation, the following waivers:</w:t>
      </w:r>
    </w:p>
    <w:p>
      <w:pPr>
        <w:spacing w:after="0" w:line="1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21"/>
          <w:szCs w:val="21"/>
          <w:i w:val="1"/>
          <w:iCs w:val="1"/>
          <w:u w:val="single" w:color="auto"/>
          <w:color w:val="auto"/>
        </w:rPr>
        <w:t>Beneficiary</w:t>
      </w:r>
      <w:r>
        <w:rPr>
          <w:rFonts w:ascii="Arial" w:cs="Arial" w:eastAsia="Arial" w:hAnsi="Arial"/>
          <w:sz w:val="21"/>
          <w:szCs w:val="21"/>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the Indenture, the Notes and the Pledge Agreement (collectively, the “</w:t>
      </w:r>
      <w:r>
        <w:rPr>
          <w:rFonts w:ascii="Arial" w:cs="Arial" w:eastAsia="Arial" w:hAnsi="Arial"/>
          <w:sz w:val="21"/>
          <w:szCs w:val="21"/>
          <w:i w:val="1"/>
          <w:iCs w:val="1"/>
          <w:u w:val="single" w:color="auto"/>
          <w:color w:val="auto"/>
        </w:rPr>
        <w:t>Note Obligations</w:t>
      </w:r>
      <w:r>
        <w:rPr>
          <w:rFonts w:ascii="Arial" w:cs="Arial" w:eastAsia="Arial" w:hAnsi="Arial"/>
          <w:sz w:val="21"/>
          <w:szCs w:val="21"/>
          <w:color w:val="auto"/>
        </w:rPr>
        <w:t>”), (iii) any defense that may arise by reason of the incapacity, lack of authority, death or disability of any Person or the failure of a Beneficiary to file or enforce a claim against the estate (in administration, bankruptcy or any other proceeding) of any Person, (iv) appraisal, valuation,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631" w:right="239" w:bottom="1440" w:gutter="0" w:footer="0" w:header="0"/>
        </w:sectPr>
      </w:pPr>
    </w:p>
    <w:bookmarkStart w:id="87" w:name="page88"/>
    <w:bookmarkEnd w:id="87"/>
    <w:p>
      <w:pPr>
        <w:jc w:val="both"/>
        <w:spacing w:after="0" w:line="283" w:lineRule="auto"/>
        <w:rPr>
          <w:sz w:val="20"/>
          <w:szCs w:val="20"/>
          <w:color w:val="auto"/>
        </w:rPr>
      </w:pPr>
      <w:r>
        <w:rPr>
          <w:rFonts w:ascii="Arial" w:cs="Arial" w:eastAsia="Arial" w:hAnsi="Arial"/>
          <w:sz w:val="19"/>
          <w:szCs w:val="19"/>
          <w:color w:val="auto"/>
        </w:rPr>
        <w:t>stay, extension, marshaling of assets, redemption, exemption, demand, presentment, protest and notice of any kind, including, without limitation, notice of the existence, creation or incurring of any new or additional indebtedness or obligation or of any action or non-action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the Notes or the Pledge Agreement,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the Notes or the Pledge Agreement,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the Notes or the Pledge Agreement, or any other provision of this Indenture, the Notes or the Pledge Agreement, limiting the Beneficiaries’ recourse to specific collateral, or limiting the Beneficiaries’ right to enforce a deficiency judgment against the Issuers, shall have absolutely no application to the Issuers’ liability under this Indenture, the Notes or the 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631" w:right="239" w:bottom="1440" w:gutter="0" w:footer="0" w:header="0"/>
        </w:sectPr>
      </w:pPr>
    </w:p>
    <w:bookmarkStart w:id="88" w:name="page89"/>
    <w:bookmarkEnd w:id="88"/>
    <w:p>
      <w:pPr>
        <w:ind w:firstLine="656"/>
        <w:spacing w:after="0" w:line="276" w:lineRule="auto"/>
        <w:tabs>
          <w:tab w:leader="none" w:pos="113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In the event of any inconsistency between the provisions of this Article 13 and the corresponding provisions of this Indenture, the Notes or the Pledge Agreement, the provisions of this Indenture shall govern.</w:t>
      </w:r>
    </w:p>
    <w:p>
      <w:pPr>
        <w:spacing w:after="0" w:line="155"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14.01</w:t>
      </w:r>
      <w:r>
        <w:rPr>
          <w:rFonts w:ascii="Arial" w:cs="Arial" w:eastAsia="Arial" w:hAnsi="Arial"/>
          <w:sz w:val="22"/>
          <w:szCs w:val="22"/>
          <w:i w:val="1"/>
          <w:iCs w:val="1"/>
          <w:color w:val="auto"/>
        </w:rPr>
        <w:t>Notices.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notice or communication by the Issuers,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Issuers and/or any Guarantor: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South 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(702) 770-1104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South 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(702) 770-1503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further copy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Latham &amp; Watkins 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355 South Grand Avenue, Suite 100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Los Angeles, CA 90071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(213) 891-8763</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Casey Fleck, Esq.</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 Paul, MN 55107-2292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(651) 495-8097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 Trust Department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631" w:right="239" w:bottom="1440" w:gutter="0" w:footer="0" w:header="0"/>
        </w:sectPr>
      </w:pPr>
    </w:p>
    <w:bookmarkStart w:id="89" w:name="page90"/>
    <w:bookmarkEnd w:id="89"/>
    <w:p>
      <w:pPr>
        <w:jc w:val="both"/>
        <w:ind w:firstLine="648"/>
        <w:spacing w:after="0" w:line="263" w:lineRule="auto"/>
        <w:rPr>
          <w:sz w:val="20"/>
          <w:szCs w:val="20"/>
          <w:color w:val="auto"/>
        </w:rPr>
      </w:pPr>
      <w:r>
        <w:rPr>
          <w:rFonts w:ascii="Arial" w:cs="Arial" w:eastAsia="Arial" w:hAnsi="Arial"/>
          <w:sz w:val="22"/>
          <w:szCs w:val="22"/>
          <w:color w:val="auto"/>
        </w:rPr>
        <w:t>The Issuers, any Guarantor or the Trustee, by notice to the others may designate additional or different addresses for subsequent notices or communications.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Issuers mail a notice or communication to Holders, they shall mail a copy to the Trustee and each Agent at the same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14.02</w:t>
      </w:r>
      <w:r>
        <w:rPr>
          <w:rFonts w:ascii="Arial" w:cs="Arial" w:eastAsia="Arial" w:hAnsi="Arial"/>
          <w:sz w:val="22"/>
          <w:szCs w:val="22"/>
          <w:i w:val="1"/>
          <w:iCs w:val="1"/>
          <w:color w:val="auto"/>
        </w:rPr>
        <w:t>Certificate and Opinion as to Conditions Precedent.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Upon any request or application by the Issuers to the Trustee to take any action under this Indenture, the Issuers shall furnish to the Trustee:</w:t>
      </w:r>
    </w:p>
    <w:p>
      <w:pPr>
        <w:spacing w:after="0" w:line="175" w:lineRule="exact"/>
        <w:rPr>
          <w:sz w:val="20"/>
          <w:szCs w:val="20"/>
          <w:color w:val="auto"/>
        </w:rPr>
      </w:pPr>
    </w:p>
    <w:p>
      <w:pPr>
        <w:jc w:val="both"/>
        <w:ind w:firstLine="656"/>
        <w:spacing w:after="0" w:line="260" w:lineRule="auto"/>
        <w:tabs>
          <w:tab w:leader="none" w:pos="106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 Officers’ Certificate in form and substance reasonably satisfactory to the Trustee (which must include the statements set forth in Section 14.03 hereof) stating that, in the opinion of the signers, all conditions precedent and covenants, if any, provided for in this Indenture relating to the proposed action have been satisfied; and</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14.03 hereof) stating that, in the opinion of such counsel, all such conditions precedent and covenants have been satisfied.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14.03</w:t>
      </w:r>
      <w:r>
        <w:rPr>
          <w:rFonts w:ascii="Arial" w:cs="Arial" w:eastAsia="Arial" w:hAnsi="Arial"/>
          <w:sz w:val="22"/>
          <w:szCs w:val="22"/>
          <w:i w:val="1"/>
          <w:iCs w:val="1"/>
          <w:color w:val="auto"/>
        </w:rPr>
        <w:t>Statements Required in Certificate or Opinion.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5"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33" w:lineRule="exact"/>
        <w:rPr>
          <w:rFonts w:ascii="Arial" w:cs="Arial" w:eastAsia="Arial" w:hAnsi="Arial"/>
          <w:sz w:val="22"/>
          <w:szCs w:val="22"/>
          <w:color w:val="auto"/>
        </w:rPr>
      </w:pPr>
    </w:p>
    <w:p>
      <w:pPr>
        <w:ind w:firstLine="656"/>
        <w:spacing w:after="0" w:line="276" w:lineRule="auto"/>
        <w:tabs>
          <w:tab w:leader="none" w:pos="109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631" w:right="239" w:bottom="1440" w:gutter="0" w:footer="0" w:header="0"/>
        </w:sectPr>
      </w:pPr>
    </w:p>
    <w:bookmarkStart w:id="90" w:name="page91"/>
    <w:bookmarkEnd w:id="90"/>
    <w:p>
      <w:pPr>
        <w:ind w:firstLine="656"/>
        <w:spacing w:after="0" w:line="358" w:lineRule="auto"/>
        <w:tabs>
          <w:tab w:leader="none" w:pos="106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90" w:lineRule="exact"/>
        <w:rPr>
          <w:rFonts w:ascii="Arial" w:cs="Arial" w:eastAsia="Arial" w:hAnsi="Arial"/>
          <w:sz w:val="19"/>
          <w:szCs w:val="19"/>
          <w:color w:val="auto"/>
        </w:rPr>
      </w:pPr>
    </w:p>
    <w:p>
      <w:pPr>
        <w:ind w:left="1080" w:hanging="424"/>
        <w:spacing w:after="0"/>
        <w:tabs>
          <w:tab w:leader="none" w:pos="108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Section 14.04</w:t>
      </w:r>
      <w:r>
        <w:rPr>
          <w:rFonts w:ascii="Arial" w:cs="Arial" w:eastAsia="Arial" w:hAnsi="Arial"/>
          <w:sz w:val="22"/>
          <w:szCs w:val="22"/>
          <w:i w:val="1"/>
          <w:iCs w:val="1"/>
          <w:color w:val="auto"/>
        </w:rPr>
        <w:t>Rules by Trustee and Agents.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14.05</w:t>
      </w:r>
      <w:r>
        <w:rPr>
          <w:rFonts w:ascii="Arial" w:cs="Arial" w:eastAsia="Arial" w:hAnsi="Arial"/>
          <w:sz w:val="22"/>
          <w:szCs w:val="22"/>
          <w:i w:val="1"/>
          <w:iCs w:val="1"/>
          <w:color w:val="auto"/>
        </w:rPr>
        <w:t>No Personal Liability of Directors, Officers, Employees and Equity Holders.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 past, present or future director, officer, employee, incorporator, organizer, equity holder or member of either Issuer or any Guarantor, as such, shall have any liability for any obligations of either Issuer or any Guarantor under the Notes, the Note Guarantees, this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Section 14.06</w:t>
      </w:r>
      <w:r>
        <w:rPr>
          <w:rFonts w:ascii="Arial" w:cs="Arial" w:eastAsia="Arial" w:hAnsi="Arial"/>
          <w:sz w:val="22"/>
          <w:szCs w:val="22"/>
          <w:i w:val="1"/>
          <w:iCs w:val="1"/>
          <w:color w:val="auto"/>
        </w:rPr>
        <w:t>Governing Law.</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INDENTURE, THE NOTES AND THE NOTE GUARANTEES SHALL BE GOVERNED BY AND CONSTRUED IN ACCORDANCE WITH THE LAWS OF THE STATE OF NEW YORK, INCLUDING, WITHOUT LIMITATION, SECTION 5-1401 OF THE NEW YORK OBLIGATIONS LAW.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14.07</w:t>
      </w:r>
      <w:r>
        <w:rPr>
          <w:rFonts w:ascii="Arial" w:cs="Arial" w:eastAsia="Arial" w:hAnsi="Arial"/>
          <w:sz w:val="22"/>
          <w:szCs w:val="22"/>
          <w:i w:val="1"/>
          <w:iCs w:val="1"/>
          <w:color w:val="auto"/>
        </w:rPr>
        <w:t>No Adverse Interpretation of Other Agreements.</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Section 14.08</w:t>
      </w:r>
      <w:r>
        <w:rPr>
          <w:rFonts w:ascii="Arial" w:cs="Arial" w:eastAsia="Arial" w:hAnsi="Arial"/>
          <w:sz w:val="22"/>
          <w:szCs w:val="22"/>
          <w:i w:val="1"/>
          <w:iCs w:val="1"/>
          <w:color w:val="auto"/>
        </w:rPr>
        <w:t>Successors.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14.09</w:t>
      </w:r>
      <w:r>
        <w:rPr>
          <w:rFonts w:ascii="Arial" w:cs="Arial" w:eastAsia="Arial" w:hAnsi="Arial"/>
          <w:sz w:val="22"/>
          <w:szCs w:val="22"/>
          <w:i w:val="1"/>
          <w:iCs w:val="1"/>
          <w:color w:val="auto"/>
        </w:rPr>
        <w:t>Severability.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31" w:right="2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Section 14.10</w:t>
      </w:r>
      <w:r>
        <w:rPr>
          <w:rFonts w:ascii="Arial" w:cs="Arial" w:eastAsia="Arial" w:hAnsi="Arial"/>
          <w:sz w:val="22"/>
          <w:szCs w:val="22"/>
          <w:i w:val="1"/>
          <w:iCs w:val="1"/>
          <w:color w:val="auto"/>
        </w:rPr>
        <w:t>Counterpart Originals.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parties may sign any number of copies of this Indenture. Each signed copy shall be an original, but all of them together represent the same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14.11</w:t>
      </w:r>
      <w:r>
        <w:rPr>
          <w:rFonts w:ascii="Arial" w:cs="Arial" w:eastAsia="Arial" w:hAnsi="Arial"/>
          <w:sz w:val="22"/>
          <w:szCs w:val="22"/>
          <w:i w:val="1"/>
          <w:iCs w:val="1"/>
          <w:color w:val="auto"/>
        </w:rPr>
        <w:t>Table of Contents, Headings, etc.</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631" w:right="239" w:bottom="1440" w:gutter="0" w:footer="0" w:header="0"/>
        </w:sectPr>
      </w:pPr>
    </w:p>
    <w:bookmarkStart w:id="92" w:name="page93"/>
    <w:bookmarkEnd w:id="92"/>
    <w:p>
      <w:pPr>
        <w:ind w:left="5020"/>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Dated as of February 18, 2015</w:t>
      </w:r>
    </w:p>
    <w:p>
      <w:pPr>
        <w:spacing w:after="0" w:line="362"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ISSUERS:</w:t>
      </w:r>
    </w:p>
    <w:p>
      <w:pPr>
        <w:spacing w:after="0" w:line="36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WYNN LAS VEGAS, LLC,</w:t>
      </w:r>
    </w:p>
    <w:p>
      <w:pPr>
        <w:spacing w:after="0" w:line="5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a Nevada limited liability company</w:t>
      </w:r>
    </w:p>
    <w:p>
      <w:pPr>
        <w:spacing w:after="0" w:line="36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 Nevada limited liability company, its sole member</w:t>
      </w:r>
    </w:p>
    <w:p>
      <w:pPr>
        <w:spacing w:after="0" w:line="36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 Nevada corporation, its sole member</w:t>
      </w:r>
    </w:p>
    <w:p>
      <w:pPr>
        <w:spacing w:after="0" w:line="36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24765</wp:posOffset>
            </wp:positionV>
            <wp:extent cx="4639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3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Name: Stephen Cootey</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Title: Chief Financial Officer, Senior Vice President and Treasurer</w:t>
      </w:r>
    </w:p>
    <w:p>
      <w:pPr>
        <w:spacing w:after="0" w:line="397"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WYNN LAS VEGAS CAPITAL CORP.,</w:t>
      </w:r>
    </w:p>
    <w:p>
      <w:pPr>
        <w:spacing w:after="0" w:line="5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a Nevada corporation,</w:t>
      </w:r>
    </w:p>
    <w:p>
      <w:pPr>
        <w:spacing w:after="0" w:line="36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24765</wp:posOffset>
            </wp:positionV>
            <wp:extent cx="4639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3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Stephen Cootey</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83"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Signature Page to Indenture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LA\3177134.6</w:t>
      </w:r>
    </w:p>
    <w:p>
      <w:pPr>
        <w:sectPr>
          <w:pgSz w:w="11900" w:h="16838" w:orient="portrait"/>
          <w:cols w:equalWidth="0" w:num="1">
            <w:col w:w="10340"/>
          </w:cols>
          <w:pgMar w:left="240" w:top="625" w:right="1319" w:bottom="1440" w:gutter="0" w:footer="0" w:header="0"/>
        </w:sectPr>
      </w:pPr>
    </w:p>
    <w:bookmarkStart w:id="93" w:name="page94"/>
    <w:bookmarkEnd w:id="93"/>
    <w:p>
      <w:pPr>
        <w:ind w:left="2940"/>
        <w:spacing w:after="0"/>
        <w:rPr>
          <w:sz w:val="20"/>
          <w:szCs w:val="20"/>
          <w:color w:val="auto"/>
        </w:rPr>
      </w:pPr>
      <w:r>
        <w:rPr>
          <w:rFonts w:ascii="Arial" w:cs="Arial" w:eastAsia="Arial" w:hAnsi="Arial"/>
          <w:sz w:val="20"/>
          <w:szCs w:val="20"/>
          <w:b w:val="1"/>
          <w:bCs w:val="1"/>
          <w:color w:val="auto"/>
        </w:rPr>
        <w:t>GUARANTORS:</w:t>
      </w:r>
    </w:p>
    <w:p>
      <w:pPr>
        <w:spacing w:after="0" w:line="378"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KEVYN, LLC,</w:t>
      </w:r>
    </w:p>
    <w:p>
      <w:pPr>
        <w:spacing w:after="0" w:line="60"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a Nevada limited liability company</w:t>
      </w:r>
    </w:p>
    <w:p>
      <w:pPr>
        <w:spacing w:after="0" w:line="378"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By: Wynn Las Vegas, LLC,</w:t>
      </w:r>
    </w:p>
    <w:p>
      <w:pPr>
        <w:spacing w:after="0" w:line="54"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 Nevada limited liability company,</w:t>
      </w:r>
    </w:p>
    <w:p>
      <w:pPr>
        <w:spacing w:after="0" w:line="54"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its sole member</w:t>
      </w:r>
    </w:p>
    <w:p>
      <w:pPr>
        <w:spacing w:after="0" w:line="378"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By: Wynn Resorts Holdings, LLC,</w:t>
      </w:r>
    </w:p>
    <w:p>
      <w:pPr>
        <w:spacing w:after="0" w:line="54"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a Nevada limited liability company,</w:t>
      </w:r>
    </w:p>
    <w:p>
      <w:pPr>
        <w:spacing w:after="0" w:line="54"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its sole member</w:t>
      </w:r>
    </w:p>
    <w:p>
      <w:pPr>
        <w:spacing w:after="0" w:line="378"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By: Wynn Resorts, Limited,</w:t>
      </w:r>
    </w:p>
    <w:p>
      <w:pPr>
        <w:spacing w:after="0" w:line="54"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a Nevada corporation,</w:t>
      </w:r>
    </w:p>
    <w:p>
      <w:pPr>
        <w:spacing w:after="0" w:line="54"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its sole member</w:t>
      </w:r>
    </w:p>
    <w:p>
      <w:pPr>
        <w:spacing w:after="0" w:line="37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27305</wp:posOffset>
            </wp:positionV>
            <wp:extent cx="4639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47"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Name: Stephen Cootey</w:t>
      </w:r>
    </w:p>
    <w:p>
      <w:pPr>
        <w:spacing w:after="0" w:line="5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200" w:lineRule="exact"/>
        <w:rPr>
          <w:sz w:val="20"/>
          <w:szCs w:val="20"/>
          <w:color w:val="auto"/>
        </w:rPr>
      </w:pPr>
    </w:p>
    <w:p>
      <w:pPr>
        <w:spacing w:after="0" w:line="262"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WORLD TRAVEL, LLC,</w:t>
      </w:r>
    </w:p>
    <w:p>
      <w:pPr>
        <w:spacing w:after="0" w:line="60"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By: Wynn Las Vegas, LLC,</w:t>
      </w:r>
    </w:p>
    <w:p>
      <w:pPr>
        <w:spacing w:after="0" w:line="54"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 Nevada limited liability company,</w:t>
      </w:r>
    </w:p>
    <w:p>
      <w:pPr>
        <w:spacing w:after="0" w:line="54"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its sole member</w:t>
      </w:r>
    </w:p>
    <w:p>
      <w:pPr>
        <w:spacing w:after="0" w:line="32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By: Wynn Resorts Holdings, LLC,</w:t>
      </w:r>
    </w:p>
    <w:p>
      <w:pPr>
        <w:spacing w:after="0" w:line="54"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a Nevada limited liability company,</w:t>
      </w:r>
    </w:p>
    <w:p>
      <w:pPr>
        <w:spacing w:after="0" w:line="54"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its sole member</w:t>
      </w:r>
    </w:p>
    <w:p>
      <w:pPr>
        <w:spacing w:after="0" w:line="324"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By: Wynn Resorts, Limited,</w:t>
      </w:r>
    </w:p>
    <w:p>
      <w:pPr>
        <w:spacing w:after="0" w:line="54"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a Nevada corporation,</w:t>
      </w:r>
    </w:p>
    <w:p>
      <w:pPr>
        <w:spacing w:after="0" w:line="54"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its sole member</w:t>
      </w:r>
    </w:p>
    <w:p>
      <w:pPr>
        <w:spacing w:after="0" w:line="324"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27305</wp:posOffset>
            </wp:positionV>
            <wp:extent cx="4639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Name: Stephen Cootey</w:t>
      </w:r>
    </w:p>
    <w:p>
      <w:pPr>
        <w:spacing w:after="0" w:line="54"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Title: Chief Financial Officer, Senior Vice President and Treasurer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9019"/>
          </w:cols>
          <w:pgMar w:left="1440" w:top="778" w:right="1440" w:bottom="1440" w:gutter="0" w:footer="0" w:header="0"/>
        </w:sectPr>
      </w:pPr>
    </w:p>
    <w:bookmarkStart w:id="94" w:name="page95"/>
    <w:bookmarkEnd w:id="94"/>
    <w:p>
      <w:pPr>
        <w:ind w:left="2940"/>
        <w:spacing w:after="0"/>
        <w:rPr>
          <w:sz w:val="20"/>
          <w:szCs w:val="20"/>
          <w:color w:val="auto"/>
        </w:rPr>
      </w:pPr>
      <w:r>
        <w:rPr>
          <w:rFonts w:ascii="Arial" w:cs="Arial" w:eastAsia="Arial" w:hAnsi="Arial"/>
          <w:sz w:val="22"/>
          <w:szCs w:val="22"/>
          <w:b w:val="1"/>
          <w:bCs w:val="1"/>
          <w:color w:val="auto"/>
        </w:rPr>
        <w:t>WYNN SHOW PERFORMERS, LLC,</w:t>
      </w:r>
    </w:p>
    <w:p>
      <w:pPr>
        <w:spacing w:after="0" w:line="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a Nevada limited liability company</w:t>
      </w:r>
    </w:p>
    <w:p>
      <w:pPr>
        <w:spacing w:after="0" w:line="36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Wynn Las Vegas, LLC,</w:t>
      </w:r>
    </w:p>
    <w:p>
      <w:pPr>
        <w:spacing w:after="0" w:line="4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its sole member</w:t>
      </w:r>
    </w:p>
    <w:p>
      <w:pPr>
        <w:spacing w:after="0" w:line="368"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its sole member</w:t>
      </w:r>
    </w:p>
    <w:p>
      <w:pPr>
        <w:spacing w:after="0" w:line="368"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its sole member</w:t>
      </w:r>
    </w:p>
    <w:p>
      <w:pPr>
        <w:spacing w:after="0" w:line="36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24765</wp:posOffset>
            </wp:positionV>
            <wp:extent cx="4639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3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Name: Stephen Cootey</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Title: Chief Financial Officer, Senior Vice President and Treasurer</w:t>
      </w:r>
    </w:p>
    <w:p>
      <w:pPr>
        <w:spacing w:after="0" w:line="397"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WYNN SUNRISE, LLC,</w:t>
      </w:r>
    </w:p>
    <w:p>
      <w:pPr>
        <w:spacing w:after="0" w:line="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a Nevada limited liability company</w:t>
      </w:r>
    </w:p>
    <w:p>
      <w:pPr>
        <w:spacing w:after="0" w:line="27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By: Wynn Las Vegas, LLC,</w:t>
      </w:r>
    </w:p>
    <w:p>
      <w:pPr>
        <w:spacing w:after="0" w:line="44"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its sole member</w:t>
      </w:r>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its sole member</w:t>
      </w:r>
    </w:p>
    <w:p>
      <w:pPr>
        <w:spacing w:after="0" w:line="395"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its sole member</w:t>
      </w:r>
    </w:p>
    <w:p>
      <w:pPr>
        <w:spacing w:after="0" w:line="27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24765</wp:posOffset>
            </wp:positionV>
            <wp:extent cx="4639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Name: Stephen Cootey</w:t>
      </w:r>
    </w:p>
    <w:p>
      <w:pPr>
        <w:spacing w:after="0" w:line="44"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Title: Chief Financial Officer, Senior Vice President and Treasurer</w:t>
      </w:r>
    </w:p>
    <w:p>
      <w:pPr>
        <w:spacing w:after="0" w:line="200" w:lineRule="exact"/>
        <w:rPr>
          <w:sz w:val="20"/>
          <w:szCs w:val="20"/>
          <w:color w:val="auto"/>
        </w:rPr>
      </w:pPr>
    </w:p>
    <w:p>
      <w:pPr>
        <w:spacing w:after="0" w:line="318"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000"/>
          </w:cols>
          <w:pgMar w:left="1440" w:top="1098" w:right="459" w:bottom="1440" w:gutter="0" w:footer="0" w:header="0"/>
        </w:sectPr>
      </w:pPr>
    </w:p>
    <w:bookmarkStart w:id="95" w:name="page96"/>
    <w:bookmarkEnd w:id="95"/>
    <w:p>
      <w:pPr>
        <w:ind w:left="2940"/>
        <w:spacing w:after="0"/>
        <w:rPr>
          <w:sz w:val="20"/>
          <w:szCs w:val="20"/>
          <w:color w:val="auto"/>
        </w:rPr>
      </w:pPr>
      <w:r>
        <w:rPr>
          <w:rFonts w:ascii="Arial" w:cs="Arial" w:eastAsia="Arial" w:hAnsi="Arial"/>
          <w:sz w:val="22"/>
          <w:szCs w:val="22"/>
          <w:b w:val="1"/>
          <w:bCs w:val="1"/>
          <w:color w:val="auto"/>
        </w:rPr>
        <w:t>WLV EVENTS, LLC,</w:t>
      </w:r>
    </w:p>
    <w:p>
      <w:pPr>
        <w:spacing w:after="0" w:line="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a Nevada limited liability company</w:t>
      </w:r>
    </w:p>
    <w:p>
      <w:pPr>
        <w:spacing w:after="0" w:line="36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Wynn Las Vegas, LLC,</w:t>
      </w:r>
    </w:p>
    <w:p>
      <w:pPr>
        <w:spacing w:after="0" w:line="4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its sole member</w:t>
      </w: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its sole member</w:t>
      </w:r>
    </w:p>
    <w:p>
      <w:pPr>
        <w:spacing w:after="0" w:line="36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its sole member</w:t>
      </w:r>
    </w:p>
    <w:p>
      <w:pPr>
        <w:spacing w:after="0" w:line="36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24765</wp:posOffset>
            </wp:positionV>
            <wp:extent cx="4639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Name: Stephen Cootey</w:t>
      </w:r>
    </w:p>
    <w:p>
      <w:pPr>
        <w:spacing w:after="0" w:line="44"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Title: Chief Financial Officer, Senior Vice President and Treasurer</w:t>
      </w:r>
    </w:p>
    <w:p>
      <w:pPr>
        <w:spacing w:after="0" w:line="200" w:lineRule="exact"/>
        <w:rPr>
          <w:sz w:val="20"/>
          <w:szCs w:val="20"/>
          <w:color w:val="auto"/>
        </w:rPr>
      </w:pPr>
    </w:p>
    <w:p>
      <w:pPr>
        <w:spacing w:after="0" w:line="318"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000"/>
          </w:cols>
          <w:pgMar w:left="1440" w:top="774" w:right="459" w:bottom="1440" w:gutter="0" w:footer="0" w:header="0"/>
        </w:sectPr>
      </w:pPr>
    </w:p>
    <w:bookmarkStart w:id="96" w:name="page97"/>
    <w:bookmarkEnd w:id="96"/>
    <w:p>
      <w:pPr>
        <w:ind w:left="2940"/>
        <w:spacing w:after="0"/>
        <w:rPr>
          <w:sz w:val="20"/>
          <w:szCs w:val="20"/>
          <w:color w:val="auto"/>
        </w:rPr>
      </w:pPr>
      <w:r>
        <w:rPr>
          <w:rFonts w:ascii="Arial" w:cs="Arial" w:eastAsia="Arial" w:hAnsi="Arial"/>
          <w:sz w:val="22"/>
          <w:szCs w:val="22"/>
          <w:b w:val="1"/>
          <w:bCs w:val="1"/>
          <w:color w:val="auto"/>
        </w:rPr>
        <w:t>U.S. BANK NATIONAL ASSOCIATION,</w:t>
      </w:r>
    </w:p>
    <w:p>
      <w:pPr>
        <w:spacing w:after="0" w:line="50"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not in its individual capacity but solely as Trustee</w:t>
      </w:r>
    </w:p>
    <w:p>
      <w:pPr>
        <w:spacing w:after="0" w:line="200" w:lineRule="exact"/>
        <w:rPr>
          <w:sz w:val="20"/>
          <w:szCs w:val="20"/>
          <w:color w:val="auto"/>
        </w:rPr>
      </w:pPr>
    </w:p>
    <w:p>
      <w:pPr>
        <w:spacing w:after="0" w:line="203"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Raymond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24765</wp:posOffset>
            </wp:positionV>
            <wp:extent cx="4639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3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Name: Raymond Haverstock</w:t>
      </w:r>
    </w:p>
    <w:p>
      <w:pPr>
        <w:spacing w:after="0" w:line="44"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9019"/>
          </w:cols>
          <w:pgMar w:left="1440" w:top="774"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A-1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CUSIP/CINS 983130 AV7/US 983130AV78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5.50% Senior Notes due 2025</w:t>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No. ___</w:t>
      </w:r>
      <w:r>
        <w:rPr>
          <w:sz w:val="20"/>
          <w:szCs w:val="20"/>
          <w:color w:val="auto"/>
        </w:rPr>
        <w:tab/>
      </w:r>
      <w:r>
        <w:rPr>
          <w:rFonts w:ascii="Arial" w:cs="Arial" w:eastAsia="Arial" w:hAnsi="Arial"/>
          <w:sz w:val="15"/>
          <w:szCs w:val="15"/>
          <w:color w:val="auto"/>
        </w:rPr>
        <w:t>$____________</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WYNN LAS VEGAS,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WYNN LAS VEGAS CAPITAL CORP.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promise to pay to ______________________ or registered assigns,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sum of</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DOLLARS on March 1, 2025.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Dates: March 1 and September 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Record Dates: February 15 and August 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18, 2015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420"/>
          </w:cols>
          <w:pgMar w:left="240" w:top="126" w:right="239" w:bottom="1440" w:gutter="0" w:footer="0" w:header="0"/>
        </w:sectPr>
      </w:pPr>
    </w:p>
    <w:bookmarkStart w:id="98" w:name="page99"/>
    <w:bookmarkEnd w:id="98"/>
    <w:p>
      <w:pPr>
        <w:ind w:left="2700"/>
        <w:spacing w:after="0"/>
        <w:rPr>
          <w:sz w:val="20"/>
          <w:szCs w:val="20"/>
          <w:color w:val="auto"/>
        </w:rPr>
      </w:pPr>
      <w:r>
        <w:rPr>
          <w:rFonts w:ascii="Arial" w:cs="Arial" w:eastAsia="Arial" w:hAnsi="Arial"/>
          <w:sz w:val="22"/>
          <w:szCs w:val="22"/>
          <w:b w:val="1"/>
          <w:bCs w:val="1"/>
          <w:color w:val="auto"/>
        </w:rPr>
        <w:t>WYNN LAS VEGAS, LLC</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 Nevada limited liability company</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Wynn Resorts Holdings, LLC,</w:t>
      </w:r>
    </w:p>
    <w:p>
      <w:pPr>
        <w:spacing w:after="0" w:line="260"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a Nevada limited liability company,</w:t>
      </w:r>
    </w:p>
    <w:p>
      <w:pPr>
        <w:spacing w:after="0" w:line="260"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its sole member</w:t>
      </w:r>
    </w:p>
    <w:p>
      <w:pPr>
        <w:spacing w:after="0" w:line="260"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By: Wynn Resorts, Limited,</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 Nevada corporation,</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sole member</w:t>
      </w:r>
    </w:p>
    <w:p>
      <w:pPr>
        <w:spacing w:after="0" w:line="24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By:__________________________</w:t>
      </w:r>
    </w:p>
    <w:p>
      <w:pPr>
        <w:spacing w:after="0" w:line="22" w:lineRule="exact"/>
        <w:rPr>
          <w:sz w:val="20"/>
          <w:szCs w:val="20"/>
          <w:color w:val="auto"/>
        </w:rPr>
      </w:pPr>
    </w:p>
    <w:p>
      <w:pPr>
        <w:ind w:left="3840"/>
        <w:spacing w:after="0"/>
        <w:tabs>
          <w:tab w:leader="none" w:pos="4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Stephen Cootey</w:t>
      </w:r>
    </w:p>
    <w:p>
      <w:pPr>
        <w:spacing w:after="0" w:line="4"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Title: Chief Financial Officer, Senior Vice President and Treasurer</w:t>
      </w:r>
    </w:p>
    <w:p>
      <w:pPr>
        <w:spacing w:after="0" w:line="277"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By:__________________________</w:t>
      </w:r>
    </w:p>
    <w:p>
      <w:pPr>
        <w:spacing w:after="0" w:line="22" w:lineRule="exact"/>
        <w:rPr>
          <w:sz w:val="20"/>
          <w:szCs w:val="20"/>
          <w:color w:val="auto"/>
        </w:rPr>
      </w:pPr>
    </w:p>
    <w:p>
      <w:pPr>
        <w:ind w:left="3840"/>
        <w:spacing w:after="0"/>
        <w:tabs>
          <w:tab w:leader="none" w:pos="4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Kim Sinatra</w:t>
      </w:r>
    </w:p>
    <w:p>
      <w:pPr>
        <w:spacing w:after="0" w:line="4" w:lineRule="exact"/>
        <w:rPr>
          <w:sz w:val="20"/>
          <w:szCs w:val="20"/>
          <w:color w:val="auto"/>
        </w:rPr>
      </w:pPr>
    </w:p>
    <w:p>
      <w:pPr>
        <w:ind w:left="3840"/>
        <w:spacing w:after="0"/>
        <w:tabs>
          <w:tab w:leader="none" w:pos="4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Secretary</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WYNN LAS VEGAS CAPITAL CORP.</w:t>
      </w:r>
      <w:r>
        <w:rPr>
          <w:rFonts w:ascii="Arial" w:cs="Arial" w:eastAsia="Arial" w:hAnsi="Arial"/>
          <w:sz w:val="22"/>
          <w:szCs w:val="22"/>
          <w:color w:val="auto"/>
        </w:rPr>
        <w:t>,</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 Nevada corporation</w:t>
      </w: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ind w:left="3100"/>
        <w:spacing w:after="0"/>
        <w:tabs>
          <w:tab w:leader="none" w:pos="3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Stephen Cootey</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Title:Chief Financial Officer, Senior Vice President and Treasurer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ind w:left="3100"/>
        <w:spacing w:after="0"/>
        <w:tabs>
          <w:tab w:leader="none" w:pos="3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Kim Sinatra</w:t>
      </w:r>
    </w:p>
    <w:p>
      <w:pPr>
        <w:spacing w:after="0" w:line="4" w:lineRule="exact"/>
        <w:rPr>
          <w:sz w:val="20"/>
          <w:szCs w:val="20"/>
          <w:color w:val="auto"/>
        </w:rPr>
      </w:pPr>
    </w:p>
    <w:p>
      <w:pPr>
        <w:ind w:left="3100"/>
        <w:spacing w:after="0"/>
        <w:tabs>
          <w:tab w:leader="none" w:pos="3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9600"/>
          </w:cols>
          <w:pgMar w:left="1440" w:top="828" w:right="8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This is one of the Notes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within-mentioned Indenture: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Trustee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Authorized Signatory</w:t>
      </w:r>
    </w:p>
    <w:p>
      <w:pPr>
        <w:spacing w:after="0" w:line="246" w:lineRule="exact"/>
        <w:rPr>
          <w:sz w:val="20"/>
          <w:szCs w:val="20"/>
          <w:color w:val="auto"/>
        </w:rPr>
      </w:pPr>
    </w:p>
    <w:p>
      <w:pPr>
        <w:jc w:val="right"/>
        <w:ind w:right="423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0219"/>
          </w:cols>
          <w:pgMar w:left="240" w:top="824" w:right="1440"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22"/>
          <w:szCs w:val="22"/>
          <w:color w:val="auto"/>
        </w:rPr>
        <w:t>[Back of Note]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2800"/>
        <w:spacing w:after="0" w:line="51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Insert the Private Placement Legend, if applicable, pursuant to Section 2.06(f)(1) of the Indenture</w:t>
      </w:r>
      <w:r>
        <w:rPr>
          <w:rFonts w:ascii="Arial" w:cs="Arial" w:eastAsia="Arial" w:hAnsi="Arial"/>
          <w:sz w:val="19"/>
          <w:szCs w:val="19"/>
          <w:color w:val="auto"/>
        </w:rPr>
        <w:t>] [</w:t>
      </w:r>
      <w:r>
        <w:rPr>
          <w:rFonts w:ascii="Arial" w:cs="Arial" w:eastAsia="Arial" w:hAnsi="Arial"/>
          <w:sz w:val="19"/>
          <w:szCs w:val="19"/>
          <w:i w:val="1"/>
          <w:iCs w:val="1"/>
          <w:color w:val="auto"/>
        </w:rPr>
        <w:t>Insert the Global Notes Legend, if applicable, pursuant to Section 2.06(f)(2) of the Indenture</w:t>
      </w:r>
      <w:r>
        <w:rPr>
          <w:rFonts w:ascii="Arial" w:cs="Arial" w:eastAsia="Arial" w:hAnsi="Arial"/>
          <w:sz w:val="19"/>
          <w:szCs w:val="19"/>
          <w:color w:val="auto"/>
        </w:rPr>
        <w:t>]</w:t>
      </w: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firstLine="1305"/>
        <w:spacing w:after="0" w:line="258" w:lineRule="auto"/>
        <w:tabs>
          <w:tab w:leader="none" w:pos="1742" w:val="left"/>
        </w:tabs>
        <w:numPr>
          <w:ilvl w:val="0"/>
          <w:numId w:val="118"/>
        </w:numPr>
        <w:rPr>
          <w:rFonts w:ascii="Arial" w:cs="Arial" w:eastAsia="Arial" w:hAnsi="Arial"/>
          <w:sz w:val="21"/>
          <w:szCs w:val="21"/>
          <w:color w:val="auto"/>
        </w:rPr>
      </w:pPr>
      <w:r>
        <w:rPr>
          <w:rFonts w:ascii="Arial" w:cs="Arial" w:eastAsia="Arial" w:hAnsi="Arial"/>
          <w:sz w:val="21"/>
          <w:szCs w:val="21"/>
          <w:i w:val="1"/>
          <w:iCs w:val="1"/>
          <w:color w:val="auto"/>
        </w:rPr>
        <w:t>Interest</w:t>
      </w:r>
      <w:r>
        <w:rPr>
          <w:rFonts w:ascii="Arial" w:cs="Arial" w:eastAsia="Arial" w:hAnsi="Arial"/>
          <w:sz w:val="21"/>
          <w:szCs w:val="21"/>
          <w:color w:val="auto"/>
        </w:rPr>
        <w:t>. Wynn Las Vegas, LLC, a Nevada limited liability company (“</w:t>
      </w:r>
      <w:r>
        <w:rPr>
          <w:rFonts w:ascii="Arial" w:cs="Arial" w:eastAsia="Arial" w:hAnsi="Arial"/>
          <w:sz w:val="21"/>
          <w:szCs w:val="21"/>
          <w:i w:val="1"/>
          <w:iCs w:val="1"/>
          <w:u w:val="single" w:color="auto"/>
          <w:color w:val="auto"/>
        </w:rPr>
        <w:t>Wynn Las Vegas</w:t>
      </w:r>
      <w:r>
        <w:rPr>
          <w:rFonts w:ascii="Arial" w:cs="Arial" w:eastAsia="Arial" w:hAnsi="Arial"/>
          <w:sz w:val="21"/>
          <w:szCs w:val="21"/>
          <w:color w:val="auto"/>
        </w:rPr>
        <w:t>” ) and Wynn Las Vegas</w:t>
      </w:r>
      <w:r>
        <w:rPr>
          <w:rFonts w:ascii="Arial" w:cs="Arial" w:eastAsia="Arial" w:hAnsi="Arial"/>
          <w:sz w:val="21"/>
          <w:szCs w:val="21"/>
          <w:i w:val="1"/>
          <w:iCs w:val="1"/>
          <w:color w:val="auto"/>
        </w:rPr>
        <w:t xml:space="preserve"> </w:t>
      </w:r>
      <w:r>
        <w:rPr>
          <w:rFonts w:ascii="Arial" w:cs="Arial" w:eastAsia="Arial" w:hAnsi="Arial"/>
          <w:sz w:val="21"/>
          <w:szCs w:val="21"/>
          <w:color w:val="auto"/>
        </w:rPr>
        <w:t>Capital Corp., a Nevada corporation (“Wynn Capital,” and together with Wynn Las Vegas,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as joint and several obligors, promise to pay interest on the principal amount of this Note at 5.50% per annum from February 18, 2015 until maturity. The Issuers shall pay interest semi-annually in arrears on March 1 and September 1 of each year, or if any such day is not a Business Day, on the next succeeding Business Day (each, an “</w:t>
      </w:r>
      <w:r>
        <w:rPr>
          <w:rFonts w:ascii="Arial" w:cs="Arial" w:eastAsia="Arial" w:hAnsi="Arial"/>
          <w:sz w:val="21"/>
          <w:szCs w:val="21"/>
          <w:i w:val="1"/>
          <w:iCs w:val="1"/>
          <w:u w:val="single" w:color="auto"/>
          <w:color w:val="auto"/>
        </w:rPr>
        <w:t>Interest Payment Date</w:t>
      </w:r>
      <w:r>
        <w:rPr>
          <w:rFonts w:ascii="Arial" w:cs="Arial" w:eastAsia="Arial" w:hAnsi="Arial"/>
          <w:sz w:val="21"/>
          <w:szCs w:val="21"/>
          <w:color w:val="auto"/>
        </w:rPr>
        <w:t xml:space="preserve">”). Interest on the Notes shall accrue from the most recent date to which interest has been paid or, if no interest has been paid, from the date of issuance;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first Interest Payment Date shall be September 1, 2015. The Issuers shall pay interest (including post-petition</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7" w:lineRule="exact"/>
        <w:rPr>
          <w:rFonts w:ascii="Arial" w:cs="Arial" w:eastAsia="Arial" w:hAnsi="Arial"/>
          <w:sz w:val="21"/>
          <w:szCs w:val="21"/>
          <w:color w:val="auto"/>
        </w:rPr>
      </w:pPr>
    </w:p>
    <w:p>
      <w:pPr>
        <w:jc w:val="both"/>
        <w:ind w:firstLine="1305"/>
        <w:spacing w:after="0" w:line="290" w:lineRule="auto"/>
        <w:tabs>
          <w:tab w:leader="none" w:pos="1769" w:val="left"/>
        </w:tabs>
        <w:numPr>
          <w:ilvl w:val="0"/>
          <w:numId w:val="118"/>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to the Persons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are registered Holders of Notes at the close of business on the February 15 or August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55" w:lineRule="exact"/>
        <w:rPr>
          <w:rFonts w:ascii="Arial" w:cs="Arial" w:eastAsia="Arial" w:hAnsi="Arial"/>
          <w:sz w:val="19"/>
          <w:szCs w:val="19"/>
          <w:color w:val="auto"/>
        </w:rPr>
      </w:pPr>
    </w:p>
    <w:p>
      <w:pPr>
        <w:ind w:firstLine="1305"/>
        <w:spacing w:after="0" w:line="276" w:lineRule="auto"/>
        <w:tabs>
          <w:tab w:leader="none" w:pos="1783"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 shall</w:t>
      </w:r>
      <w:r>
        <w:rPr>
          <w:rFonts w:ascii="Arial" w:cs="Arial" w:eastAsia="Arial" w:hAnsi="Arial"/>
          <w:sz w:val="22"/>
          <w:szCs w:val="22"/>
          <w:i w:val="1"/>
          <w:iCs w:val="1"/>
          <w:color w:val="auto"/>
        </w:rPr>
        <w:t xml:space="preserve"> </w:t>
      </w:r>
      <w:r>
        <w:rPr>
          <w:rFonts w:ascii="Arial" w:cs="Arial" w:eastAsia="Arial" w:hAnsi="Arial"/>
          <w:sz w:val="22"/>
          <w:szCs w:val="22"/>
          <w:color w:val="auto"/>
        </w:rPr>
        <w:t>act as Paying Agent and Registrar. The Issuers may change 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420"/>
          </w:cols>
          <w:pgMar w:left="240" w:top="631"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Paying Agent or Registrar without notice to any Holder. Either Issuer or any Guarantor may act in any such capacity.</w:t>
      </w:r>
    </w:p>
    <w:p>
      <w:pPr>
        <w:spacing w:after="0" w:line="220" w:lineRule="exact"/>
        <w:rPr>
          <w:sz w:val="20"/>
          <w:szCs w:val="20"/>
          <w:color w:val="auto"/>
        </w:rPr>
      </w:pPr>
    </w:p>
    <w:p>
      <w:pPr>
        <w:jc w:val="both"/>
        <w:ind w:firstLine="1305"/>
        <w:spacing w:after="0" w:line="260" w:lineRule="auto"/>
        <w:tabs>
          <w:tab w:leader="none" w:pos="1742" w:val="left"/>
        </w:tabs>
        <w:numPr>
          <w:ilvl w:val="0"/>
          <w:numId w:val="119"/>
        </w:numPr>
        <w:rPr>
          <w:rFonts w:ascii="Arial" w:cs="Arial" w:eastAsia="Arial" w:hAnsi="Arial"/>
          <w:sz w:val="21"/>
          <w:szCs w:val="21"/>
          <w:color w:val="auto"/>
        </w:rPr>
      </w:pPr>
      <w:r>
        <w:rPr>
          <w:rFonts w:ascii="Arial" w:cs="Arial" w:eastAsia="Arial" w:hAnsi="Arial"/>
          <w:sz w:val="21"/>
          <w:szCs w:val="21"/>
          <w:i w:val="1"/>
          <w:iCs w:val="1"/>
          <w:color w:val="auto"/>
        </w:rPr>
        <w:t>Indenture and the Pledge Agreement</w:t>
      </w:r>
      <w:r>
        <w:rPr>
          <w:rFonts w:ascii="Arial" w:cs="Arial" w:eastAsia="Arial" w:hAnsi="Arial"/>
          <w:sz w:val="21"/>
          <w:szCs w:val="21"/>
          <w:color w:val="auto"/>
        </w:rPr>
        <w:t>. The Issuers issued the Notes under an Indenture dated as of February 18,</w:t>
      </w:r>
      <w:r>
        <w:rPr>
          <w:rFonts w:ascii="Arial" w:cs="Arial" w:eastAsia="Arial" w:hAnsi="Arial"/>
          <w:sz w:val="21"/>
          <w:szCs w:val="21"/>
          <w:i w:val="1"/>
          <w:iCs w:val="1"/>
          <w:color w:val="auto"/>
        </w:rPr>
        <w:t xml:space="preserve"> </w:t>
      </w:r>
      <w:r>
        <w:rPr>
          <w:rFonts w:ascii="Arial" w:cs="Arial" w:eastAsia="Arial" w:hAnsi="Arial"/>
          <w:sz w:val="21"/>
          <w:szCs w:val="21"/>
          <w:color w:val="auto"/>
        </w:rPr>
        <w:t>2015 (the “</w:t>
      </w:r>
      <w:r>
        <w:rPr>
          <w:rFonts w:ascii="Arial" w:cs="Arial" w:eastAsia="Arial" w:hAnsi="Arial"/>
          <w:sz w:val="21"/>
          <w:szCs w:val="21"/>
          <w:i w:val="1"/>
          <w:iCs w:val="1"/>
          <w:u w:val="single" w:color="auto"/>
          <w:color w:val="auto"/>
        </w:rPr>
        <w:t>Indenture</w:t>
      </w:r>
      <w:r>
        <w:rPr>
          <w:rFonts w:ascii="Arial" w:cs="Arial" w:eastAsia="Arial" w:hAnsi="Arial"/>
          <w:sz w:val="21"/>
          <w:szCs w:val="21"/>
          <w:color w:val="auto"/>
        </w:rPr>
        <w:t>”) 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except that the Notes will be secured by a first priority pledge by Wynn Resorts Holdings of its Equity Interests in Wynn Las Vegas together with any distributions, rights and proceeds in respect thereof pursuant to the Pledge Agreement referred to in the Indenture.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21"/>
          <w:szCs w:val="21"/>
          <w:i w:val="1"/>
          <w:iCs w:val="1"/>
          <w:u w:val="single" w:color="auto"/>
          <w:color w:val="auto"/>
        </w:rPr>
        <w:t>Additional Notes</w:t>
      </w:r>
      <w:r>
        <w:rPr>
          <w:rFonts w:ascii="Arial" w:cs="Arial" w:eastAsia="Arial" w:hAnsi="Arial"/>
          <w:sz w:val="21"/>
          <w:szCs w:val="21"/>
          <w:color w:val="auto"/>
        </w:rPr>
        <w:t>.” The term “</w:t>
      </w:r>
      <w:r>
        <w:rPr>
          <w:rFonts w:ascii="Arial" w:cs="Arial" w:eastAsia="Arial" w:hAnsi="Arial"/>
          <w:sz w:val="21"/>
          <w:szCs w:val="21"/>
          <w:i w:val="1"/>
          <w:iCs w:val="1"/>
          <w:u w:val="single" w:color="auto"/>
          <w:color w:val="auto"/>
        </w:rPr>
        <w:t>Notes</w:t>
      </w:r>
      <w:r>
        <w:rPr>
          <w:rFonts w:ascii="Arial" w:cs="Arial" w:eastAsia="Arial" w:hAnsi="Arial"/>
          <w:sz w:val="21"/>
          <w:szCs w:val="21"/>
          <w:color w:val="auto"/>
        </w:rPr>
        <w:t>” includes any Additional Notes hereafter issued.</w:t>
      </w:r>
    </w:p>
    <w:p>
      <w:pPr>
        <w:spacing w:after="0" w:line="179" w:lineRule="exact"/>
        <w:rPr>
          <w:rFonts w:ascii="Arial" w:cs="Arial" w:eastAsia="Arial" w:hAnsi="Arial"/>
          <w:sz w:val="21"/>
          <w:szCs w:val="21"/>
          <w:color w:val="auto"/>
        </w:rPr>
      </w:pPr>
    </w:p>
    <w:p>
      <w:pPr>
        <w:ind w:right="20" w:firstLine="1305"/>
        <w:spacing w:after="0" w:line="276" w:lineRule="auto"/>
        <w:tabs>
          <w:tab w:leader="none" w:pos="1728" w:val="left"/>
        </w:tabs>
        <w:numPr>
          <w:ilvl w:val="0"/>
          <w:numId w:val="119"/>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 The Notes are redeemable at the Issuers’ election, in whole or in part at any time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their Stated Maturity.</w:t>
      </w:r>
    </w:p>
    <w:p>
      <w:pPr>
        <w:spacing w:after="0" w:line="160" w:lineRule="exact"/>
        <w:rPr>
          <w:rFonts w:ascii="Arial" w:cs="Arial" w:eastAsia="Arial" w:hAnsi="Arial"/>
          <w:sz w:val="22"/>
          <w:szCs w:val="22"/>
          <w:color w:val="auto"/>
        </w:rPr>
      </w:pPr>
    </w:p>
    <w:p>
      <w:pPr>
        <w:ind w:left="2460" w:hanging="507"/>
        <w:spacing w:after="0"/>
        <w:tabs>
          <w:tab w:leader="none" w:pos="246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redemption price for the Notes that are redeemed before December 1, 2024 will be equal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greater of:</w:t>
      </w:r>
    </w:p>
    <w:p>
      <w:pPr>
        <w:spacing w:after="0" w:line="215" w:lineRule="exact"/>
        <w:rPr>
          <w:rFonts w:ascii="Arial" w:cs="Arial" w:eastAsia="Arial" w:hAnsi="Arial"/>
          <w:sz w:val="19"/>
          <w:szCs w:val="19"/>
          <w:color w:val="auto"/>
        </w:rPr>
      </w:pPr>
    </w:p>
    <w:p>
      <w:pPr>
        <w:ind w:left="2920" w:hanging="319"/>
        <w:spacing w:after="0"/>
        <w:tabs>
          <w:tab w:leader="none" w:pos="292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left="2920" w:hanging="319"/>
        <w:spacing w:after="0" w:line="263" w:lineRule="auto"/>
        <w:tabs>
          <w:tab w:leader="none" w:pos="2920" w:val="left"/>
        </w:tabs>
        <w:numPr>
          <w:ilvl w:val="2"/>
          <w:numId w:val="119"/>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plus, in either of the above cases, accrued and unpaid interest to the date of redemption on the Notes to be redeemed.</w:t>
      </w:r>
    </w:p>
    <w:p>
      <w:pPr>
        <w:spacing w:after="0" w:line="231" w:lineRule="exact"/>
        <w:rPr>
          <w:sz w:val="20"/>
          <w:szCs w:val="20"/>
          <w:color w:val="auto"/>
        </w:rPr>
      </w:pPr>
    </w:p>
    <w:p>
      <w:pPr>
        <w:ind w:firstLine="1953"/>
        <w:spacing w:after="0" w:line="358" w:lineRule="auto"/>
        <w:tabs>
          <w:tab w:leader="none" w:pos="244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redemption price for Notes that are redeemed on or after December 1, 2024 will be equal to the sum of 100% of their principal amount, plus accrued and unpaid interest to the date of redemption on the Notes to be redeemed.</w:t>
      </w:r>
    </w:p>
    <w:p>
      <w:pPr>
        <w:spacing w:after="0" w:line="9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Unless the Issuers default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ind w:right="20" w:firstLine="1305"/>
        <w:spacing w:after="0" w:line="276" w:lineRule="auto"/>
        <w:tabs>
          <w:tab w:leader="none" w:pos="1742" w:val="left"/>
        </w:tabs>
        <w:numPr>
          <w:ilvl w:val="0"/>
          <w:numId w:val="121"/>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 make</w:t>
      </w:r>
      <w:r>
        <w:rPr>
          <w:rFonts w:ascii="Arial" w:cs="Arial" w:eastAsia="Arial" w:hAnsi="Arial"/>
          <w:sz w:val="22"/>
          <w:szCs w:val="22"/>
          <w:i w:val="1"/>
          <w:iCs w:val="1"/>
          <w:color w:val="auto"/>
        </w:rPr>
        <w:t xml:space="preserve"> </w:t>
      </w:r>
      <w:r>
        <w:rPr>
          <w:rFonts w:ascii="Arial" w:cs="Arial" w:eastAsia="Arial" w:hAnsi="Arial"/>
          <w:sz w:val="22"/>
          <w:szCs w:val="22"/>
          <w:color w:val="auto"/>
        </w:rPr>
        <w:t>mandatory redemption or sinking fund payments with respect to the Notes.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420"/>
          </w:cols>
          <w:pgMar w:left="240" w:top="631" w:right="239" w:bottom="1440" w:gutter="0" w:footer="0" w:header="0"/>
        </w:sectPr>
      </w:pPr>
    </w:p>
    <w:bookmarkStart w:id="102" w:name="page103"/>
    <w:bookmarkEnd w:id="102"/>
    <w:p>
      <w:pPr>
        <w:jc w:val="both"/>
        <w:ind w:firstLine="1305"/>
        <w:spacing w:after="0" w:line="290" w:lineRule="auto"/>
        <w:tabs>
          <w:tab w:leader="none" w:pos="1769" w:val="left"/>
        </w:tabs>
        <w:numPr>
          <w:ilvl w:val="1"/>
          <w:numId w:val="122"/>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w:t>
      </w:r>
    </w:p>
    <w:p>
      <w:pPr>
        <w:spacing w:after="0" w:line="1" w:lineRule="exact"/>
        <w:rPr>
          <w:rFonts w:ascii="Arial" w:cs="Arial" w:eastAsia="Arial" w:hAnsi="Arial"/>
          <w:sz w:val="19"/>
          <w:szCs w:val="19"/>
          <w:color w:val="auto"/>
        </w:rPr>
      </w:pPr>
    </w:p>
    <w:p>
      <w:pPr>
        <w:jc w:val="both"/>
        <w:ind w:firstLine="8"/>
        <w:spacing w:after="0" w:line="256" w:lineRule="auto"/>
        <w:tabs>
          <w:tab w:leader="none" w:pos="32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6" w:lineRule="exact"/>
        <w:rPr>
          <w:sz w:val="20"/>
          <w:szCs w:val="20"/>
          <w:color w:val="auto"/>
        </w:rPr>
      </w:pPr>
    </w:p>
    <w:p>
      <w:pPr>
        <w:jc w:val="both"/>
        <w:ind w:firstLine="1305"/>
        <w:spacing w:after="0" w:line="250" w:lineRule="auto"/>
        <w:tabs>
          <w:tab w:leader="none" w:pos="1810" w:val="left"/>
        </w:tabs>
        <w:numPr>
          <w:ilvl w:val="0"/>
          <w:numId w:val="124"/>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 If a Change of Control Triggering Event occurs, the Issuers shall make an</w:t>
      </w:r>
      <w:r>
        <w:rPr>
          <w:rFonts w:ascii="Arial" w:cs="Arial" w:eastAsia="Arial" w:hAnsi="Arial"/>
          <w:sz w:val="22"/>
          <w:szCs w:val="22"/>
          <w:i w:val="1"/>
          <w:iCs w:val="1"/>
          <w:color w:val="auto"/>
        </w:rPr>
        <w:t xml:space="preserve"> </w:t>
      </w:r>
      <w:r>
        <w:rPr>
          <w:rFonts w:ascii="Arial" w:cs="Arial" w:eastAsia="Arial" w:hAnsi="Arial"/>
          <w:sz w:val="22"/>
          <w:szCs w:val="22"/>
          <w:color w:val="auto"/>
        </w:rPr>
        <w:t>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if any, to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Triggering Event, the Issuers shall mail a notice to each Holder setting forth the procedures governing the Change of Control Offer as required by the Indenture.</w:t>
      </w:r>
    </w:p>
    <w:p>
      <w:pPr>
        <w:spacing w:after="0" w:line="188" w:lineRule="exact"/>
        <w:rPr>
          <w:rFonts w:ascii="Arial" w:cs="Arial" w:eastAsia="Arial" w:hAnsi="Arial"/>
          <w:sz w:val="22"/>
          <w:szCs w:val="22"/>
          <w:color w:val="auto"/>
        </w:rPr>
      </w:pPr>
    </w:p>
    <w:p>
      <w:pPr>
        <w:jc w:val="both"/>
        <w:ind w:right="20" w:firstLine="1305"/>
        <w:spacing w:after="0" w:line="320" w:lineRule="auto"/>
        <w:tabs>
          <w:tab w:leader="none" w:pos="1823" w:val="left"/>
        </w:tabs>
        <w:numPr>
          <w:ilvl w:val="0"/>
          <w:numId w:val="124"/>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30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420"/>
          </w:cols>
          <w:pgMar w:left="240" w:top="631" w:right="239" w:bottom="1440" w:gutter="0" w:footer="0" w:header="0"/>
        </w:sectPr>
      </w:pPr>
    </w:p>
    <w:bookmarkStart w:id="103" w:name="page104"/>
    <w:bookmarkEnd w:id="103"/>
    <w:p>
      <w:pPr>
        <w:jc w:val="both"/>
        <w:spacing w:after="0" w:line="271" w:lineRule="auto"/>
        <w:rPr>
          <w:sz w:val="20"/>
          <w:szCs w:val="20"/>
          <w:color w:val="auto"/>
        </w:rPr>
      </w:pPr>
      <w:r>
        <w:rPr>
          <w:rFonts w:ascii="Arial" w:cs="Arial" w:eastAsia="Arial" w:hAnsi="Arial"/>
          <w:sz w:val="21"/>
          <w:szCs w:val="21"/>
          <w:color w:val="auto"/>
        </w:rPr>
        <w:t>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68" w:lineRule="exact"/>
        <w:rPr>
          <w:sz w:val="20"/>
          <w:szCs w:val="20"/>
          <w:color w:val="auto"/>
        </w:rPr>
      </w:pPr>
    </w:p>
    <w:p>
      <w:pPr>
        <w:jc w:val="both"/>
        <w:ind w:firstLine="1305"/>
        <w:spacing w:after="0" w:line="261" w:lineRule="auto"/>
        <w:tabs>
          <w:tab w:leader="none" w:pos="1891" w:val="left"/>
        </w:tabs>
        <w:numPr>
          <w:ilvl w:val="0"/>
          <w:numId w:val="125"/>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 of</w:t>
      </w:r>
      <w:r>
        <w:rPr>
          <w:rFonts w:ascii="Arial" w:cs="Arial" w:eastAsia="Arial" w:hAnsi="Arial"/>
          <w:sz w:val="21"/>
          <w:szCs w:val="21"/>
          <w:i w:val="1"/>
          <w:iCs w:val="1"/>
          <w:color w:val="auto"/>
        </w:rPr>
        <w:t xml:space="preserve"> </w:t>
      </w:r>
      <w:r>
        <w:rPr>
          <w:rFonts w:ascii="Arial" w:cs="Arial" w:eastAsia="Arial" w:hAnsi="Arial"/>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81" w:lineRule="exact"/>
        <w:rPr>
          <w:rFonts w:ascii="Arial" w:cs="Arial" w:eastAsia="Arial" w:hAnsi="Arial"/>
          <w:sz w:val="21"/>
          <w:szCs w:val="21"/>
          <w:color w:val="auto"/>
        </w:rPr>
      </w:pPr>
    </w:p>
    <w:p>
      <w:pPr>
        <w:ind w:left="1840" w:hanging="535"/>
        <w:spacing w:after="0"/>
        <w:tabs>
          <w:tab w:leader="none" w:pos="1840" w:val="left"/>
        </w:tabs>
        <w:numPr>
          <w:ilvl w:val="0"/>
          <w:numId w:val="125"/>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1840" w:hanging="535"/>
        <w:spacing w:after="0"/>
        <w:tabs>
          <w:tab w:leader="none" w:pos="1840" w:val="left"/>
        </w:tabs>
        <w:numPr>
          <w:ilvl w:val="0"/>
          <w:numId w:val="125"/>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64" w:lineRule="auto"/>
        <w:tabs>
          <w:tab w:leader="none" w:pos="2378" w:val="left"/>
        </w:tabs>
        <w:numPr>
          <w:ilvl w:val="1"/>
          <w:numId w:val="125"/>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the Note Guarantees and, subject to the terms of the Intercreditor Agreement and the Indenture, the Pledge Agreement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Pledge Agreement may be waived with the consent of the Holders of a majority in principal amount of the then outstanding Notes, voting as a single class.</w:t>
      </w:r>
    </w:p>
    <w:p>
      <w:pPr>
        <w:spacing w:after="0" w:line="175" w:lineRule="exact"/>
        <w:rPr>
          <w:rFonts w:ascii="Arial" w:cs="Arial" w:eastAsia="Arial" w:hAnsi="Arial"/>
          <w:sz w:val="21"/>
          <w:szCs w:val="21"/>
          <w:color w:val="auto"/>
        </w:rPr>
      </w:pPr>
    </w:p>
    <w:p>
      <w:pPr>
        <w:jc w:val="both"/>
        <w:ind w:firstLine="1953"/>
        <w:spacing w:after="0" w:line="288" w:lineRule="auto"/>
        <w:tabs>
          <w:tab w:leader="none" w:pos="2431" w:val="left"/>
        </w:tabs>
        <w:numPr>
          <w:ilvl w:val="1"/>
          <w:numId w:val="125"/>
        </w:numPr>
        <w:rPr>
          <w:rFonts w:ascii="Arial" w:cs="Arial" w:eastAsia="Arial" w:hAnsi="Arial"/>
          <w:sz w:val="19"/>
          <w:szCs w:val="19"/>
          <w:color w:val="auto"/>
        </w:rPr>
      </w:pPr>
      <w:r>
        <w:rPr>
          <w:rFonts w:ascii="Arial" w:cs="Arial" w:eastAsia="Arial" w:hAnsi="Arial"/>
          <w:sz w:val="19"/>
          <w:szCs w:val="19"/>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420"/>
          </w:cols>
          <w:pgMar w:left="240" w:top="631" w:right="239" w:bottom="1440" w:gutter="0" w:footer="0" w:header="0"/>
        </w:sectPr>
      </w:pPr>
    </w:p>
    <w:bookmarkStart w:id="104" w:name="page105"/>
    <w:bookmarkEnd w:id="104"/>
    <w:p>
      <w:pPr>
        <w:jc w:val="both"/>
        <w:ind w:firstLine="8"/>
        <w:spacing w:after="0" w:line="253" w:lineRule="auto"/>
        <w:tabs>
          <w:tab w:leader="none" w:pos="38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except in accordance with the provisions of the Indenture, Pledge Agreement and the Intercreditor Agreement, (x) amend Section 10.03 of the Indenture or (xi) make any change in the preceding amendment and waiver provisions.</w:t>
      </w:r>
    </w:p>
    <w:p>
      <w:pPr>
        <w:spacing w:after="0" w:line="185" w:lineRule="exact"/>
        <w:rPr>
          <w:rFonts w:ascii="Arial" w:cs="Arial" w:eastAsia="Arial" w:hAnsi="Arial"/>
          <w:sz w:val="22"/>
          <w:szCs w:val="22"/>
          <w:color w:val="auto"/>
        </w:rPr>
      </w:pPr>
    </w:p>
    <w:p>
      <w:pPr>
        <w:jc w:val="both"/>
        <w:ind w:firstLine="1953"/>
        <w:spacing w:after="0" w:line="299" w:lineRule="auto"/>
        <w:tabs>
          <w:tab w:leader="none" w:pos="2378" w:val="left"/>
        </w:tabs>
        <w:numPr>
          <w:ilvl w:val="2"/>
          <w:numId w:val="126"/>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the Note Guarantees or Pledge Agreement to (i) cure any ambiguity, defect or inconsistency,</w:t>
      </w:r>
    </w:p>
    <w:p>
      <w:pPr>
        <w:jc w:val="both"/>
        <w:ind w:firstLine="8"/>
        <w:spacing w:after="0" w:line="285" w:lineRule="auto"/>
        <w:tabs>
          <w:tab w:leader="none" w:pos="33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February 11, 2015,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provide for the issuance of Additional Notes in accordance with the limitations set forth in the Indenture as of the date of the Indenture, (vii) allow any Guarantor to execute a supplemental indenture to the Indenture and/or a Note Guarantee with respect to the Notes, (viii) enter into additional or supplemental pledge agreements or Guarantees or an intercreditor agreement with respect thereto or (ix) provide for the Notes to become secured.</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305"/>
        <w:spacing w:after="0" w:line="286" w:lineRule="auto"/>
        <w:tabs>
          <w:tab w:leader="none" w:pos="1837" w:val="left"/>
        </w:tabs>
        <w:numPr>
          <w:ilvl w:val="1"/>
          <w:numId w:val="127"/>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if 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Guarantors to comply with Sections 4.11 or 5.01 of the Indenture; (iv) failure by Wynn Capital, Wynn Las Vegas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Las Vegas or any Guarantor (or the payment of which is guaranteed by Wynn Las Vegas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$25.0 million or more, if such acceleration is not annulled within 30 days after written notice as provided in the Indenture; (vi) failure by Wynn Capital, Wynn Las Vegas or any of the Guarantors to pay final non-appealable judgments (not paid or covered by insurance as to which the relevant insurance company has not denied responsibility) aggregating in excess of $25.0 million, which judgments are not paid, bonded, discharged or stayed for a period of 60 days; (vii) the Pledge Agreement shall cease, for any reason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420"/>
          </w:cols>
          <w:pgMar w:left="240" w:top="631" w:right="239" w:bottom="1440" w:gutter="0" w:footer="0" w:header="0"/>
        </w:sectPr>
      </w:pPr>
    </w:p>
    <w:bookmarkStart w:id="105" w:name="page106"/>
    <w:bookmarkEnd w:id="105"/>
    <w:p>
      <w:pPr>
        <w:jc w:val="both"/>
        <w:spacing w:after="0" w:line="248" w:lineRule="auto"/>
        <w:rPr>
          <w:sz w:val="20"/>
          <w:szCs w:val="20"/>
          <w:color w:val="auto"/>
        </w:rPr>
      </w:pPr>
      <w:r>
        <w:rPr>
          <w:rFonts w:ascii="Arial" w:cs="Arial" w:eastAsia="Arial" w:hAnsi="Arial"/>
          <w:sz w:val="22"/>
          <w:szCs w:val="22"/>
          <w:color w:val="auto"/>
        </w:rPr>
        <w:t>(other than pursuant to its terms or the terms of the Indenture), to be in full force and effect or Wynn Capital, Wynn Las Vegas or any Affiliate of any such Person or any Person acting on behalf of any such Person, shall so assert, or any security interest created, or purported to be created, by Pledge Agreement shall cease to be enforceable and of the same effect and priority purported to be created by the Pledge Agreement; or (vii) certain events of bankruptcy or insolvency described in the Indenture with respect to (a) either Issuer or (b) any Guarantor.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or</w:t>
      </w:r>
    </w:p>
    <w:p>
      <w:pPr>
        <w:spacing w:after="0" w:line="56" w:lineRule="exact"/>
        <w:rPr>
          <w:sz w:val="20"/>
          <w:szCs w:val="20"/>
          <w:color w:val="auto"/>
        </w:rPr>
      </w:pPr>
    </w:p>
    <w:p>
      <w:pPr>
        <w:jc w:val="both"/>
        <w:ind w:firstLine="8"/>
        <w:spacing w:after="0" w:line="256" w:lineRule="auto"/>
        <w:tabs>
          <w:tab w:leader="none" w:pos="32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the Pledge Agreement.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85" w:lineRule="exact"/>
        <w:rPr>
          <w:rFonts w:ascii="Arial" w:cs="Arial" w:eastAsia="Arial" w:hAnsi="Arial"/>
          <w:sz w:val="21"/>
          <w:szCs w:val="21"/>
          <w:color w:val="auto"/>
        </w:rPr>
      </w:pPr>
    </w:p>
    <w:p>
      <w:pPr>
        <w:jc w:val="both"/>
        <w:ind w:firstLine="1305"/>
        <w:spacing w:after="0" w:line="260" w:lineRule="auto"/>
        <w:tabs>
          <w:tab w:leader="none" w:pos="1918" w:val="left"/>
        </w:tabs>
        <w:numPr>
          <w:ilvl w:val="1"/>
          <w:numId w:val="128"/>
        </w:numPr>
        <w:rPr>
          <w:rFonts w:ascii="Arial" w:cs="Arial" w:eastAsia="Arial" w:hAnsi="Arial"/>
          <w:sz w:val="22"/>
          <w:szCs w:val="22"/>
          <w:color w:val="auto"/>
        </w:rPr>
      </w:pPr>
      <w:r>
        <w:rPr>
          <w:rFonts w:ascii="Arial" w:cs="Arial" w:eastAsia="Arial" w:hAnsi="Arial"/>
          <w:sz w:val="22"/>
          <w:szCs w:val="22"/>
          <w:i w:val="1"/>
          <w:iCs w:val="1"/>
          <w:color w:val="auto"/>
        </w:rPr>
        <w:t>Intercreditor Agreement</w:t>
      </w:r>
      <w:r>
        <w:rPr>
          <w:rFonts w:ascii="Arial" w:cs="Arial" w:eastAsia="Arial" w:hAnsi="Arial"/>
          <w:sz w:val="22"/>
          <w:szCs w:val="22"/>
          <w:color w:val="auto"/>
        </w:rPr>
        <w:t>. The Indenture authorizes the Trustee to enter into the Intercreditor Agreement on</w:t>
      </w:r>
      <w:r>
        <w:rPr>
          <w:rFonts w:ascii="Arial" w:cs="Arial" w:eastAsia="Arial" w:hAnsi="Arial"/>
          <w:sz w:val="22"/>
          <w:szCs w:val="22"/>
          <w:i w:val="1"/>
          <w:iCs w:val="1"/>
          <w:color w:val="auto"/>
        </w:rPr>
        <w:t xml:space="preserve"> </w:t>
      </w:r>
      <w:r>
        <w:rPr>
          <w:rFonts w:ascii="Arial" w:cs="Arial" w:eastAsia="Arial" w:hAnsi="Arial"/>
          <w:sz w:val="22"/>
          <w:szCs w:val="22"/>
          <w:color w:val="auto"/>
        </w:rPr>
        <w:t>behalf of itself and the Holders of the Notes. The Intercreditor Agreement will restrict the ability of the Trustee and the Holders of the Notes to exercise certain rights and remedies with respect to the Collateral.</w:t>
      </w:r>
    </w:p>
    <w:p>
      <w:pPr>
        <w:spacing w:after="0" w:line="177" w:lineRule="exact"/>
        <w:rPr>
          <w:rFonts w:ascii="Arial" w:cs="Arial" w:eastAsia="Arial" w:hAnsi="Arial"/>
          <w:sz w:val="22"/>
          <w:szCs w:val="22"/>
          <w:color w:val="auto"/>
        </w:rPr>
      </w:pPr>
    </w:p>
    <w:p>
      <w:pPr>
        <w:jc w:val="both"/>
        <w:ind w:firstLine="1305"/>
        <w:spacing w:after="0" w:line="307" w:lineRule="auto"/>
        <w:tabs>
          <w:tab w:leader="none" w:pos="1864" w:val="left"/>
        </w:tabs>
        <w:numPr>
          <w:ilvl w:val="1"/>
          <w:numId w:val="128"/>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 or</w:t>
      </w:r>
      <w:r>
        <w:rPr>
          <w:rFonts w:ascii="Arial" w:cs="Arial" w:eastAsia="Arial" w:hAnsi="Arial"/>
          <w:sz w:val="19"/>
          <w:szCs w:val="19"/>
          <w:i w:val="1"/>
          <w:iCs w:val="1"/>
          <w:color w:val="auto"/>
        </w:rPr>
        <w:t xml:space="preserve"> </w:t>
      </w:r>
      <w:r>
        <w:rPr>
          <w:rFonts w:ascii="Arial" w:cs="Arial" w:eastAsia="Arial" w:hAnsi="Arial"/>
          <w:sz w:val="19"/>
          <w:szCs w:val="19"/>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38" w:lineRule="exact"/>
        <w:rPr>
          <w:rFonts w:ascii="Arial" w:cs="Arial" w:eastAsia="Arial" w:hAnsi="Arial"/>
          <w:sz w:val="19"/>
          <w:szCs w:val="19"/>
          <w:color w:val="auto"/>
        </w:rPr>
      </w:pPr>
    </w:p>
    <w:p>
      <w:pPr>
        <w:jc w:val="both"/>
        <w:ind w:firstLine="1305"/>
        <w:spacing w:after="0" w:line="250" w:lineRule="auto"/>
        <w:tabs>
          <w:tab w:leader="none" w:pos="1904" w:val="left"/>
        </w:tabs>
        <w:numPr>
          <w:ilvl w:val="1"/>
          <w:numId w:val="128"/>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 organizer,</w:t>
      </w:r>
      <w:r>
        <w:rPr>
          <w:rFonts w:ascii="Arial" w:cs="Arial" w:eastAsia="Arial" w:hAnsi="Arial"/>
          <w:sz w:val="22"/>
          <w:szCs w:val="22"/>
          <w:i w:val="1"/>
          <w:iCs w:val="1"/>
          <w:color w:val="auto"/>
        </w:rPr>
        <w:t xml:space="preserve"> </w:t>
      </w:r>
      <w:r>
        <w:rPr>
          <w:rFonts w:ascii="Arial" w:cs="Arial" w:eastAsia="Arial" w:hAnsi="Arial"/>
          <w:sz w:val="22"/>
          <w:szCs w:val="22"/>
          <w:color w:val="auto"/>
        </w:rPr>
        <w:t>equity holder or member of either Issuer or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420"/>
          </w:cols>
          <w:pgMar w:left="240" w:top="631" w:right="239" w:bottom="1440" w:gutter="0" w:footer="0" w:header="0"/>
        </w:sectPr>
      </w:pPr>
    </w:p>
    <w:bookmarkStart w:id="106" w:name="page107"/>
    <w:bookmarkEnd w:id="106"/>
    <w:p>
      <w:pPr>
        <w:ind w:left="1880" w:hanging="575"/>
        <w:spacing w:after="0"/>
        <w:tabs>
          <w:tab w:leader="none" w:pos="1880" w:val="left"/>
        </w:tabs>
        <w:numPr>
          <w:ilvl w:val="0"/>
          <w:numId w:val="129"/>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authenticating agent.</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891" w:val="left"/>
        </w:tabs>
        <w:numPr>
          <w:ilvl w:val="0"/>
          <w:numId w:val="129"/>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w:t>
      </w:r>
      <w:r>
        <w:rPr>
          <w:rFonts w:ascii="Arial" w:cs="Arial" w:eastAsia="Arial" w:hAnsi="Arial"/>
          <w:sz w:val="22"/>
          <w:szCs w:val="22"/>
          <w:i w:val="1"/>
          <w:iCs w:val="1"/>
          <w:color w:val="auto"/>
        </w:rPr>
        <w:t xml:space="preserve"> </w:t>
      </w:r>
      <w:r>
        <w:rPr>
          <w:rFonts w:ascii="Arial" w:cs="Arial" w:eastAsia="Arial" w:hAnsi="Arial"/>
          <w:sz w:val="22"/>
          <w:szCs w:val="22"/>
          <w:color w:val="auto"/>
        </w:rPr>
        <w:t>COM (= tenants in common), TEN ENT (= tenants by the entireties), JT TEN (= joint tenants with right of survivorship and not as tenants in common), CUST (= Custodian), and U/G/M/A (= Uniform Gifts to Minors Act).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2093" w:val="left"/>
        </w:tabs>
        <w:numPr>
          <w:ilvl w:val="0"/>
          <w:numId w:val="129"/>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2026" w:val="left"/>
        </w:tabs>
        <w:numPr>
          <w:ilvl w:val="0"/>
          <w:numId w:val="129"/>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the Pledge Agreement and/or the Intercreditor Agreement. Requests may be made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(702) 770-1520</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A-1-10</w:t>
      </w:r>
    </w:p>
    <w:p>
      <w:pPr>
        <w:sectPr>
          <w:pgSz w:w="11900" w:h="16838" w:orient="portrait"/>
          <w:cols w:equalWidth="0" w:num="1">
            <w:col w:w="11420"/>
          </w:cols>
          <w:pgMar w:left="240" w:top="63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A-1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ectPr>
          <w:pgSz w:w="11900" w:h="16838" w:orient="portrait"/>
          <w:cols w:equalWidth="0" w:num="1">
            <w:col w:w="11420"/>
          </w:cols>
          <w:pgMar w:left="240" w:top="126"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2" w:lineRule="exact"/>
        <w:rPr>
          <w:sz w:val="20"/>
          <w:szCs w:val="20"/>
          <w:color w:val="auto"/>
        </w:rPr>
      </w:pPr>
    </w:p>
    <w:p>
      <w:pPr>
        <w:spacing w:after="0" w:line="45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sectPr>
          <w:pgSz w:w="11900" w:h="16838" w:orient="portrait"/>
          <w:cols w:equalWidth="0" w:num="2">
            <w:col w:w="4140" w:space="60"/>
            <w:col w:w="7220"/>
          </w:cols>
          <w:pgMar w:left="240" w:top="126" w:right="239" w:bottom="1440" w:gutter="0" w:footer="0" w:header="0"/>
          <w:type w:val="continuous"/>
        </w:sect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A-1-11</w:t>
      </w:r>
    </w:p>
    <w:p>
      <w:pPr>
        <w:sectPr>
          <w:pgSz w:w="11900" w:h="16838" w:orient="portrait"/>
          <w:cols w:equalWidth="0" w:num="1">
            <w:col w:w="11420"/>
          </w:cols>
          <w:pgMar w:left="240" w:top="126" w:right="239" w:bottom="1440" w:gutter="0" w:footer="0" w:header="0"/>
          <w:type w:val="continuous"/>
        </w:sectPr>
      </w:pPr>
    </w:p>
    <w:bookmarkStart w:id="108" w:name="page109"/>
    <w:bookmarkEnd w:id="108"/>
    <w:p>
      <w:pPr>
        <w:ind w:left="10100"/>
        <w:spacing w:after="0"/>
        <w:rPr>
          <w:sz w:val="20"/>
          <w:szCs w:val="20"/>
          <w:color w:val="auto"/>
        </w:rPr>
      </w:pPr>
      <w:r>
        <w:rPr>
          <w:rFonts w:ascii="Arial" w:cs="Arial" w:eastAsia="Arial" w:hAnsi="Arial"/>
          <w:sz w:val="22"/>
          <w:szCs w:val="22"/>
          <w:b w:val="1"/>
          <w:bCs w:val="1"/>
          <w:color w:val="auto"/>
        </w:rPr>
        <w:t>EXHIBIT A-1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you want to elect to have this Note purchased by the Issuers pursuant to Section 4.11 of the Indenture, check the appropriate box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4.11</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only part of the Note purchased by the Issuers pursuant to Section 4.11 of the Indenture, state the amount you elect to have purchased:</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A-1-12</w:t>
      </w:r>
    </w:p>
    <w:p>
      <w:pPr>
        <w:sectPr>
          <w:pgSz w:w="11900" w:h="16838" w:orient="portrait"/>
          <w:cols w:equalWidth="0" w:num="1">
            <w:col w:w="11420"/>
          </w:cols>
          <w:pgMar w:left="240" w:top="126"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A-1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8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Amount of decrease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178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17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authorized officer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0" w:right="4700" w:hanging="5392"/>
        <w:spacing w:after="0" w:line="744" w:lineRule="auto"/>
        <w:tabs>
          <w:tab w:leader="none" w:pos="330" w:val="left"/>
        </w:tabs>
        <w:numPr>
          <w:ilvl w:val="0"/>
          <w:numId w:val="132"/>
        </w:numPr>
        <w:rPr>
          <w:rFonts w:ascii="Arial" w:cs="Arial" w:eastAsia="Arial" w:hAnsi="Arial"/>
          <w:sz w:val="21"/>
          <w:szCs w:val="21"/>
          <w:color w:val="auto"/>
        </w:rPr>
      </w:pPr>
      <w:r>
        <w:rPr>
          <w:rFonts w:ascii="Arial" w:cs="Arial" w:eastAsia="Arial" w:hAnsi="Arial"/>
          <w:sz w:val="21"/>
          <w:szCs w:val="21"/>
          <w:i w:val="1"/>
          <w:iCs w:val="1"/>
          <w:color w:val="auto"/>
        </w:rPr>
        <w:t xml:space="preserve">This schedule should be included only if the Note is issued in global form. </w:t>
      </w:r>
      <w:r>
        <w:rPr>
          <w:rFonts w:ascii="Arial" w:cs="Arial" w:eastAsia="Arial" w:hAnsi="Arial"/>
          <w:sz w:val="21"/>
          <w:szCs w:val="21"/>
          <w:color w:val="auto"/>
        </w:rPr>
        <w:t>A-1-13</w:t>
      </w:r>
    </w:p>
    <w:p>
      <w:pPr>
        <w:sectPr>
          <w:pgSz w:w="11900" w:h="16838" w:orient="portrait"/>
          <w:cols w:equalWidth="0" w:num="1">
            <w:col w:w="11420"/>
          </w:cols>
          <w:pgMar w:left="240" w:top="125" w:right="239" w:bottom="1440" w:gutter="0" w:footer="0" w:header="0"/>
        </w:sectPr>
      </w:pPr>
    </w:p>
    <w:bookmarkStart w:id="110" w:name="page111"/>
    <w:bookmarkEnd w:id="110"/>
    <w:p>
      <w:pPr>
        <w:ind w:left="10100"/>
        <w:spacing w:after="0"/>
        <w:rPr>
          <w:sz w:val="20"/>
          <w:szCs w:val="20"/>
          <w:color w:val="auto"/>
        </w:rPr>
      </w:pPr>
      <w:r>
        <w:rPr>
          <w:rFonts w:ascii="Arial" w:cs="Arial" w:eastAsia="Arial" w:hAnsi="Arial"/>
          <w:sz w:val="22"/>
          <w:szCs w:val="22"/>
          <w:b w:val="1"/>
          <w:bCs w:val="1"/>
          <w:color w:val="auto"/>
        </w:rPr>
        <w:t>EXHIBIT A-2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[Face of Regulation S Temporary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U98347 AK0/USU98347AK05</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5.50% Senior Notes due 2025</w:t>
      </w:r>
    </w:p>
    <w:p>
      <w:pPr>
        <w:spacing w:after="0" w:line="11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No. ___</w:t>
      </w:r>
      <w:r>
        <w:rPr>
          <w:sz w:val="20"/>
          <w:szCs w:val="20"/>
          <w:color w:val="auto"/>
        </w:rPr>
        <w:tab/>
      </w:r>
      <w:r>
        <w:rPr>
          <w:rFonts w:ascii="Arial" w:cs="Arial" w:eastAsia="Arial" w:hAnsi="Arial"/>
          <w:sz w:val="15"/>
          <w:szCs w:val="15"/>
          <w:color w:val="auto"/>
        </w:rPr>
        <w:t>$____________</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WYNN LAS VEGAS,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WYNN LAS VEGAS CAPITAL CORP.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promise to pay to ______________________ or registered assigns,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sum of</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DOLLARS on March 1, 2025.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Dates: March 1 and September 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Record Dates: February 15 and August 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18, 2015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420"/>
          </w:cols>
          <w:pgMar w:left="240" w:top="125" w:right="239" w:bottom="1440" w:gutter="0" w:footer="0" w:header="0"/>
        </w:sectPr>
      </w:pPr>
    </w:p>
    <w:bookmarkStart w:id="111" w:name="page112"/>
    <w:bookmarkEnd w:id="111"/>
    <w:p>
      <w:pPr>
        <w:ind w:left="2700"/>
        <w:spacing w:after="0"/>
        <w:rPr>
          <w:sz w:val="20"/>
          <w:szCs w:val="20"/>
          <w:color w:val="auto"/>
        </w:rPr>
      </w:pPr>
      <w:r>
        <w:rPr>
          <w:rFonts w:ascii="Arial" w:cs="Arial" w:eastAsia="Arial" w:hAnsi="Arial"/>
          <w:sz w:val="17"/>
          <w:szCs w:val="17"/>
          <w:b w:val="1"/>
          <w:bCs w:val="1"/>
          <w:color w:val="auto"/>
        </w:rPr>
        <w:t>WYNN LAS VEGAS, LLC</w:t>
      </w:r>
      <w:r>
        <w:rPr>
          <w:rFonts w:ascii="Arial" w:cs="Arial" w:eastAsia="Arial" w:hAnsi="Arial"/>
          <w:sz w:val="17"/>
          <w:szCs w:val="17"/>
          <w:color w:val="auto"/>
        </w:rPr>
        <w:t>,</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a Nevada limited liability company</w:t>
      </w:r>
    </w:p>
    <w:p>
      <w:pPr>
        <w:spacing w:after="0" w:line="196" w:lineRule="exact"/>
        <w:rPr>
          <w:sz w:val="20"/>
          <w:szCs w:val="20"/>
          <w:color w:val="auto"/>
        </w:rPr>
      </w:pPr>
    </w:p>
    <w:p>
      <w:pPr>
        <w:ind w:left="2700"/>
        <w:spacing w:after="0"/>
        <w:tabs>
          <w:tab w:leader="none" w:pos="3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Wynn Resorts Holdings, LLC,</w:t>
      </w:r>
    </w:p>
    <w:p>
      <w:pPr>
        <w:spacing w:after="0" w:line="210"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a Nevada limited liability company,</w:t>
      </w:r>
    </w:p>
    <w:p>
      <w:pPr>
        <w:spacing w:after="0" w:line="210"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its sole member</w:t>
      </w:r>
    </w:p>
    <w:p>
      <w:pPr>
        <w:spacing w:after="0" w:line="210" w:lineRule="exact"/>
        <w:rPr>
          <w:sz w:val="20"/>
          <w:szCs w:val="20"/>
          <w:color w:val="auto"/>
        </w:rPr>
      </w:pPr>
    </w:p>
    <w:p>
      <w:pPr>
        <w:ind w:left="3080"/>
        <w:spacing w:after="0"/>
        <w:tabs>
          <w:tab w:leader="none" w:pos="3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Wynn Resorts, Limited,</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a Nevada corporation,</w:t>
      </w:r>
    </w:p>
    <w:p>
      <w:pPr>
        <w:spacing w:after="0" w:line="7"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its sole member</w:t>
      </w:r>
    </w:p>
    <w:p>
      <w:pPr>
        <w:spacing w:after="0" w:line="196"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By:__________________________</w:t>
      </w:r>
    </w:p>
    <w:p>
      <w:pPr>
        <w:spacing w:after="0" w:line="21" w:lineRule="exact"/>
        <w:rPr>
          <w:sz w:val="20"/>
          <w:szCs w:val="20"/>
          <w:color w:val="auto"/>
        </w:rPr>
      </w:pPr>
    </w:p>
    <w:p>
      <w:pPr>
        <w:ind w:left="3840"/>
        <w:spacing w:after="0"/>
        <w:tabs>
          <w:tab w:leader="none" w:pos="4480" w:val="left"/>
        </w:tabs>
        <w:rPr>
          <w:sz w:val="20"/>
          <w:szCs w:val="20"/>
          <w:color w:val="auto"/>
        </w:rPr>
      </w:pPr>
      <w:r>
        <w:rPr>
          <w:rFonts w:ascii="Arial" w:cs="Arial" w:eastAsia="Arial" w:hAnsi="Arial"/>
          <w:sz w:val="17"/>
          <w:szCs w:val="17"/>
          <w:color w:val="auto"/>
        </w:rPr>
        <w:t>Name:</w:t>
        <w:tab/>
        <w:t>Stephen Cootey</w:t>
      </w:r>
    </w:p>
    <w:p>
      <w:pPr>
        <w:spacing w:after="0" w:line="7"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Title: Chief Financial Officer, Senior Vice President and Treasurer</w:t>
      </w:r>
    </w:p>
    <w:p>
      <w:pPr>
        <w:spacing w:after="0" w:line="30"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By:__________________________</w:t>
      </w:r>
    </w:p>
    <w:p>
      <w:pPr>
        <w:spacing w:after="0" w:line="7" w:lineRule="exact"/>
        <w:rPr>
          <w:sz w:val="20"/>
          <w:szCs w:val="20"/>
          <w:color w:val="auto"/>
        </w:rPr>
      </w:pPr>
    </w:p>
    <w:p>
      <w:pPr>
        <w:ind w:left="3840"/>
        <w:spacing w:after="0"/>
        <w:tabs>
          <w:tab w:leader="none" w:pos="4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Kim Sinatra</w:t>
      </w:r>
    </w:p>
    <w:p>
      <w:pPr>
        <w:spacing w:after="0" w:line="7" w:lineRule="exact"/>
        <w:rPr>
          <w:sz w:val="20"/>
          <w:szCs w:val="20"/>
          <w:color w:val="auto"/>
        </w:rPr>
      </w:pPr>
    </w:p>
    <w:p>
      <w:pPr>
        <w:ind w:left="3840"/>
        <w:spacing w:after="0"/>
        <w:tabs>
          <w:tab w:leader="none" w:pos="43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Executive Vice President and Secretary</w:t>
      </w:r>
    </w:p>
    <w:p>
      <w:pPr>
        <w:spacing w:after="0" w:line="393"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WYNN LAS VEGAS CAPITAL CORP.</w:t>
      </w:r>
      <w:r>
        <w:rPr>
          <w:rFonts w:ascii="Arial" w:cs="Arial" w:eastAsia="Arial" w:hAnsi="Arial"/>
          <w:sz w:val="17"/>
          <w:szCs w:val="17"/>
          <w:color w:val="auto"/>
        </w:rPr>
        <w:t>,</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a Nevada corporation</w:t>
      </w:r>
    </w:p>
    <w:p>
      <w:pPr>
        <w:spacing w:after="0" w:line="210"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By: __________________________</w:t>
      </w:r>
    </w:p>
    <w:p>
      <w:pPr>
        <w:spacing w:after="0" w:line="21" w:lineRule="exact"/>
        <w:rPr>
          <w:sz w:val="20"/>
          <w:szCs w:val="20"/>
          <w:color w:val="auto"/>
        </w:rPr>
      </w:pPr>
    </w:p>
    <w:p>
      <w:pPr>
        <w:ind w:left="3100"/>
        <w:spacing w:after="0"/>
        <w:tabs>
          <w:tab w:leader="none" w:pos="37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Stephen Cootey</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Title: Chief Financial Officer, Senior Vice President and Treasurer</w:t>
      </w:r>
    </w:p>
    <w:p>
      <w:pPr>
        <w:spacing w:after="0" w:line="196"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By: __________________________</w:t>
      </w:r>
    </w:p>
    <w:p>
      <w:pPr>
        <w:spacing w:after="0" w:line="21" w:lineRule="exact"/>
        <w:rPr>
          <w:sz w:val="20"/>
          <w:szCs w:val="20"/>
          <w:color w:val="auto"/>
        </w:rPr>
      </w:pPr>
    </w:p>
    <w:p>
      <w:pPr>
        <w:ind w:left="3100"/>
        <w:spacing w:after="0"/>
        <w:tabs>
          <w:tab w:leader="none" w:pos="37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Kim Sinatra</w:t>
      </w:r>
    </w:p>
    <w:p>
      <w:pPr>
        <w:spacing w:after="0" w:line="7"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4"/>
          <w:szCs w:val="14"/>
          <w:color w:val="auto"/>
        </w:rPr>
        <w:t>Secretary</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9019"/>
          </w:cols>
          <w:pgMar w:left="1440" w:top="615" w:right="1440"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t>This is one of the Notes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within-mentioned Indenture: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Trustee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ind w:right="4239"/>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0219"/>
          </w:cols>
          <w:pgMar w:left="240" w:top="621" w:right="1440" w:bottom="144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22"/>
          <w:szCs w:val="22"/>
          <w:color w:val="auto"/>
        </w:rPr>
        <w:t>[Back of Regulation S Temporary Global Note]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5.50% Senior Notes due 2025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Private Placement Legend, if applicable, pursuant to Section 2.06(f)(1) of the Indenture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Global Notes Legend, if applicable, pursuant to Section 2.06(f)(2) of the Indenture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Regulation S Temporary Global Note Legend pursuant to Section 2.06(f)(3) of the Indenture</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firstLine="1305"/>
        <w:spacing w:after="0" w:line="258" w:lineRule="auto"/>
        <w:tabs>
          <w:tab w:leader="none" w:pos="1742" w:val="left"/>
        </w:tabs>
        <w:numPr>
          <w:ilvl w:val="0"/>
          <w:numId w:val="133"/>
        </w:numPr>
        <w:rPr>
          <w:rFonts w:ascii="Arial" w:cs="Arial" w:eastAsia="Arial" w:hAnsi="Arial"/>
          <w:sz w:val="21"/>
          <w:szCs w:val="21"/>
          <w:color w:val="auto"/>
        </w:rPr>
      </w:pPr>
      <w:r>
        <w:rPr>
          <w:rFonts w:ascii="Arial" w:cs="Arial" w:eastAsia="Arial" w:hAnsi="Arial"/>
          <w:sz w:val="21"/>
          <w:szCs w:val="21"/>
          <w:i w:val="1"/>
          <w:iCs w:val="1"/>
          <w:color w:val="auto"/>
        </w:rPr>
        <w:t>Interest</w:t>
      </w:r>
      <w:r>
        <w:rPr>
          <w:rFonts w:ascii="Arial" w:cs="Arial" w:eastAsia="Arial" w:hAnsi="Arial"/>
          <w:sz w:val="21"/>
          <w:szCs w:val="21"/>
          <w:color w:val="auto"/>
        </w:rPr>
        <w:t>. Wynn Las Vegas, LLC, a Nevada limited liability company (“</w:t>
      </w:r>
      <w:r>
        <w:rPr>
          <w:rFonts w:ascii="Arial" w:cs="Arial" w:eastAsia="Arial" w:hAnsi="Arial"/>
          <w:sz w:val="21"/>
          <w:szCs w:val="21"/>
          <w:i w:val="1"/>
          <w:iCs w:val="1"/>
          <w:u w:val="single" w:color="auto"/>
          <w:color w:val="auto"/>
        </w:rPr>
        <w:t>Wynn Las Vegas</w:t>
      </w:r>
      <w:r>
        <w:rPr>
          <w:rFonts w:ascii="Arial" w:cs="Arial" w:eastAsia="Arial" w:hAnsi="Arial"/>
          <w:sz w:val="21"/>
          <w:szCs w:val="21"/>
          <w:color w:val="auto"/>
        </w:rPr>
        <w:t>” ) and Wynn Las Vegas</w:t>
      </w:r>
      <w:r>
        <w:rPr>
          <w:rFonts w:ascii="Arial" w:cs="Arial" w:eastAsia="Arial" w:hAnsi="Arial"/>
          <w:sz w:val="21"/>
          <w:szCs w:val="21"/>
          <w:i w:val="1"/>
          <w:iCs w:val="1"/>
          <w:color w:val="auto"/>
        </w:rPr>
        <w:t xml:space="preserve"> </w:t>
      </w:r>
      <w:r>
        <w:rPr>
          <w:rFonts w:ascii="Arial" w:cs="Arial" w:eastAsia="Arial" w:hAnsi="Arial"/>
          <w:sz w:val="21"/>
          <w:szCs w:val="21"/>
          <w:color w:val="auto"/>
        </w:rPr>
        <w:t>Capital Corp., a Nevada corporation (“Wynn Capital,” and together with Wynn Las Vegas,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as joint and several obligors, promise to pay interest on the principal amount of this Note at 5.50% per annum from February 18, 2015 until maturity. The Issuers shall pay interest semi-annually in arrears on March 1 and September 1 of each year, or if any such day is not a Business Day, on the next succeeding Business Day (each, an “</w:t>
      </w:r>
      <w:r>
        <w:rPr>
          <w:rFonts w:ascii="Arial" w:cs="Arial" w:eastAsia="Arial" w:hAnsi="Arial"/>
          <w:sz w:val="21"/>
          <w:szCs w:val="21"/>
          <w:i w:val="1"/>
          <w:iCs w:val="1"/>
          <w:u w:val="single" w:color="auto"/>
          <w:color w:val="auto"/>
        </w:rPr>
        <w:t>Interest Payment Date</w:t>
      </w:r>
      <w:r>
        <w:rPr>
          <w:rFonts w:ascii="Arial" w:cs="Arial" w:eastAsia="Arial" w:hAnsi="Arial"/>
          <w:sz w:val="21"/>
          <w:szCs w:val="21"/>
          <w:color w:val="auto"/>
        </w:rPr>
        <w:t xml:space="preserve">”). Interest on the Notes shall accrue from the most recent date to which interest has been paid or, if no interest has been paid, from the date of issuance;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first Interest Payment Date shall be September 1, 2015. The Issuers shall pay interest (including post-petition</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7" w:lineRule="exact"/>
        <w:rPr>
          <w:rFonts w:ascii="Arial" w:cs="Arial" w:eastAsia="Arial" w:hAnsi="Arial"/>
          <w:sz w:val="21"/>
          <w:szCs w:val="21"/>
          <w:color w:val="auto"/>
        </w:rPr>
      </w:pPr>
    </w:p>
    <w:p>
      <w:pPr>
        <w:jc w:val="both"/>
        <w:ind w:firstLine="1305"/>
        <w:spacing w:after="0" w:line="290" w:lineRule="auto"/>
        <w:tabs>
          <w:tab w:leader="none" w:pos="1769" w:val="left"/>
        </w:tabs>
        <w:numPr>
          <w:ilvl w:val="0"/>
          <w:numId w:val="133"/>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to the Persons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are registered Holders of Notes at the close of business on the February 15 or August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1420"/>
          </w:cols>
          <w:pgMar w:left="240" w:top="631" w:right="239" w:bottom="1440" w:gutter="0" w:footer="0" w:header="0"/>
        </w:sectPr>
      </w:pPr>
    </w:p>
    <w:bookmarkStart w:id="114" w:name="page115"/>
    <w:bookmarkEnd w:id="114"/>
    <w:p>
      <w:pPr>
        <w:jc w:val="both"/>
        <w:ind w:firstLine="1305"/>
        <w:spacing w:after="0" w:line="260" w:lineRule="auto"/>
        <w:tabs>
          <w:tab w:leader="none" w:pos="1783"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 shall</w:t>
      </w:r>
      <w:r>
        <w:rPr>
          <w:rFonts w:ascii="Arial" w:cs="Arial" w:eastAsia="Arial" w:hAnsi="Arial"/>
          <w:sz w:val="22"/>
          <w:szCs w:val="22"/>
          <w:i w:val="1"/>
          <w:iCs w:val="1"/>
          <w:color w:val="auto"/>
        </w:rPr>
        <w:t xml:space="preserve"> </w:t>
      </w:r>
      <w:r>
        <w:rPr>
          <w:rFonts w:ascii="Arial" w:cs="Arial" w:eastAsia="Arial" w:hAnsi="Arial"/>
          <w:sz w:val="22"/>
          <w:szCs w:val="22"/>
          <w:color w:val="auto"/>
        </w:rPr>
        <w:t>act as Paying Agent and Registrar. The Issuers may change any Paying Agent or Registrar without notice to any Holder. Either Issuer or any Guarantor may act in any such capacity.</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134"/>
        </w:numPr>
        <w:rPr>
          <w:rFonts w:ascii="Arial" w:cs="Arial" w:eastAsia="Arial" w:hAnsi="Arial"/>
          <w:sz w:val="21"/>
          <w:szCs w:val="21"/>
          <w:color w:val="auto"/>
        </w:rPr>
      </w:pPr>
      <w:r>
        <w:rPr>
          <w:rFonts w:ascii="Arial" w:cs="Arial" w:eastAsia="Arial" w:hAnsi="Arial"/>
          <w:sz w:val="21"/>
          <w:szCs w:val="21"/>
          <w:i w:val="1"/>
          <w:iCs w:val="1"/>
          <w:color w:val="auto"/>
        </w:rPr>
        <w:t>Indenture and the Pledge Agreement</w:t>
      </w:r>
      <w:r>
        <w:rPr>
          <w:rFonts w:ascii="Arial" w:cs="Arial" w:eastAsia="Arial" w:hAnsi="Arial"/>
          <w:sz w:val="21"/>
          <w:szCs w:val="21"/>
          <w:color w:val="auto"/>
        </w:rPr>
        <w:t>. The Issuers issued the Notes under an Indenture dated as of February 18,</w:t>
      </w:r>
      <w:r>
        <w:rPr>
          <w:rFonts w:ascii="Arial" w:cs="Arial" w:eastAsia="Arial" w:hAnsi="Arial"/>
          <w:sz w:val="21"/>
          <w:szCs w:val="21"/>
          <w:i w:val="1"/>
          <w:iCs w:val="1"/>
          <w:color w:val="auto"/>
        </w:rPr>
        <w:t xml:space="preserve"> </w:t>
      </w:r>
      <w:r>
        <w:rPr>
          <w:rFonts w:ascii="Arial" w:cs="Arial" w:eastAsia="Arial" w:hAnsi="Arial"/>
          <w:sz w:val="21"/>
          <w:szCs w:val="21"/>
          <w:color w:val="auto"/>
        </w:rPr>
        <w:t>2015 (the “</w:t>
      </w:r>
      <w:r>
        <w:rPr>
          <w:rFonts w:ascii="Arial" w:cs="Arial" w:eastAsia="Arial" w:hAnsi="Arial"/>
          <w:sz w:val="21"/>
          <w:szCs w:val="21"/>
          <w:i w:val="1"/>
          <w:iCs w:val="1"/>
          <w:u w:val="single" w:color="auto"/>
          <w:color w:val="auto"/>
        </w:rPr>
        <w:t>Indenture</w:t>
      </w:r>
      <w:r>
        <w:rPr>
          <w:rFonts w:ascii="Arial" w:cs="Arial" w:eastAsia="Arial" w:hAnsi="Arial"/>
          <w:sz w:val="21"/>
          <w:szCs w:val="21"/>
          <w:color w:val="auto"/>
        </w:rPr>
        <w:t>”) 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except that the Notes will be secured by a first priority pledge by Wynn Resorts Holdings of its Equity Interests in Wynn Las Vegas together with any distributions, rights and proceeds in respect thereof pursuant to the Pledge Agreement referred to in the Indenture.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21"/>
          <w:szCs w:val="21"/>
          <w:i w:val="1"/>
          <w:iCs w:val="1"/>
          <w:u w:val="single" w:color="auto"/>
          <w:color w:val="auto"/>
        </w:rPr>
        <w:t>Additional Notes</w:t>
      </w:r>
      <w:r>
        <w:rPr>
          <w:rFonts w:ascii="Arial" w:cs="Arial" w:eastAsia="Arial" w:hAnsi="Arial"/>
          <w:sz w:val="21"/>
          <w:szCs w:val="21"/>
          <w:color w:val="auto"/>
        </w:rPr>
        <w:t>.” The term “</w:t>
      </w:r>
      <w:r>
        <w:rPr>
          <w:rFonts w:ascii="Arial" w:cs="Arial" w:eastAsia="Arial" w:hAnsi="Arial"/>
          <w:sz w:val="21"/>
          <w:szCs w:val="21"/>
          <w:i w:val="1"/>
          <w:iCs w:val="1"/>
          <w:u w:val="single" w:color="auto"/>
          <w:color w:val="auto"/>
        </w:rPr>
        <w:t>Notes</w:t>
      </w:r>
      <w:r>
        <w:rPr>
          <w:rFonts w:ascii="Arial" w:cs="Arial" w:eastAsia="Arial" w:hAnsi="Arial"/>
          <w:sz w:val="21"/>
          <w:szCs w:val="21"/>
          <w:color w:val="auto"/>
        </w:rPr>
        <w:t>” includes any Additional Notes hereafter issued.</w:t>
      </w:r>
    </w:p>
    <w:p>
      <w:pPr>
        <w:spacing w:after="0" w:line="179" w:lineRule="exact"/>
        <w:rPr>
          <w:rFonts w:ascii="Arial" w:cs="Arial" w:eastAsia="Arial" w:hAnsi="Arial"/>
          <w:sz w:val="21"/>
          <w:szCs w:val="21"/>
          <w:color w:val="auto"/>
        </w:rPr>
      </w:pPr>
    </w:p>
    <w:p>
      <w:pPr>
        <w:ind w:right="20" w:firstLine="1305"/>
        <w:spacing w:after="0" w:line="276" w:lineRule="auto"/>
        <w:tabs>
          <w:tab w:leader="none" w:pos="1728"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 The Notes are redeemable at the Issuers’ election, in whole or in part at any time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their Stated Maturity.</w:t>
      </w:r>
    </w:p>
    <w:p>
      <w:pPr>
        <w:spacing w:after="0" w:line="160" w:lineRule="exact"/>
        <w:rPr>
          <w:rFonts w:ascii="Arial" w:cs="Arial" w:eastAsia="Arial" w:hAnsi="Arial"/>
          <w:sz w:val="22"/>
          <w:szCs w:val="22"/>
          <w:color w:val="auto"/>
        </w:rPr>
      </w:pPr>
    </w:p>
    <w:p>
      <w:pPr>
        <w:ind w:left="2460" w:hanging="507"/>
        <w:spacing w:after="0"/>
        <w:tabs>
          <w:tab w:leader="none" w:pos="246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redemption price for the Notes that are redeemed before December 1, 2024 will be equal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greater of:</w:t>
      </w:r>
    </w:p>
    <w:p>
      <w:pPr>
        <w:spacing w:after="0" w:line="215" w:lineRule="exact"/>
        <w:rPr>
          <w:rFonts w:ascii="Arial" w:cs="Arial" w:eastAsia="Arial" w:hAnsi="Arial"/>
          <w:sz w:val="19"/>
          <w:szCs w:val="19"/>
          <w:color w:val="auto"/>
        </w:rPr>
      </w:pPr>
    </w:p>
    <w:p>
      <w:pPr>
        <w:ind w:left="2920" w:hanging="319"/>
        <w:spacing w:after="0"/>
        <w:tabs>
          <w:tab w:leader="none" w:pos="2920" w:val="left"/>
        </w:tabs>
        <w:numPr>
          <w:ilvl w:val="2"/>
          <w:numId w:val="134"/>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left="2920" w:hanging="319"/>
        <w:spacing w:after="0" w:line="263" w:lineRule="auto"/>
        <w:tabs>
          <w:tab w:leader="none" w:pos="2920" w:val="left"/>
        </w:tabs>
        <w:numPr>
          <w:ilvl w:val="2"/>
          <w:numId w:val="134"/>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plus, in either of the above cases, accrued and unpaid interest to the date of redemption on the Notes to be redeemed.</w:t>
      </w:r>
    </w:p>
    <w:p>
      <w:pPr>
        <w:spacing w:after="0" w:line="231" w:lineRule="exact"/>
        <w:rPr>
          <w:sz w:val="20"/>
          <w:szCs w:val="20"/>
          <w:color w:val="auto"/>
        </w:rPr>
      </w:pPr>
    </w:p>
    <w:p>
      <w:pPr>
        <w:ind w:firstLine="1953"/>
        <w:spacing w:after="0" w:line="358" w:lineRule="auto"/>
        <w:tabs>
          <w:tab w:leader="none" w:pos="24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redemption price for Notes that are redeemed on or after December 1, 2024 will be equal to the sum of 100% of their principal amount, plus accrued and unpaid interest to the date of redemption on the Notes to be redeemed.</w:t>
      </w:r>
    </w:p>
    <w:p>
      <w:pPr>
        <w:spacing w:after="0" w:line="9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Unless the Issuers default in the payment of the redemption price, interest will cease to accrue on the Notes or portions thereof called for redemption on the applicable redemption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631" w:right="239" w:bottom="1440" w:gutter="0" w:footer="0" w:header="0"/>
        </w:sectPr>
      </w:pPr>
    </w:p>
    <w:bookmarkStart w:id="115" w:name="page116"/>
    <w:bookmarkEnd w:id="115"/>
    <w:p>
      <w:pPr>
        <w:ind w:right="20" w:firstLine="1305"/>
        <w:spacing w:after="0" w:line="276" w:lineRule="auto"/>
        <w:tabs>
          <w:tab w:leader="none" w:pos="1742" w:val="left"/>
        </w:tabs>
        <w:numPr>
          <w:ilvl w:val="1"/>
          <w:numId w:val="136"/>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 make</w:t>
      </w:r>
      <w:r>
        <w:rPr>
          <w:rFonts w:ascii="Arial" w:cs="Arial" w:eastAsia="Arial" w:hAnsi="Arial"/>
          <w:sz w:val="22"/>
          <w:szCs w:val="22"/>
          <w:i w:val="1"/>
          <w:iCs w:val="1"/>
          <w:color w:val="auto"/>
        </w:rPr>
        <w:t xml:space="preserve"> </w:t>
      </w:r>
      <w:r>
        <w:rPr>
          <w:rFonts w:ascii="Arial" w:cs="Arial" w:eastAsia="Arial" w:hAnsi="Arial"/>
          <w:sz w:val="22"/>
          <w:szCs w:val="22"/>
          <w:color w:val="auto"/>
        </w:rPr>
        <w:t>mandatory redemption or sinking fund payments with respect to the Notes.</w:t>
      </w:r>
    </w:p>
    <w:p>
      <w:pPr>
        <w:spacing w:after="0" w:line="160" w:lineRule="exact"/>
        <w:rPr>
          <w:rFonts w:ascii="Arial" w:cs="Arial" w:eastAsia="Arial" w:hAnsi="Arial"/>
          <w:sz w:val="22"/>
          <w:szCs w:val="22"/>
          <w:color w:val="auto"/>
        </w:rPr>
      </w:pPr>
    </w:p>
    <w:p>
      <w:pPr>
        <w:jc w:val="both"/>
        <w:ind w:firstLine="1305"/>
        <w:spacing w:after="0" w:line="290" w:lineRule="auto"/>
        <w:tabs>
          <w:tab w:leader="none" w:pos="1769" w:val="left"/>
        </w:tabs>
        <w:numPr>
          <w:ilvl w:val="1"/>
          <w:numId w:val="136"/>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w:t>
      </w:r>
    </w:p>
    <w:p>
      <w:pPr>
        <w:spacing w:after="0" w:line="1" w:lineRule="exact"/>
        <w:rPr>
          <w:rFonts w:ascii="Arial" w:cs="Arial" w:eastAsia="Arial" w:hAnsi="Arial"/>
          <w:sz w:val="19"/>
          <w:szCs w:val="19"/>
          <w:color w:val="auto"/>
        </w:rPr>
      </w:pPr>
    </w:p>
    <w:p>
      <w:pPr>
        <w:jc w:val="both"/>
        <w:ind w:firstLine="8"/>
        <w:spacing w:after="0" w:line="256" w:lineRule="auto"/>
        <w:tabs>
          <w:tab w:leader="none" w:pos="32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6" w:lineRule="exact"/>
        <w:rPr>
          <w:sz w:val="20"/>
          <w:szCs w:val="20"/>
          <w:color w:val="auto"/>
        </w:rPr>
      </w:pPr>
    </w:p>
    <w:p>
      <w:pPr>
        <w:jc w:val="both"/>
        <w:ind w:firstLine="1305"/>
        <w:spacing w:after="0" w:line="250" w:lineRule="auto"/>
        <w:tabs>
          <w:tab w:leader="none" w:pos="1810" w:val="left"/>
        </w:tabs>
        <w:numPr>
          <w:ilvl w:val="0"/>
          <w:numId w:val="138"/>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 If a Change of Control Triggering Event occurs, the Issuers shall make an</w:t>
      </w:r>
      <w:r>
        <w:rPr>
          <w:rFonts w:ascii="Arial" w:cs="Arial" w:eastAsia="Arial" w:hAnsi="Arial"/>
          <w:sz w:val="22"/>
          <w:szCs w:val="22"/>
          <w:i w:val="1"/>
          <w:iCs w:val="1"/>
          <w:color w:val="auto"/>
        </w:rPr>
        <w:t xml:space="preserve"> </w:t>
      </w:r>
      <w:r>
        <w:rPr>
          <w:rFonts w:ascii="Arial" w:cs="Arial" w:eastAsia="Arial" w:hAnsi="Arial"/>
          <w:sz w:val="22"/>
          <w:szCs w:val="22"/>
          <w:color w:val="auto"/>
        </w:rPr>
        <w:t>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if any, to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Triggering Event, the Issuers shall mail a notice to each Holder setting forth the procedures governing the Change of Control Offer as required by the Indenture.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631" w:right="239" w:bottom="1440" w:gutter="0" w:footer="0" w:header="0"/>
        </w:sectPr>
      </w:pPr>
    </w:p>
    <w:bookmarkStart w:id="116" w:name="page117"/>
    <w:bookmarkEnd w:id="116"/>
    <w:p>
      <w:pPr>
        <w:jc w:val="both"/>
        <w:ind w:firstLine="1305"/>
        <w:spacing w:after="0" w:line="297" w:lineRule="auto"/>
        <w:tabs>
          <w:tab w:leader="none" w:pos="1823" w:val="left"/>
        </w:tabs>
        <w:numPr>
          <w:ilvl w:val="0"/>
          <w:numId w:val="139"/>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30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46" w:lineRule="exact"/>
        <w:rPr>
          <w:rFonts w:ascii="Arial" w:cs="Arial" w:eastAsia="Arial" w:hAnsi="Arial"/>
          <w:sz w:val="19"/>
          <w:szCs w:val="19"/>
          <w:color w:val="auto"/>
        </w:rPr>
      </w:pPr>
    </w:p>
    <w:p>
      <w:pPr>
        <w:jc w:val="both"/>
        <w:ind w:firstLine="1305"/>
        <w:spacing w:after="0" w:line="261" w:lineRule="auto"/>
        <w:tabs>
          <w:tab w:leader="none" w:pos="1891" w:val="left"/>
        </w:tabs>
        <w:numPr>
          <w:ilvl w:val="0"/>
          <w:numId w:val="139"/>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 of</w:t>
      </w:r>
      <w:r>
        <w:rPr>
          <w:rFonts w:ascii="Arial" w:cs="Arial" w:eastAsia="Arial" w:hAnsi="Arial"/>
          <w:sz w:val="21"/>
          <w:szCs w:val="21"/>
          <w:i w:val="1"/>
          <w:iCs w:val="1"/>
          <w:color w:val="auto"/>
        </w:rPr>
        <w:t xml:space="preserve"> </w:t>
      </w:r>
      <w:r>
        <w:rPr>
          <w:rFonts w:ascii="Arial" w:cs="Arial" w:eastAsia="Arial" w:hAnsi="Arial"/>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92" w:lineRule="exact"/>
        <w:rPr>
          <w:sz w:val="20"/>
          <w:szCs w:val="20"/>
          <w:color w:val="auto"/>
        </w:rPr>
      </w:pPr>
    </w:p>
    <w:p>
      <w:pPr>
        <w:ind w:left="1840" w:hanging="535"/>
        <w:spacing w:after="0"/>
        <w:tabs>
          <w:tab w:leader="none" w:pos="1840" w:val="left"/>
        </w:tabs>
        <w:numPr>
          <w:ilvl w:val="0"/>
          <w:numId w:val="140"/>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1840" w:hanging="535"/>
        <w:spacing w:after="0"/>
        <w:tabs>
          <w:tab w:leader="none" w:pos="1840"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64" w:lineRule="auto"/>
        <w:tabs>
          <w:tab w:leader="none" w:pos="2378" w:val="left"/>
        </w:tabs>
        <w:numPr>
          <w:ilvl w:val="1"/>
          <w:numId w:val="140"/>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the Note Guarantees and, subject to the terms of the Intercreditor Agreement and the Indenture, the Pledge Agreement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Pledge Agreement may be waived with the consent of the Holders of a majority in principal amount of the then outstanding Notes, voting as a single class.</w:t>
      </w:r>
    </w:p>
    <w:p>
      <w:pPr>
        <w:spacing w:after="0" w:line="175" w:lineRule="exact"/>
        <w:rPr>
          <w:rFonts w:ascii="Arial" w:cs="Arial" w:eastAsia="Arial" w:hAnsi="Arial"/>
          <w:sz w:val="21"/>
          <w:szCs w:val="21"/>
          <w:color w:val="auto"/>
        </w:rPr>
      </w:pPr>
    </w:p>
    <w:p>
      <w:pPr>
        <w:jc w:val="both"/>
        <w:ind w:firstLine="1953"/>
        <w:spacing w:after="0" w:line="270" w:lineRule="auto"/>
        <w:tabs>
          <w:tab w:leader="none" w:pos="2431" w:val="left"/>
        </w:tabs>
        <w:numPr>
          <w:ilvl w:val="1"/>
          <w:numId w:val="140"/>
        </w:numPr>
        <w:rPr>
          <w:rFonts w:ascii="Arial" w:cs="Arial" w:eastAsia="Arial" w:hAnsi="Arial"/>
          <w:sz w:val="21"/>
          <w:szCs w:val="21"/>
          <w:color w:val="auto"/>
        </w:rPr>
      </w:pPr>
      <w:r>
        <w:rPr>
          <w:rFonts w:ascii="Arial" w:cs="Arial" w:eastAsia="Arial" w:hAnsi="Arial"/>
          <w:sz w:val="21"/>
          <w:szCs w:val="21"/>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631" w:right="239" w:bottom="1440" w:gutter="0" w:footer="0" w:header="0"/>
        </w:sectPr>
      </w:pPr>
    </w:p>
    <w:bookmarkStart w:id="117" w:name="page118"/>
    <w:bookmarkEnd w:id="117"/>
    <w:p>
      <w:pPr>
        <w:jc w:val="both"/>
        <w:spacing w:after="0" w:line="288" w:lineRule="auto"/>
        <w:rPr>
          <w:sz w:val="20"/>
          <w:szCs w:val="20"/>
          <w:color w:val="auto"/>
        </w:rPr>
      </w:pPr>
      <w:r>
        <w:rPr>
          <w:rFonts w:ascii="Arial" w:cs="Arial" w:eastAsia="Arial" w:hAnsi="Arial"/>
          <w:sz w:val="19"/>
          <w:szCs w:val="19"/>
          <w:color w:val="auto"/>
        </w:rPr>
        <w:t>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(ix) release all or substantially all of the Collateral except in accordance with the provisions of the Indenture, Pledge Agreement and the Intercreditor Agreement, (x) amend Section 10.03 of the Indenture, or (xi) make any change in the preceding amendment and waiver provisions.</w:t>
      </w:r>
    </w:p>
    <w:p>
      <w:pPr>
        <w:spacing w:after="0" w:line="200" w:lineRule="exact"/>
        <w:rPr>
          <w:sz w:val="20"/>
          <w:szCs w:val="20"/>
          <w:color w:val="auto"/>
        </w:rPr>
      </w:pPr>
    </w:p>
    <w:p>
      <w:pPr>
        <w:spacing w:after="0" w:line="217" w:lineRule="exact"/>
        <w:rPr>
          <w:sz w:val="20"/>
          <w:szCs w:val="20"/>
          <w:color w:val="auto"/>
        </w:rPr>
      </w:pPr>
    </w:p>
    <w:p>
      <w:pPr>
        <w:jc w:val="both"/>
        <w:ind w:firstLine="1953"/>
        <w:spacing w:after="0" w:line="299" w:lineRule="auto"/>
        <w:tabs>
          <w:tab w:leader="none" w:pos="2378" w:val="left"/>
        </w:tabs>
        <w:numPr>
          <w:ilvl w:val="2"/>
          <w:numId w:val="141"/>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the Note Guarantees or Pledge Agreement to (i) cure any ambiguity, defect or inconsistency,</w:t>
      </w:r>
    </w:p>
    <w:p>
      <w:pPr>
        <w:jc w:val="both"/>
        <w:ind w:firstLine="8"/>
        <w:spacing w:after="0" w:line="256" w:lineRule="auto"/>
        <w:tabs>
          <w:tab w:leader="none" w:pos="338" w:val="left"/>
        </w:tabs>
        <w:numPr>
          <w:ilvl w:val="0"/>
          <w:numId w:val="142"/>
        </w:numPr>
        <w:rPr>
          <w:rFonts w:ascii="Arial" w:cs="Arial" w:eastAsia="Arial" w:hAnsi="Arial"/>
          <w:sz w:val="21"/>
          <w:szCs w:val="21"/>
          <w:color w:val="auto"/>
        </w:rPr>
      </w:pPr>
      <w:r>
        <w:rPr>
          <w:rFonts w:ascii="Arial" w:cs="Arial" w:eastAsia="Arial" w:hAnsi="Arial"/>
          <w:sz w:val="21"/>
          <w:szCs w:val="21"/>
          <w:color w:val="auto"/>
        </w:rPr>
        <w:t>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or Article II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February 11, 2015,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provide for the issuance of Additional Notes in accordance with the limitations set forth in the Indenture as of the date of the Indenture, (vii) allow any Guarantor to execute a supplemental indenture to the Indenture and/or a Note Guarantee with respect to the Notes, (viii) enter into additional or supplemental pledge agreements or Guarantees or an intercreditor agreement with respect thereto or (ix) provide for the Notes to be secured.</w:t>
      </w:r>
    </w:p>
    <w:p>
      <w:pPr>
        <w:spacing w:after="0" w:line="185" w:lineRule="exact"/>
        <w:rPr>
          <w:rFonts w:ascii="Arial" w:cs="Arial" w:eastAsia="Arial" w:hAnsi="Arial"/>
          <w:sz w:val="21"/>
          <w:szCs w:val="21"/>
          <w:color w:val="auto"/>
        </w:rPr>
      </w:pPr>
    </w:p>
    <w:p>
      <w:pPr>
        <w:jc w:val="both"/>
        <w:ind w:firstLine="1305"/>
        <w:spacing w:after="0" w:line="261" w:lineRule="auto"/>
        <w:tabs>
          <w:tab w:leader="none" w:pos="1837" w:val="left"/>
        </w:tabs>
        <w:numPr>
          <w:ilvl w:val="1"/>
          <w:numId w:val="142"/>
        </w:numPr>
        <w:rPr>
          <w:rFonts w:ascii="Arial" w:cs="Arial" w:eastAsia="Arial" w:hAnsi="Arial"/>
          <w:sz w:val="21"/>
          <w:szCs w:val="21"/>
          <w:color w:val="auto"/>
        </w:rPr>
      </w:pPr>
      <w:r>
        <w:rPr>
          <w:rFonts w:ascii="Arial" w:cs="Arial" w:eastAsia="Arial" w:hAnsi="Arial"/>
          <w:sz w:val="21"/>
          <w:szCs w:val="21"/>
          <w:i w:val="1"/>
          <w:iCs w:val="1"/>
          <w:color w:val="auto"/>
        </w:rPr>
        <w:t>Defaults and Remedies</w:t>
      </w:r>
      <w:r>
        <w:rPr>
          <w:rFonts w:ascii="Arial" w:cs="Arial" w:eastAsia="Arial" w:hAnsi="Arial"/>
          <w:sz w:val="21"/>
          <w:szCs w:val="21"/>
          <w:color w:val="auto"/>
        </w:rPr>
        <w:t>. Events of Default include: (i) default for 30 days in the payment when due of interest,</w:t>
      </w:r>
      <w:r>
        <w:rPr>
          <w:rFonts w:ascii="Arial" w:cs="Arial" w:eastAsia="Arial" w:hAnsi="Arial"/>
          <w:sz w:val="21"/>
          <w:szCs w:val="21"/>
          <w:i w:val="1"/>
          <w:iCs w:val="1"/>
          <w:color w:val="auto"/>
        </w:rPr>
        <w:t xml:space="preserve"> </w:t>
      </w:r>
      <w:r>
        <w:rPr>
          <w:rFonts w:ascii="Arial" w:cs="Arial" w:eastAsia="Arial" w:hAnsi="Arial"/>
          <w:sz w:val="21"/>
          <w:szCs w:val="21"/>
          <w:color w:val="auto"/>
        </w:rPr>
        <w:t>if 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the Guarantors to comply with Sections 4.11 or 5.01 of the Indenture; (iv) failure by Wynn Capital, Wynn Las Vegas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631" w:right="239" w:bottom="1440" w:gutter="0" w:footer="0" w:header="0"/>
        </w:sectPr>
      </w:pPr>
    </w:p>
    <w:bookmarkStart w:id="118" w:name="page119"/>
    <w:bookmarkEnd w:id="118"/>
    <w:p>
      <w:pPr>
        <w:jc w:val="both"/>
        <w:spacing w:after="0" w:line="286" w:lineRule="auto"/>
        <w:rPr>
          <w:sz w:val="20"/>
          <w:szCs w:val="20"/>
          <w:color w:val="auto"/>
        </w:rPr>
      </w:pPr>
      <w:r>
        <w:rPr>
          <w:rFonts w:ascii="Arial" w:cs="Arial" w:eastAsia="Arial" w:hAnsi="Arial"/>
          <w:sz w:val="19"/>
          <w:szCs w:val="19"/>
          <w:color w:val="auto"/>
        </w:rPr>
        <w:t>evidenced any Indebtedness for money borrowed by Wynn Las Vegas or any Guarantor (or the payment of which is guaranteed by Wynn Las Vegas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$25.0 million or more, if such acceleration is not annulled within 30 days after written notice as provided in the Indenture; (vi) failure by Wynn Capital, Wynn Las Vegas or any of the Guarantors to pay final non-appealable judgments (not paid or covered by insurance as to which the relevant insurance company has not denied responsibility) aggregating in excess of $25.0 million, which judgments are not paid, bonded, discharged or stayed for a period of 60 days; (vii) the Pledge Agreement shall cease, for any reason (other than pursuant to its terms or the terms of the Indenture), to be in full force and effect or Wynn Capital, Wynn Las Vegas or any Affiliate of any such Person or any Person acting on behalf of any such Person, shall so assert, or any security interest created, or purported to be created, by Pledge Agreement shall cease to be enforceable and of the same effect and priority purported to be created by the Pledge Agreement; or (viii) certain events of bankruptcy or insolvency described in the Indenture with respect to (a) either Issuer or (b) any Guarantor.</w:t>
      </w:r>
    </w:p>
    <w:p>
      <w:pPr>
        <w:spacing w:after="0" w:line="167"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21"/>
          <w:szCs w:val="21"/>
          <w:color w:val="auto"/>
        </w:rPr>
        <w:t>In the case of an Event of Default arising from certain events of bankruptcy or insolvency with respect to (a) either Issuer or (b) 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the Pledge Agreement.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86" w:lineRule="exact"/>
        <w:rPr>
          <w:sz w:val="20"/>
          <w:szCs w:val="20"/>
          <w:color w:val="auto"/>
        </w:rPr>
      </w:pPr>
    </w:p>
    <w:p>
      <w:pPr>
        <w:jc w:val="both"/>
        <w:ind w:firstLine="1305"/>
        <w:spacing w:after="0" w:line="260" w:lineRule="auto"/>
        <w:tabs>
          <w:tab w:leader="none" w:pos="1918" w:val="left"/>
        </w:tabs>
        <w:numPr>
          <w:ilvl w:val="0"/>
          <w:numId w:val="143"/>
        </w:numPr>
        <w:rPr>
          <w:rFonts w:ascii="Arial" w:cs="Arial" w:eastAsia="Arial" w:hAnsi="Arial"/>
          <w:sz w:val="22"/>
          <w:szCs w:val="22"/>
          <w:color w:val="auto"/>
        </w:rPr>
      </w:pPr>
      <w:r>
        <w:rPr>
          <w:rFonts w:ascii="Arial" w:cs="Arial" w:eastAsia="Arial" w:hAnsi="Arial"/>
          <w:sz w:val="22"/>
          <w:szCs w:val="22"/>
          <w:i w:val="1"/>
          <w:iCs w:val="1"/>
          <w:color w:val="auto"/>
        </w:rPr>
        <w:t>Intercreditor Agreement</w:t>
      </w:r>
      <w:r>
        <w:rPr>
          <w:rFonts w:ascii="Arial" w:cs="Arial" w:eastAsia="Arial" w:hAnsi="Arial"/>
          <w:sz w:val="22"/>
          <w:szCs w:val="22"/>
          <w:color w:val="auto"/>
        </w:rPr>
        <w:t>. The Indenture authorizes the Trustee to enter into the Intercreditor Agreement on</w:t>
      </w:r>
      <w:r>
        <w:rPr>
          <w:rFonts w:ascii="Arial" w:cs="Arial" w:eastAsia="Arial" w:hAnsi="Arial"/>
          <w:sz w:val="22"/>
          <w:szCs w:val="22"/>
          <w:i w:val="1"/>
          <w:iCs w:val="1"/>
          <w:color w:val="auto"/>
        </w:rPr>
        <w:t xml:space="preserve"> </w:t>
      </w:r>
      <w:r>
        <w:rPr>
          <w:rFonts w:ascii="Arial" w:cs="Arial" w:eastAsia="Arial" w:hAnsi="Arial"/>
          <w:sz w:val="22"/>
          <w:szCs w:val="22"/>
          <w:color w:val="auto"/>
        </w:rPr>
        <w:t>behalf of itself and the Holders of the Notes. The Intercreditor Agreement will restrict the ability of the Trustee and the Holders of the Notes to exercise certain rights and remedies with respect to the Collateral.</w:t>
      </w:r>
    </w:p>
    <w:p>
      <w:pPr>
        <w:spacing w:after="0" w:line="177" w:lineRule="exact"/>
        <w:rPr>
          <w:rFonts w:ascii="Arial" w:cs="Arial" w:eastAsia="Arial" w:hAnsi="Arial"/>
          <w:sz w:val="22"/>
          <w:szCs w:val="22"/>
          <w:color w:val="auto"/>
        </w:rPr>
      </w:pPr>
    </w:p>
    <w:p>
      <w:pPr>
        <w:ind w:right="20" w:firstLine="1305"/>
        <w:spacing w:after="0" w:line="276" w:lineRule="auto"/>
        <w:tabs>
          <w:tab w:leader="none" w:pos="1864" w:val="left"/>
        </w:tabs>
        <w:numPr>
          <w:ilvl w:val="0"/>
          <w:numId w:val="143"/>
        </w:numPr>
        <w:rPr>
          <w:rFonts w:ascii="Arial" w:cs="Arial" w:eastAsia="Arial" w:hAnsi="Arial"/>
          <w:sz w:val="22"/>
          <w:szCs w:val="22"/>
          <w:color w:val="auto"/>
        </w:rPr>
      </w:pPr>
      <w:r>
        <w:rPr>
          <w:rFonts w:ascii="Arial" w:cs="Arial" w:eastAsia="Arial" w:hAnsi="Arial"/>
          <w:sz w:val="22"/>
          <w:szCs w:val="22"/>
          <w:i w:val="1"/>
          <w:iCs w:val="1"/>
          <w:color w:val="auto"/>
        </w:rPr>
        <w:t>Trustee Dealings with Issuers</w:t>
      </w:r>
      <w:r>
        <w:rPr>
          <w:rFonts w:ascii="Arial" w:cs="Arial" w:eastAsia="Arial" w:hAnsi="Arial"/>
          <w:sz w:val="22"/>
          <w:szCs w:val="22"/>
          <w:color w:val="auto"/>
        </w:rPr>
        <w:t>. The Trustee, in its individual or any other capacity, may become the owner or</w:t>
      </w:r>
      <w:r>
        <w:rPr>
          <w:rFonts w:ascii="Arial" w:cs="Arial" w:eastAsia="Arial" w:hAnsi="Arial"/>
          <w:sz w:val="22"/>
          <w:szCs w:val="22"/>
          <w:i w:val="1"/>
          <w:iCs w:val="1"/>
          <w:color w:val="auto"/>
        </w:rPr>
        <w:t xml:space="preserve"> </w:t>
      </w:r>
      <w:r>
        <w:rPr>
          <w:rFonts w:ascii="Arial" w:cs="Arial" w:eastAsia="Arial" w:hAnsi="Arial"/>
          <w:sz w:val="22"/>
          <w:szCs w:val="22"/>
          <w:color w:val="auto"/>
        </w:rPr>
        <w:t>pledgee of Notes and may otherwise deal with the Issuers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631" w:right="239" w:bottom="1440" w:gutter="0" w:footer="0" w:header="0"/>
        </w:sectPr>
      </w:pPr>
    </w:p>
    <w:bookmarkStart w:id="119" w:name="page120"/>
    <w:bookmarkEnd w:id="119"/>
    <w:p>
      <w:pPr>
        <w:jc w:val="both"/>
        <w:ind w:right="20"/>
        <w:spacing w:after="0" w:line="253" w:lineRule="auto"/>
        <w:rPr>
          <w:sz w:val="20"/>
          <w:szCs w:val="20"/>
          <w:color w:val="auto"/>
        </w:rPr>
      </w:pPr>
      <w:r>
        <w:rPr>
          <w:rFonts w:ascii="Arial" w:cs="Arial" w:eastAsia="Arial" w:hAnsi="Arial"/>
          <w:sz w:val="22"/>
          <w:szCs w:val="22"/>
          <w:color w:val="auto"/>
        </w:rPr>
        <w:t>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86" w:lineRule="exact"/>
        <w:rPr>
          <w:sz w:val="20"/>
          <w:szCs w:val="20"/>
          <w:color w:val="auto"/>
        </w:rPr>
      </w:pPr>
    </w:p>
    <w:p>
      <w:pPr>
        <w:jc w:val="both"/>
        <w:ind w:firstLine="1305"/>
        <w:spacing w:after="0" w:line="250" w:lineRule="auto"/>
        <w:tabs>
          <w:tab w:leader="none" w:pos="1904"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 organizer,</w:t>
      </w:r>
      <w:r>
        <w:rPr>
          <w:rFonts w:ascii="Arial" w:cs="Arial" w:eastAsia="Arial" w:hAnsi="Arial"/>
          <w:sz w:val="22"/>
          <w:szCs w:val="22"/>
          <w:i w:val="1"/>
          <w:iCs w:val="1"/>
          <w:color w:val="auto"/>
        </w:rPr>
        <w:t xml:space="preserve"> </w:t>
      </w:r>
      <w:r>
        <w:rPr>
          <w:rFonts w:ascii="Arial" w:cs="Arial" w:eastAsia="Arial" w:hAnsi="Arial"/>
          <w:sz w:val="22"/>
          <w:szCs w:val="22"/>
          <w:color w:val="auto"/>
        </w:rPr>
        <w:t>equity holder or member of either Issuer or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22"/>
          <w:szCs w:val="22"/>
          <w:color w:val="auto"/>
        </w:rPr>
      </w:pPr>
    </w:p>
    <w:p>
      <w:pPr>
        <w:ind w:left="1880" w:hanging="575"/>
        <w:spacing w:after="0"/>
        <w:tabs>
          <w:tab w:leader="none" w:pos="1880" w:val="left"/>
        </w:tabs>
        <w:numPr>
          <w:ilvl w:val="0"/>
          <w:numId w:val="144"/>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authenticating agent.</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891"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w:t>
      </w:r>
      <w:r>
        <w:rPr>
          <w:rFonts w:ascii="Arial" w:cs="Arial" w:eastAsia="Arial" w:hAnsi="Arial"/>
          <w:sz w:val="22"/>
          <w:szCs w:val="22"/>
          <w:i w:val="1"/>
          <w:iCs w:val="1"/>
          <w:color w:val="auto"/>
        </w:rPr>
        <w:t xml:space="preserve"> </w:t>
      </w:r>
      <w:r>
        <w:rPr>
          <w:rFonts w:ascii="Arial" w:cs="Arial" w:eastAsia="Arial" w:hAnsi="Arial"/>
          <w:sz w:val="22"/>
          <w:szCs w:val="22"/>
          <w:color w:val="auto"/>
        </w:rPr>
        <w:t>COM (= tenants in common), TEN ENT (= tenants by the entireties), JT TEN (= joint tenants with right of survivorship and not as tenants in common), CUST (= Custodian), and U/G/M/A (= Uniform Gifts to Minors Act).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2093"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2026"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the Pledge Agreement and/or the Intercreditor Agreement. Requests may be made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(702) 770-1520</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63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A-2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ectPr>
          <w:pgSz w:w="11900" w:h="16838" w:orient="portrait"/>
          <w:cols w:equalWidth="0" w:num="1">
            <w:col w:w="11420"/>
          </w:cols>
          <w:pgMar w:left="240" w:top="125"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2" w:lineRule="exact"/>
        <w:rPr>
          <w:sz w:val="20"/>
          <w:szCs w:val="20"/>
          <w:color w:val="auto"/>
        </w:rPr>
      </w:pPr>
    </w:p>
    <w:p>
      <w:pPr>
        <w:spacing w:after="0" w:line="45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sectPr>
          <w:pgSz w:w="11900" w:h="16838" w:orient="portrait"/>
          <w:cols w:equalWidth="0" w:num="2">
            <w:col w:w="4140" w:space="60"/>
            <w:col w:w="7220"/>
          </w:cols>
          <w:pgMar w:left="240" w:top="125" w:right="239" w:bottom="1440" w:gutter="0" w:footer="0" w:header="0"/>
          <w:type w:val="continuous"/>
        </w:sect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60"/>
        <w:spacing w:after="0"/>
        <w:rPr>
          <w:rFonts w:ascii="Arial" w:cs="Arial" w:eastAsia="Arial" w:hAnsi="Arial"/>
          <w:sz w:val="19"/>
          <w:szCs w:val="19"/>
          <w:color w:val="auto"/>
        </w:rPr>
      </w:pPr>
      <w:r>
        <w:rPr>
          <w:rFonts w:ascii="Arial" w:cs="Arial" w:eastAsia="Arial" w:hAnsi="Arial"/>
          <w:sz w:val="22"/>
          <w:szCs w:val="22"/>
          <w:color w:val="auto"/>
        </w:rPr>
        <w:t>A-2-4</w:t>
      </w:r>
    </w:p>
    <w:p>
      <w:pPr>
        <w:sectPr>
          <w:pgSz w:w="11900" w:h="16838" w:orient="portrait"/>
          <w:cols w:equalWidth="0" w:num="1">
            <w:col w:w="11420"/>
          </w:cols>
          <w:pgMar w:left="240" w:top="125" w:right="2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you want to elect to have this Note purchased by the Issuers pursuant to Section 4.11 of the Indenture, check the appropriate box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4.11</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only part of the Note purchased by the Issuers pursuant to Section 4.11 of the Indenture, state the amount you elect to have purchased:</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60"/>
        <w:spacing w:after="0"/>
        <w:rPr>
          <w:rFonts w:ascii="Arial" w:cs="Arial" w:eastAsia="Arial" w:hAnsi="Arial"/>
          <w:sz w:val="19"/>
          <w:szCs w:val="19"/>
          <w:color w:val="auto"/>
        </w:rPr>
      </w:pPr>
      <w:r>
        <w:rPr>
          <w:rFonts w:ascii="Arial" w:cs="Arial" w:eastAsia="Arial" w:hAnsi="Arial"/>
          <w:sz w:val="22"/>
          <w:szCs w:val="22"/>
          <w:color w:val="auto"/>
        </w:rPr>
        <w:t>A-2-5</w:t>
      </w:r>
    </w:p>
    <w:p>
      <w:pPr>
        <w:sectPr>
          <w:pgSz w:w="11900" w:h="16838" w:orient="portrait"/>
          <w:cols w:equalWidth="0" w:num="1">
            <w:col w:w="11420"/>
          </w:cols>
          <w:pgMar w:left="240" w:top="631"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8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Amount of decrease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178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17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authorized officer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60" w:right="4700" w:hanging="5452"/>
        <w:spacing w:after="0" w:line="744" w:lineRule="auto"/>
        <w:tabs>
          <w:tab w:leader="none" w:pos="336" w:val="left"/>
        </w:tabs>
        <w:numPr>
          <w:ilvl w:val="0"/>
          <w:numId w:val="147"/>
        </w:numPr>
        <w:rPr>
          <w:rFonts w:ascii="Arial" w:cs="Arial" w:eastAsia="Arial" w:hAnsi="Arial"/>
          <w:sz w:val="21"/>
          <w:szCs w:val="21"/>
          <w:color w:val="auto"/>
        </w:rPr>
      </w:pPr>
      <w:r>
        <w:rPr>
          <w:rFonts w:ascii="Arial" w:cs="Arial" w:eastAsia="Arial" w:hAnsi="Arial"/>
          <w:sz w:val="21"/>
          <w:szCs w:val="21"/>
          <w:i w:val="1"/>
          <w:iCs w:val="1"/>
          <w:color w:val="auto"/>
        </w:rPr>
        <w:t xml:space="preserve">This schedule should be included only if the Note is issued in global form. </w:t>
      </w:r>
      <w:r>
        <w:rPr>
          <w:rFonts w:ascii="Arial" w:cs="Arial" w:eastAsia="Arial" w:hAnsi="Arial"/>
          <w:sz w:val="21"/>
          <w:szCs w:val="21"/>
          <w:color w:val="auto"/>
        </w:rPr>
        <w:t>A-2-5</w:t>
      </w:r>
    </w:p>
    <w:p>
      <w:pPr>
        <w:sectPr>
          <w:pgSz w:w="11900" w:h="16838" w:orient="portrait"/>
          <w:cols w:equalWidth="0" w:num="1">
            <w:col w:w="11420"/>
          </w:cols>
          <w:pgMar w:left="240" w:top="63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B</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5.50% Senior Notes due 2025</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Reference is hereby made to the Indenture, dated as of February 18, 2015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 (the “</w:t>
      </w:r>
      <w:r>
        <w:rPr>
          <w:rFonts w:ascii="Arial" w:cs="Arial" w:eastAsia="Arial" w:hAnsi="Arial"/>
          <w:sz w:val="19"/>
          <w:szCs w:val="19"/>
          <w:i w:val="1"/>
          <w:iCs w:val="1"/>
          <w:u w:val="single" w:color="auto"/>
          <w:color w:val="auto"/>
        </w:rPr>
        <w:t>Transferor</w:t>
      </w:r>
      <w:r>
        <w:rPr>
          <w:rFonts w:ascii="Arial" w:cs="Arial" w:eastAsia="Arial" w:hAnsi="Arial"/>
          <w:sz w:val="19"/>
          <w:szCs w:val="19"/>
          <w:color w:val="auto"/>
        </w:rPr>
        <w:t>”) owns and proposes to transfer the Note[s] or interest in such Note[s] specified in</w:t>
      </w:r>
    </w:p>
    <w:p>
      <w:pPr>
        <w:spacing w:after="0" w:line="56" w:lineRule="exact"/>
        <w:rPr>
          <w:sz w:val="20"/>
          <w:szCs w:val="20"/>
          <w:color w:val="auto"/>
        </w:rPr>
      </w:pPr>
    </w:p>
    <w:p>
      <w:pPr>
        <w:spacing w:after="0"/>
        <w:tabs>
          <w:tab w:leader="none" w:pos="760" w:val="left"/>
          <w:tab w:leader="none" w:pos="1140" w:val="left"/>
          <w:tab w:leader="none" w:pos="1940" w:val="left"/>
          <w:tab w:leader="none" w:pos="2320" w:val="left"/>
          <w:tab w:leader="none" w:pos="2800" w:val="left"/>
          <w:tab w:leader="none" w:pos="3780" w:val="left"/>
          <w:tab w:leader="none" w:pos="4640" w:val="left"/>
          <w:tab w:leader="none" w:pos="5040" w:val="left"/>
          <w:tab w:leader="none" w:pos="6240" w:val="left"/>
          <w:tab w:leader="none" w:pos="6620" w:val="left"/>
          <w:tab w:leader="none" w:pos="7220" w:val="left"/>
          <w:tab w:leader="none" w:pos="8080" w:val="left"/>
          <w:tab w:leader="none" w:pos="8480" w:val="left"/>
          <w:tab w:leader="none" w:pos="9420" w:val="left"/>
          <w:tab w:leader="none" w:pos="9960" w:val="left"/>
          <w:tab w:leader="none" w:pos="11220" w:val="left"/>
        </w:tabs>
        <w:rPr>
          <w:sz w:val="20"/>
          <w:szCs w:val="20"/>
          <w:color w:val="auto"/>
        </w:rPr>
      </w:pPr>
      <w:r>
        <w:rPr>
          <w:rFonts w:ascii="Arial" w:cs="Arial" w:eastAsia="Arial" w:hAnsi="Arial"/>
          <w:sz w:val="22"/>
          <w:szCs w:val="22"/>
          <w:u w:val="single" w:color="auto"/>
          <w:color w:val="auto"/>
        </w:rPr>
        <w:t>Annex</w:t>
      </w:r>
      <w:r>
        <w:rPr>
          <w:sz w:val="20"/>
          <w:szCs w:val="20"/>
          <w:color w:val="auto"/>
        </w:rPr>
        <w:tab/>
      </w:r>
      <w:r>
        <w:rPr>
          <w:rFonts w:ascii="Arial" w:cs="Arial" w:eastAsia="Arial" w:hAnsi="Arial"/>
          <w:sz w:val="22"/>
          <w:szCs w:val="22"/>
          <w:u w:val="single" w:color="auto"/>
          <w:color w:val="auto"/>
        </w:rPr>
        <w:t>A</w:t>
      </w:r>
      <w:r>
        <w:rPr>
          <w:sz w:val="20"/>
          <w:szCs w:val="20"/>
          <w:color w:val="auto"/>
        </w:rPr>
        <w:tab/>
      </w:r>
      <w:r>
        <w:rPr>
          <w:rFonts w:ascii="Arial" w:cs="Arial" w:eastAsia="Arial" w:hAnsi="Arial"/>
          <w:sz w:val="22"/>
          <w:szCs w:val="22"/>
          <w:color w:val="auto"/>
        </w:rPr>
        <w:t>hereto,</w:t>
        <w:tab/>
        <w:t>in</w:t>
        <w:tab/>
        <w:t>the</w:t>
        <w:tab/>
        <w:t>principal</w:t>
        <w:tab/>
        <w:t>amount</w:t>
        <w:tab/>
        <w:t>of</w:t>
        <w:tab/>
        <w:t>$________</w:t>
        <w:tab/>
        <w:t>in</w:t>
        <w:tab/>
        <w:t>such</w:t>
        <w:tab/>
        <w:t>Note[s]</w:t>
        <w:tab/>
        <w:t>or</w:t>
        <w:tab/>
        <w:t>interests</w:t>
        <w:tab/>
        <w:t>(the</w:t>
        <w:tab/>
        <w:t>“</w:t>
      </w:r>
      <w:r>
        <w:rPr>
          <w:rFonts w:ascii="Arial" w:cs="Arial" w:eastAsia="Arial" w:hAnsi="Arial"/>
          <w:sz w:val="22"/>
          <w:szCs w:val="22"/>
          <w:i w:val="1"/>
          <w:iCs w:val="1"/>
          <w:u w:val="single" w:color="auto"/>
          <w:color w:val="auto"/>
        </w:rPr>
        <w:t>Transfer</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to</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u w:val="single" w:color="auto"/>
          <w:color w:val="auto"/>
        </w:rPr>
        <w:t>Transferee</w:t>
      </w:r>
      <w:r>
        <w:rPr>
          <w:rFonts w:ascii="Arial" w:cs="Arial" w:eastAsia="Arial" w:hAnsi="Arial"/>
          <w:sz w:val="19"/>
          <w:szCs w:val="19"/>
          <w:color w:val="auto"/>
        </w:rPr>
        <w:t xml:space="preserve">”), as further specified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In connection with the Transfer,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Transferor hereby certifies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14" w:lineRule="exact"/>
        <w:rPr>
          <w:sz w:val="20"/>
          <w:szCs w:val="20"/>
          <w:color w:val="auto"/>
        </w:rPr>
      </w:pPr>
    </w:p>
    <w:p>
      <w:pPr>
        <w:jc w:val="both"/>
        <w:ind w:firstLine="656"/>
        <w:spacing w:after="0" w:line="292" w:lineRule="auto"/>
        <w:tabs>
          <w:tab w:leader="none" w:pos="1161" w:val="left"/>
        </w:tabs>
        <w:numPr>
          <w:ilvl w:val="0"/>
          <w:numId w:val="148"/>
        </w:numPr>
        <w:rPr>
          <w:rFonts w:ascii="Arial" w:cs="Arial" w:eastAsia="Arial" w:hAnsi="Arial"/>
          <w:sz w:val="16"/>
          <w:szCs w:val="16"/>
          <w:color w:val="auto"/>
        </w:rPr>
      </w:pPr>
      <w:r>
        <w:rPr>
          <w:rFonts w:ascii="Arial" w:cs="Arial" w:eastAsia="Arial" w:hAnsi="Arial"/>
          <w:sz w:val="19"/>
          <w:szCs w:val="19"/>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 pursuant to and in accordance with Rule 144A under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Act of 1933, as amended (the “</w:t>
      </w:r>
      <w:r>
        <w:rPr>
          <w:rFonts w:ascii="Arial" w:cs="Arial" w:eastAsia="Arial" w:hAnsi="Arial"/>
          <w:sz w:val="19"/>
          <w:szCs w:val="19"/>
          <w:i w:val="1"/>
          <w:iCs w:val="1"/>
          <w:u w:val="single" w:color="auto"/>
          <w:color w:val="auto"/>
        </w:rPr>
        <w:t>Securities Act</w:t>
      </w:r>
      <w:r>
        <w:rPr>
          <w:rFonts w:ascii="Arial" w:cs="Arial" w:eastAsia="Arial" w:hAnsi="Arial"/>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sz w:val="20"/>
          <w:szCs w:val="20"/>
          <w:color w:val="auto"/>
        </w:rPr>
      </w:pPr>
      <w:r>
        <w:rPr>
          <w:rFonts w:ascii="Arial" w:cs="Arial" w:eastAsia="Arial" w:hAnsi="Arial"/>
          <w:sz w:val="21"/>
          <w:szCs w:val="21"/>
          <w:color w:val="auto"/>
        </w:rPr>
        <w:t>Legend printed on the 144A Global Note and/or the Restricted Definitive Note and in the Indenture and the Securities Act.</w:t>
      </w:r>
    </w:p>
    <w:p>
      <w:pPr>
        <w:spacing w:after="0" w:line="225" w:lineRule="exact"/>
        <w:rPr>
          <w:sz w:val="20"/>
          <w:szCs w:val="20"/>
          <w:color w:val="auto"/>
        </w:rPr>
      </w:pPr>
    </w:p>
    <w:p>
      <w:pPr>
        <w:jc w:val="both"/>
        <w:ind w:firstLine="656"/>
        <w:spacing w:after="0" w:line="288" w:lineRule="auto"/>
        <w:tabs>
          <w:tab w:leader="none" w:pos="1112"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Regulation S Temporary Global Note, the Regulation S Permanent Global Note or a Restricted Definitive Note pursuant to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656"/>
        <w:spacing w:after="0" w:line="302" w:lineRule="auto"/>
        <w:tabs>
          <w:tab w:leader="none" w:pos="1044"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and complete if Transferee will take delivery of a beneficial interest in the IAI Global Note or a Restricted Definitive Note pursuant to any provision of the Securities Act other than Rule 144A or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43" w:lineRule="exact"/>
        <w:rPr>
          <w:rFonts w:ascii="Arial" w:cs="Arial" w:eastAsia="Arial" w:hAnsi="Arial"/>
          <w:sz w:val="19"/>
          <w:szCs w:val="19"/>
          <w:color w:val="auto"/>
        </w:rPr>
      </w:pPr>
    </w:p>
    <w:p>
      <w:pPr>
        <w:ind w:left="1880" w:hanging="575"/>
        <w:spacing w:after="0"/>
        <w:tabs>
          <w:tab w:leader="none" w:pos="1880" w:val="left"/>
        </w:tabs>
        <w:numPr>
          <w:ilvl w:val="1"/>
          <w:numId w:val="149"/>
        </w:numPr>
        <w:rPr>
          <w:rFonts w:ascii="Arial" w:cs="Arial" w:eastAsia="Arial" w:hAnsi="Arial"/>
          <w:sz w:val="17"/>
          <w:szCs w:val="17"/>
          <w:color w:val="auto"/>
        </w:rPr>
      </w:pPr>
      <w:r>
        <w:rPr>
          <w:rFonts w:ascii="Arial" w:cs="Arial" w:eastAsia="Arial" w:hAnsi="Arial"/>
          <w:sz w:val="21"/>
          <w:szCs w:val="21"/>
          <w:color w:val="auto"/>
        </w:rPr>
        <w:t>such Transfer is being effected pursuant to and in accordance with Rule 144 under the Securities Act;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ind w:left="5620" w:right="3500" w:hanging="4315"/>
        <w:spacing w:after="0" w:line="454" w:lineRule="auto"/>
        <w:tabs>
          <w:tab w:leader="none" w:pos="1787" w:val="left"/>
        </w:tabs>
        <w:numPr>
          <w:ilvl w:val="0"/>
          <w:numId w:val="150"/>
        </w:numPr>
        <w:rPr>
          <w:rFonts w:ascii="Arial" w:cs="Arial" w:eastAsia="Arial" w:hAnsi="Arial"/>
          <w:sz w:val="22"/>
          <w:szCs w:val="22"/>
          <w:color w:val="auto"/>
        </w:rPr>
      </w:pPr>
      <w:r>
        <w:rPr>
          <w:rFonts w:ascii="Arial" w:cs="Arial" w:eastAsia="Arial" w:hAnsi="Arial"/>
          <w:sz w:val="22"/>
          <w:szCs w:val="22"/>
          <w:color w:val="auto"/>
        </w:rPr>
        <w:t>such Transfer is being effected to the Company or a subsidiary thereof; or</w:t>
      </w:r>
    </w:p>
    <w:p>
      <w:pPr>
        <w:spacing w:after="0" w:line="1" w:lineRule="exact"/>
        <w:rPr>
          <w:rFonts w:ascii="Arial" w:cs="Arial" w:eastAsia="Arial" w:hAnsi="Arial"/>
          <w:sz w:val="22"/>
          <w:szCs w:val="22"/>
          <w:color w:val="auto"/>
        </w:rPr>
      </w:pPr>
    </w:p>
    <w:p>
      <w:pPr>
        <w:jc w:val="both"/>
        <w:ind w:left="660" w:firstLine="645"/>
        <w:spacing w:after="0" w:line="266" w:lineRule="auto"/>
        <w:tabs>
          <w:tab w:leader="none" w:pos="1835" w:val="left"/>
        </w:tabs>
        <w:numPr>
          <w:ilvl w:val="0"/>
          <w:numId w:val="150"/>
        </w:numPr>
        <w:rPr>
          <w:rFonts w:ascii="Arial" w:cs="Arial" w:eastAsia="Arial" w:hAnsi="Arial"/>
          <w:sz w:val="21"/>
          <w:szCs w:val="21"/>
          <w:color w:val="auto"/>
        </w:rPr>
      </w:pPr>
      <w:r>
        <w:rPr>
          <w:rFonts w:ascii="Arial" w:cs="Arial" w:eastAsia="Arial" w:hAnsi="Arial"/>
          <w:sz w:val="21"/>
          <w:szCs w:val="21"/>
          <w:color w:val="auto"/>
        </w:rPr>
        <w:t>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631" w:right="239" w:bottom="1440" w:gutter="0" w:footer="0" w:header="0"/>
        </w:sectPr>
      </w:pPr>
    </w:p>
    <w:bookmarkStart w:id="125" w:name="page126"/>
    <w:bookmarkEnd w:id="125"/>
    <w:p>
      <w:pPr>
        <w:jc w:val="both"/>
        <w:ind w:left="660"/>
        <w:spacing w:after="0" w:line="294" w:lineRule="auto"/>
        <w:rPr>
          <w:sz w:val="20"/>
          <w:szCs w:val="20"/>
          <w:color w:val="auto"/>
        </w:rPr>
      </w:pPr>
      <w:r>
        <w:rPr>
          <w:rFonts w:ascii="Arial" w:cs="Arial" w:eastAsia="Arial" w:hAnsi="Arial"/>
          <w:sz w:val="19"/>
          <w:szCs w:val="19"/>
          <w:color w:val="auto"/>
        </w:rPr>
        <w:t>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44" w:lineRule="exact"/>
        <w:rPr>
          <w:sz w:val="20"/>
          <w:szCs w:val="20"/>
          <w:color w:val="auto"/>
        </w:rPr>
      </w:pPr>
    </w:p>
    <w:p>
      <w:pPr>
        <w:ind w:right="20" w:firstLine="656"/>
        <w:spacing w:after="0" w:line="282" w:lineRule="auto"/>
        <w:tabs>
          <w:tab w:leader="none" w:pos="1287"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b w:val="1"/>
          <w:bCs w:val="1"/>
          <w:color w:val="auto"/>
        </w:rPr>
        <w:t>.</w:t>
      </w:r>
    </w:p>
    <w:p>
      <w:pPr>
        <w:spacing w:after="0" w:line="148" w:lineRule="exact"/>
        <w:rPr>
          <w:rFonts w:ascii="Arial" w:cs="Arial" w:eastAsia="Arial" w:hAnsi="Arial"/>
          <w:sz w:val="22"/>
          <w:szCs w:val="22"/>
          <w:color w:val="auto"/>
        </w:rPr>
      </w:pPr>
    </w:p>
    <w:p>
      <w:pPr>
        <w:jc w:val="both"/>
        <w:ind w:left="660" w:firstLine="645"/>
        <w:spacing w:after="0" w:line="295" w:lineRule="auto"/>
        <w:tabs>
          <w:tab w:leader="none" w:pos="1809" w:val="left"/>
        </w:tabs>
        <w:numPr>
          <w:ilvl w:val="1"/>
          <w:numId w:val="151"/>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Rule 144. </w:t>
      </w:r>
      <w:r>
        <w:rPr>
          <w:rFonts w:ascii="Arial" w:cs="Arial" w:eastAsia="Arial" w:hAnsi="Arial"/>
          <w:sz w:val="19"/>
          <w:szCs w:val="19"/>
          <w:color w:val="auto"/>
        </w:rPr>
        <w:t>(i) The Transfer is being effected pursuant to and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5" w:lineRule="exact"/>
        <w:rPr>
          <w:rFonts w:ascii="Arial" w:cs="Arial" w:eastAsia="Arial" w:hAnsi="Arial"/>
          <w:sz w:val="19"/>
          <w:szCs w:val="19"/>
          <w:color w:val="auto"/>
        </w:rPr>
      </w:pPr>
    </w:p>
    <w:p>
      <w:pPr>
        <w:jc w:val="both"/>
        <w:ind w:left="660" w:firstLine="645"/>
        <w:spacing w:after="0" w:line="295" w:lineRule="auto"/>
        <w:tabs>
          <w:tab w:leader="none" w:pos="1970" w:val="left"/>
        </w:tabs>
        <w:numPr>
          <w:ilvl w:val="1"/>
          <w:numId w:val="151"/>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Regulation S.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5" w:lineRule="exact"/>
        <w:rPr>
          <w:rFonts w:ascii="Arial" w:cs="Arial" w:eastAsia="Arial" w:hAnsi="Arial"/>
          <w:sz w:val="19"/>
          <w:szCs w:val="19"/>
          <w:color w:val="auto"/>
        </w:rPr>
      </w:pPr>
    </w:p>
    <w:p>
      <w:pPr>
        <w:jc w:val="both"/>
        <w:ind w:left="660" w:firstLine="645"/>
        <w:spacing w:after="0" w:line="262" w:lineRule="auto"/>
        <w:tabs>
          <w:tab w:leader="none" w:pos="1863" w:val="left"/>
        </w:tabs>
        <w:numPr>
          <w:ilvl w:val="1"/>
          <w:numId w:val="151"/>
        </w:numPr>
        <w:rPr>
          <w:rFonts w:ascii="Arial" w:cs="Arial" w:eastAsia="Arial" w:hAnsi="Arial"/>
          <w:sz w:val="21"/>
          <w:szCs w:val="21"/>
          <w:color w:val="auto"/>
        </w:rPr>
      </w:pPr>
      <w:r>
        <w:rPr>
          <w:rFonts w:ascii="Arial" w:cs="Arial" w:eastAsia="Arial" w:hAnsi="Arial"/>
          <w:sz w:val="21"/>
          <w:szCs w:val="21"/>
          <w:b w:val="1"/>
          <w:bCs w:val="1"/>
          <w:color w:val="auto"/>
        </w:rPr>
        <w:t xml:space="preserve">Check if Transfer is Pursuant to Other Exemption. </w:t>
      </w:r>
      <w:r>
        <w:rPr>
          <w:rFonts w:ascii="Arial" w:cs="Arial" w:eastAsia="Arial" w:hAnsi="Arial"/>
          <w:sz w:val="21"/>
          <w:szCs w:val="21"/>
          <w:color w:val="auto"/>
        </w:rPr>
        <w:t>(i) The Transfer is being effected pursuant to and in</w:t>
      </w:r>
      <w:r>
        <w:rPr>
          <w:rFonts w:ascii="Arial" w:cs="Arial" w:eastAsia="Arial" w:hAnsi="Arial"/>
          <w:sz w:val="21"/>
          <w:szCs w:val="21"/>
          <w:b w:val="1"/>
          <w:bCs w:val="1"/>
          <w:color w:val="auto"/>
        </w:rPr>
        <w:t xml:space="preserve"> </w:t>
      </w:r>
      <w:r>
        <w:rPr>
          <w:rFonts w:ascii="Arial" w:cs="Arial" w:eastAsia="Arial" w:hAnsi="Arial"/>
          <w:sz w:val="21"/>
          <w:szCs w:val="21"/>
          <w:color w:val="auto"/>
        </w:rPr>
        <w:t>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631" w:right="239" w:bottom="1440" w:gutter="0" w:footer="0" w:header="0"/>
        </w:sectPr>
      </w:pPr>
    </w:p>
    <w:bookmarkStart w:id="126" w:name="page127"/>
    <w:bookmarkEnd w:id="126"/>
    <w:p>
      <w:pPr>
        <w:jc w:val="center"/>
        <w:ind w:left="900"/>
        <w:spacing w:after="0" w:line="468" w:lineRule="auto"/>
        <w:rPr>
          <w:sz w:val="20"/>
          <w:szCs w:val="20"/>
          <w:color w:val="auto"/>
        </w:rPr>
      </w:pPr>
      <w:r>
        <w:rPr>
          <w:rFonts w:ascii="Arial" w:cs="Arial" w:eastAsia="Arial" w:hAnsi="Arial"/>
          <w:sz w:val="22"/>
          <w:szCs w:val="22"/>
          <w:color w:val="auto"/>
        </w:rPr>
        <w:t>This certificate and the statements contained herein are made for your benefit and the benefit of the Company. [Insert Name of Transferor]</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0219"/>
          </w:cols>
          <w:pgMar w:left="240" w:top="631" w:right="1440" w:bottom="1440" w:gutter="0" w:footer="0" w:header="0"/>
        </w:sectPr>
      </w:pPr>
    </w:p>
    <w:bookmarkStart w:id="127" w:name="page128"/>
    <w:bookmarkEnd w:id="127"/>
    <w:p>
      <w:pPr>
        <w:ind w:right="2419" w:firstLine="3611"/>
        <w:spacing w:after="0" w:line="448" w:lineRule="auto"/>
        <w:rPr>
          <w:sz w:val="20"/>
          <w:szCs w:val="20"/>
          <w:color w:val="auto"/>
        </w:rPr>
      </w:pPr>
      <w:r>
        <w:rPr>
          <w:rFonts w:ascii="Arial" w:cs="Arial" w:eastAsia="Arial" w:hAnsi="Arial"/>
          <w:sz w:val="22"/>
          <w:szCs w:val="22"/>
          <w:u w:val="single" w:color="auto"/>
          <w:color w:val="auto"/>
        </w:rPr>
        <w:t xml:space="preserve">ANNEX A TO CERTIFICATE OF TRANSFER </w:t>
      </w:r>
      <w:r>
        <w:rPr>
          <w:rFonts w:ascii="Arial" w:cs="Arial" w:eastAsia="Arial" w:hAnsi="Arial"/>
          <w:sz w:val="22"/>
          <w:szCs w:val="22"/>
          <w:color w:val="auto"/>
        </w:rPr>
        <w:t>1. The Transferor owns and proposes to transfer the following:</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[CHECK ONE OF (a) OR (b)]</w:t>
      </w:r>
    </w:p>
    <w:p>
      <w:pPr>
        <w:spacing w:after="0" w:line="220" w:lineRule="exact"/>
        <w:rPr>
          <w:sz w:val="20"/>
          <w:szCs w:val="20"/>
          <w:color w:val="auto"/>
        </w:rPr>
      </w:pPr>
    </w:p>
    <w:p>
      <w:pPr>
        <w:ind w:left="1820" w:hanging="515"/>
        <w:spacing w:after="0"/>
        <w:tabs>
          <w:tab w:leader="none" w:pos="182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2420" w:hanging="467"/>
        <w:spacing w:after="0"/>
        <w:tabs>
          <w:tab w:leader="none" w:pos="2420" w:val="left"/>
        </w:tabs>
        <w:numPr>
          <w:ilvl w:val="2"/>
          <w:numId w:val="152"/>
        </w:numPr>
        <w:rPr>
          <w:rFonts w:ascii="Arial" w:cs="Arial" w:eastAsia="Arial" w:hAnsi="Arial"/>
          <w:sz w:val="22"/>
          <w:szCs w:val="22"/>
          <w:color w:val="auto"/>
        </w:rPr>
      </w:pPr>
      <w:r>
        <w:rPr>
          <w:rFonts w:ascii="Arial" w:cs="Arial" w:eastAsia="Arial" w:hAnsi="Arial"/>
          <w:sz w:val="22"/>
          <w:szCs w:val="22"/>
          <w:color w:val="auto"/>
        </w:rPr>
        <w:t>144A Global Note (CUSIP _________), or</w:t>
      </w:r>
    </w:p>
    <w:p>
      <w:pPr>
        <w:spacing w:after="0" w:line="219" w:lineRule="exact"/>
        <w:rPr>
          <w:rFonts w:ascii="Arial" w:cs="Arial" w:eastAsia="Arial" w:hAnsi="Arial"/>
          <w:sz w:val="22"/>
          <w:szCs w:val="22"/>
          <w:color w:val="auto"/>
        </w:rPr>
      </w:pPr>
    </w:p>
    <w:p>
      <w:pPr>
        <w:ind w:left="2480" w:hanging="527"/>
        <w:spacing w:after="0"/>
        <w:tabs>
          <w:tab w:leader="none" w:pos="2480" w:val="left"/>
        </w:tabs>
        <w:numPr>
          <w:ilvl w:val="2"/>
          <w:numId w:val="152"/>
        </w:numPr>
        <w:rPr>
          <w:rFonts w:ascii="Arial" w:cs="Arial" w:eastAsia="Arial" w:hAnsi="Arial"/>
          <w:sz w:val="22"/>
          <w:szCs w:val="22"/>
          <w:color w:val="auto"/>
        </w:rPr>
      </w:pPr>
      <w:r>
        <w:rPr>
          <w:rFonts w:ascii="Arial" w:cs="Arial" w:eastAsia="Arial" w:hAnsi="Arial"/>
          <w:sz w:val="22"/>
          <w:szCs w:val="22"/>
          <w:color w:val="auto"/>
        </w:rPr>
        <w:t>Regulation S Global Note (CUSIP _________), or</w:t>
      </w:r>
    </w:p>
    <w:p>
      <w:pPr>
        <w:spacing w:after="0" w:line="219" w:lineRule="exact"/>
        <w:rPr>
          <w:rFonts w:ascii="Arial" w:cs="Arial" w:eastAsia="Arial" w:hAnsi="Arial"/>
          <w:sz w:val="22"/>
          <w:szCs w:val="22"/>
          <w:color w:val="auto"/>
        </w:rPr>
      </w:pPr>
    </w:p>
    <w:p>
      <w:pPr>
        <w:ind w:left="2540" w:hanging="587"/>
        <w:spacing w:after="0"/>
        <w:tabs>
          <w:tab w:leader="none" w:pos="2540" w:val="left"/>
        </w:tabs>
        <w:numPr>
          <w:ilvl w:val="2"/>
          <w:numId w:val="152"/>
        </w:numPr>
        <w:rPr>
          <w:rFonts w:ascii="Arial" w:cs="Arial" w:eastAsia="Arial" w:hAnsi="Arial"/>
          <w:sz w:val="22"/>
          <w:szCs w:val="22"/>
          <w:color w:val="auto"/>
        </w:rPr>
      </w:pPr>
      <w:r>
        <w:rPr>
          <w:rFonts w:ascii="Arial" w:cs="Arial" w:eastAsia="Arial" w:hAnsi="Arial"/>
          <w:sz w:val="22"/>
          <w:szCs w:val="22"/>
          <w:color w:val="auto"/>
        </w:rPr>
        <w:t>IAI Global Note (CUSIP _________); or</w:t>
      </w:r>
    </w:p>
    <w:p>
      <w:pPr>
        <w:spacing w:after="0" w:line="219" w:lineRule="exact"/>
        <w:rPr>
          <w:rFonts w:ascii="Arial" w:cs="Arial" w:eastAsia="Arial" w:hAnsi="Arial"/>
          <w:sz w:val="22"/>
          <w:szCs w:val="22"/>
          <w:color w:val="auto"/>
        </w:rPr>
      </w:pPr>
    </w:p>
    <w:p>
      <w:pPr>
        <w:ind w:left="1820" w:hanging="515"/>
        <w:spacing w:after="0"/>
        <w:tabs>
          <w:tab w:leader="none" w:pos="182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a Restricted Definitive Note.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2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[CHECK ONE]</w:t>
      </w:r>
    </w:p>
    <w:p>
      <w:pPr>
        <w:spacing w:after="0" w:line="220" w:lineRule="exact"/>
        <w:rPr>
          <w:sz w:val="20"/>
          <w:szCs w:val="20"/>
          <w:color w:val="auto"/>
        </w:rPr>
      </w:pPr>
    </w:p>
    <w:p>
      <w:pPr>
        <w:ind w:left="1820" w:hanging="515"/>
        <w:spacing w:after="0"/>
        <w:tabs>
          <w:tab w:leader="none" w:pos="18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2420" w:hanging="467"/>
        <w:spacing w:after="0"/>
        <w:tabs>
          <w:tab w:leader="none" w:pos="242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144A Global Note (CUSIP _________), or</w:t>
      </w:r>
    </w:p>
    <w:p>
      <w:pPr>
        <w:spacing w:after="0" w:line="219" w:lineRule="exact"/>
        <w:rPr>
          <w:rFonts w:ascii="Arial" w:cs="Arial" w:eastAsia="Arial" w:hAnsi="Arial"/>
          <w:sz w:val="22"/>
          <w:szCs w:val="22"/>
          <w:color w:val="auto"/>
        </w:rPr>
      </w:pPr>
    </w:p>
    <w:p>
      <w:pPr>
        <w:ind w:left="2480" w:hanging="527"/>
        <w:spacing w:after="0"/>
        <w:tabs>
          <w:tab w:leader="none" w:pos="24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Regulation S Global Note (CUSIP _________), or</w:t>
      </w:r>
    </w:p>
    <w:p>
      <w:pPr>
        <w:spacing w:after="0" w:line="219" w:lineRule="exact"/>
        <w:rPr>
          <w:rFonts w:ascii="Arial" w:cs="Arial" w:eastAsia="Arial" w:hAnsi="Arial"/>
          <w:sz w:val="22"/>
          <w:szCs w:val="22"/>
          <w:color w:val="auto"/>
        </w:rPr>
      </w:pPr>
    </w:p>
    <w:p>
      <w:pPr>
        <w:ind w:left="2540" w:hanging="587"/>
        <w:spacing w:after="0"/>
        <w:tabs>
          <w:tab w:leader="none" w:pos="254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IAI Global Note (CUSIP _________); or</w:t>
      </w:r>
    </w:p>
    <w:p>
      <w:pPr>
        <w:spacing w:after="0" w:line="219" w:lineRule="exact"/>
        <w:rPr>
          <w:rFonts w:ascii="Arial" w:cs="Arial" w:eastAsia="Arial" w:hAnsi="Arial"/>
          <w:sz w:val="22"/>
          <w:szCs w:val="22"/>
          <w:color w:val="auto"/>
        </w:rPr>
      </w:pPr>
    </w:p>
    <w:p>
      <w:pPr>
        <w:ind w:left="2540" w:hanging="587"/>
        <w:spacing w:after="0"/>
        <w:tabs>
          <w:tab w:leader="none" w:pos="254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Unrestricted Global Note (CUSIP _________); or</w:t>
      </w:r>
    </w:p>
    <w:p>
      <w:pPr>
        <w:spacing w:after="0" w:line="219" w:lineRule="exact"/>
        <w:rPr>
          <w:rFonts w:ascii="Arial" w:cs="Arial" w:eastAsia="Arial" w:hAnsi="Arial"/>
          <w:sz w:val="22"/>
          <w:szCs w:val="22"/>
          <w:color w:val="auto"/>
        </w:rPr>
      </w:pPr>
    </w:p>
    <w:p>
      <w:pPr>
        <w:ind w:left="1820" w:hanging="515"/>
        <w:spacing w:after="0"/>
        <w:tabs>
          <w:tab w:leader="none" w:pos="18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Restricted Definitive Note; or</w:t>
      </w:r>
    </w:p>
    <w:p>
      <w:pPr>
        <w:spacing w:after="0" w:line="219" w:lineRule="exact"/>
        <w:rPr>
          <w:rFonts w:ascii="Arial" w:cs="Arial" w:eastAsia="Arial" w:hAnsi="Arial"/>
          <w:sz w:val="22"/>
          <w:szCs w:val="22"/>
          <w:color w:val="auto"/>
        </w:rPr>
      </w:pPr>
    </w:p>
    <w:p>
      <w:pPr>
        <w:ind w:left="1820" w:hanging="515"/>
        <w:spacing w:after="0"/>
        <w:tabs>
          <w:tab w:leader="none" w:pos="18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 Unrestricted Definitive Note,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accordance with the terms of the Indenture.</w:t>
      </w:r>
    </w:p>
    <w:p>
      <w:pPr>
        <w:sectPr>
          <w:pgSz w:w="11900" w:h="16838" w:orient="portrait"/>
          <w:cols w:equalWidth="0" w:num="1">
            <w:col w:w="10219"/>
          </w:cols>
          <w:pgMar w:left="240" w:top="631"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5.50% Senior Notes due 2025</w:t>
      </w:r>
    </w:p>
    <w:p>
      <w:pPr>
        <w:spacing w:after="0" w:line="220"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(CUSIP __________)</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Reference is hereby made to the Indenture, dated as of February 18, 2015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 (the “</w:t>
      </w:r>
      <w:r>
        <w:rPr>
          <w:rFonts w:ascii="Arial" w:cs="Arial" w:eastAsia="Arial" w:hAnsi="Arial"/>
          <w:sz w:val="19"/>
          <w:szCs w:val="19"/>
          <w:i w:val="1"/>
          <w:iCs w:val="1"/>
          <w:u w:val="single" w:color="auto"/>
          <w:color w:val="auto"/>
        </w:rPr>
        <w:t>Owner</w:t>
      </w:r>
      <w:r>
        <w:rPr>
          <w:rFonts w:ascii="Arial" w:cs="Arial" w:eastAsia="Arial" w:hAnsi="Arial"/>
          <w:sz w:val="19"/>
          <w:szCs w:val="19"/>
          <w:color w:val="auto"/>
        </w:rPr>
        <w:t>”) owns and proposes to exchange the Note[s] or interest in such Note[s]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$____________ in such Note[s] or interests (the “</w:t>
      </w:r>
      <w:r>
        <w:rPr>
          <w:rFonts w:ascii="Arial" w:cs="Arial" w:eastAsia="Arial" w:hAnsi="Arial"/>
          <w:sz w:val="19"/>
          <w:szCs w:val="19"/>
          <w:i w:val="1"/>
          <w:iCs w:val="1"/>
          <w:u w:val="single" w:color="auto"/>
          <w:color w:val="auto"/>
        </w:rPr>
        <w:t>Exchange</w:t>
      </w:r>
      <w:r>
        <w:rPr>
          <w:rFonts w:ascii="Arial" w:cs="Arial" w:eastAsia="Arial" w:hAnsi="Arial"/>
          <w:sz w:val="19"/>
          <w:szCs w:val="19"/>
          <w:color w:val="auto"/>
        </w:rPr>
        <w:t>”). In connection with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196" w:lineRule="exact"/>
        <w:rPr>
          <w:sz w:val="20"/>
          <w:szCs w:val="20"/>
          <w:color w:val="auto"/>
        </w:rPr>
      </w:pPr>
    </w:p>
    <w:p>
      <w:pPr>
        <w:ind w:right="20" w:firstLine="656"/>
        <w:spacing w:after="0" w:line="269" w:lineRule="auto"/>
        <w:tabs>
          <w:tab w:leader="none" w:pos="1459"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2" w:lineRule="exact"/>
        <w:rPr>
          <w:sz w:val="20"/>
          <w:szCs w:val="20"/>
          <w:color w:val="auto"/>
        </w:rPr>
      </w:pPr>
    </w:p>
    <w:p>
      <w:pPr>
        <w:jc w:val="both"/>
        <w:ind w:firstLine="656"/>
        <w:spacing w:after="0" w:line="295" w:lineRule="auto"/>
        <w:tabs>
          <w:tab w:leader="none" w:pos="1608" w:val="left"/>
        </w:tabs>
        <w:numPr>
          <w:ilvl w:val="0"/>
          <w:numId w:val="156"/>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beneficial interest in a Restricted Global Note to beneficial interest in an Unrestricted Global Note. </w:t>
      </w:r>
      <w:r>
        <w:rPr>
          <w:rFonts w:ascii="Arial" w:cs="Arial" w:eastAsia="Arial" w:hAnsi="Arial"/>
          <w:sz w:val="19"/>
          <w:szCs w:val="19"/>
          <w:color w:val="auto"/>
        </w:rPr>
        <w:t>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(iv) the beneficial interest in an Unrestricted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420"/>
          </w:cols>
          <w:pgMar w:left="240" w:top="126" w:right="23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color w:val="auto"/>
        </w:rPr>
        <w:t>Global Note is being acquired in compliance with any applicable blue sky securities laws of any state of the United States.</w:t>
      </w:r>
    </w:p>
    <w:p>
      <w:pPr>
        <w:spacing w:after="0" w:line="225" w:lineRule="exact"/>
        <w:rPr>
          <w:sz w:val="20"/>
          <w:szCs w:val="20"/>
          <w:color w:val="auto"/>
        </w:rPr>
      </w:pPr>
    </w:p>
    <w:p>
      <w:pPr>
        <w:jc w:val="both"/>
        <w:ind w:firstLine="656"/>
        <w:spacing w:after="0" w:line="295" w:lineRule="auto"/>
        <w:tabs>
          <w:tab w:leader="none" w:pos="1377" w:val="left"/>
        </w:tabs>
        <w:numPr>
          <w:ilvl w:val="0"/>
          <w:numId w:val="157"/>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beneficial interest in a Restricted Global Note to Unrestricted Definitive Note.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5" w:lineRule="exact"/>
        <w:rPr>
          <w:rFonts w:ascii="Arial" w:cs="Arial" w:eastAsia="Arial" w:hAnsi="Arial"/>
          <w:sz w:val="19"/>
          <w:szCs w:val="19"/>
          <w:color w:val="auto"/>
        </w:rPr>
      </w:pPr>
    </w:p>
    <w:p>
      <w:pPr>
        <w:jc w:val="both"/>
        <w:ind w:firstLine="656"/>
        <w:spacing w:after="0" w:line="295" w:lineRule="auto"/>
        <w:tabs>
          <w:tab w:leader="none" w:pos="1311" w:val="left"/>
        </w:tabs>
        <w:numPr>
          <w:ilvl w:val="0"/>
          <w:numId w:val="157"/>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Restricted Definitive Note to beneficial interest in an Unrestricted Global Note.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5" w:lineRule="exact"/>
        <w:rPr>
          <w:rFonts w:ascii="Arial" w:cs="Arial" w:eastAsia="Arial" w:hAnsi="Arial"/>
          <w:sz w:val="19"/>
          <w:szCs w:val="19"/>
          <w:color w:val="auto"/>
        </w:rPr>
      </w:pPr>
    </w:p>
    <w:p>
      <w:pPr>
        <w:jc w:val="both"/>
        <w:ind w:firstLine="656"/>
        <w:spacing w:after="0" w:line="263" w:lineRule="auto"/>
        <w:tabs>
          <w:tab w:leader="none" w:pos="1391" w:val="left"/>
        </w:tabs>
        <w:numPr>
          <w:ilvl w:val="0"/>
          <w:numId w:val="157"/>
        </w:numPr>
        <w:rPr>
          <w:rFonts w:ascii="Arial" w:cs="Arial" w:eastAsia="Arial" w:hAnsi="Arial"/>
          <w:sz w:val="21"/>
          <w:szCs w:val="21"/>
          <w:color w:val="auto"/>
        </w:rPr>
      </w:pPr>
      <w:r>
        <w:rPr>
          <w:rFonts w:ascii="Arial" w:cs="Arial" w:eastAsia="Arial" w:hAnsi="Arial"/>
          <w:sz w:val="21"/>
          <w:szCs w:val="21"/>
          <w:b w:val="1"/>
          <w:bCs w:val="1"/>
          <w:color w:val="auto"/>
        </w:rPr>
        <w:t xml:space="preserve">Check if Exchange is from Restricted Definitive Note to Unrestricted Definitive Note. </w:t>
      </w:r>
      <w:r>
        <w:rPr>
          <w:rFonts w:ascii="Arial" w:cs="Arial" w:eastAsia="Arial" w:hAnsi="Arial"/>
          <w:sz w:val="21"/>
          <w:szCs w:val="21"/>
          <w:color w:val="auto"/>
        </w:rPr>
        <w:t>In connection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73" w:lineRule="exact"/>
        <w:rPr>
          <w:sz w:val="20"/>
          <w:szCs w:val="20"/>
          <w:color w:val="auto"/>
        </w:rPr>
      </w:pPr>
    </w:p>
    <w:p>
      <w:pPr>
        <w:ind w:firstLine="656"/>
        <w:spacing w:after="0" w:line="282" w:lineRule="auto"/>
        <w:tabs>
          <w:tab w:leader="none" w:pos="1193" w:val="left"/>
        </w:tabs>
        <w:numPr>
          <w:ilvl w:val="0"/>
          <w:numId w:val="158"/>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48" w:lineRule="exact"/>
        <w:rPr>
          <w:sz w:val="20"/>
          <w:szCs w:val="20"/>
          <w:color w:val="auto"/>
        </w:rPr>
      </w:pPr>
    </w:p>
    <w:p>
      <w:pPr>
        <w:jc w:val="both"/>
        <w:ind w:firstLine="656"/>
        <w:spacing w:after="0" w:line="298" w:lineRule="auto"/>
        <w:tabs>
          <w:tab w:leader="none" w:pos="1433" w:val="left"/>
        </w:tabs>
        <w:numPr>
          <w:ilvl w:val="0"/>
          <w:numId w:val="159"/>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beneficial interest in a Restricted Global Note to Restricted Definitive Note.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420"/>
          </w:cols>
          <w:pgMar w:left="240" w:top="631" w:right="239" w:bottom="1440" w:gutter="0" w:footer="0" w:header="0"/>
        </w:sectPr>
      </w:pPr>
    </w:p>
    <w:bookmarkStart w:id="130" w:name="page131"/>
    <w:bookmarkEnd w:id="130"/>
    <w:p>
      <w:pPr>
        <w:jc w:val="both"/>
        <w:ind w:firstLine="656"/>
        <w:spacing w:after="0" w:line="261" w:lineRule="auto"/>
        <w:tabs>
          <w:tab w:leader="none" w:pos="1431" w:val="left"/>
        </w:tabs>
        <w:numPr>
          <w:ilvl w:val="0"/>
          <w:numId w:val="160"/>
        </w:numPr>
        <w:rPr>
          <w:rFonts w:ascii="Arial" w:cs="Arial" w:eastAsia="Arial" w:hAnsi="Arial"/>
          <w:sz w:val="21"/>
          <w:szCs w:val="21"/>
          <w:color w:val="auto"/>
        </w:rPr>
      </w:pPr>
      <w:r>
        <w:rPr>
          <w:rFonts w:ascii="Arial" w:cs="Arial" w:eastAsia="Arial" w:hAnsi="Arial"/>
          <w:sz w:val="21"/>
          <w:szCs w:val="21"/>
          <w:b w:val="1"/>
          <w:bCs w:val="1"/>
          <w:color w:val="auto"/>
        </w:rPr>
        <w:t xml:space="preserve">Check if Exchange is from Restricted Definitive Note to beneficial interest in a Restricted Global Note. </w:t>
      </w:r>
      <w:r>
        <w:rPr>
          <w:rFonts w:ascii="Arial" w:cs="Arial" w:eastAsia="Arial" w:hAnsi="Arial"/>
          <w:sz w:val="21"/>
          <w:szCs w:val="21"/>
          <w:color w:val="auto"/>
        </w:rPr>
        <w:t>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Exchange of the Owner’s Restricted Definitive Note for a beneficial interest in the [CHECK ONE] 144A Global Note, Regulation S Global Note,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1" w:lineRule="exact"/>
        <w:rPr>
          <w:sz w:val="20"/>
          <w:szCs w:val="20"/>
          <w:color w:val="auto"/>
        </w:rPr>
      </w:pPr>
    </w:p>
    <w:p>
      <w:pPr>
        <w:jc w:val="center"/>
        <w:ind w:right="580"/>
        <w:spacing w:after="0" w:line="468" w:lineRule="auto"/>
        <w:rPr>
          <w:sz w:val="20"/>
          <w:szCs w:val="20"/>
          <w:color w:val="auto"/>
        </w:rPr>
      </w:pPr>
      <w:r>
        <w:rPr>
          <w:rFonts w:ascii="Arial" w:cs="Arial" w:eastAsia="Arial" w:hAnsi="Arial"/>
          <w:sz w:val="22"/>
          <w:szCs w:val="22"/>
          <w:color w:val="auto"/>
        </w:rPr>
        <w:t>This certificate and the statements contained herein are made for your benefit and the benefit of the Company. [Insert Name of Transferor]</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420"/>
          </w:cols>
          <w:pgMar w:left="240" w:top="6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D</w:t>
      </w: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CERTIFICATE FROM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ACQUIRING INSTITUTIONAL ACCREDITED INVESTOR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5.50% Senior Notes due 2025</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Reference is hereby made to the Indenture, dated as of February 18, 2015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our proposed purchase of $____________ aggregate principal amount of:</w:t>
      </w:r>
    </w:p>
    <w:p>
      <w:pPr>
        <w:spacing w:after="0" w:line="220" w:lineRule="exact"/>
        <w:rPr>
          <w:sz w:val="20"/>
          <w:szCs w:val="20"/>
          <w:color w:val="auto"/>
        </w:rPr>
      </w:pPr>
    </w:p>
    <w:p>
      <w:pPr>
        <w:ind w:left="1400" w:hanging="744"/>
        <w:spacing w:after="0"/>
        <w:tabs>
          <w:tab w:leader="none" w:pos="1400" w:val="left"/>
        </w:tabs>
        <w:numPr>
          <w:ilvl w:val="0"/>
          <w:numId w:val="161"/>
        </w:numPr>
        <w:rPr>
          <w:rFonts w:ascii="Arial" w:cs="Arial" w:eastAsia="Arial" w:hAnsi="Arial"/>
          <w:sz w:val="18"/>
          <w:szCs w:val="18"/>
          <w:color w:val="auto"/>
        </w:rPr>
      </w:pPr>
      <w:r>
        <w:rPr>
          <w:rFonts w:ascii="Arial" w:cs="Arial" w:eastAsia="Arial" w:hAnsi="Arial"/>
          <w:sz w:val="22"/>
          <w:szCs w:val="22"/>
          <w:color w:val="auto"/>
        </w:rPr>
        <w:t>a beneficial interest in a Global Note, or</w:t>
      </w:r>
    </w:p>
    <w:p>
      <w:pPr>
        <w:spacing w:after="0" w:line="233"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 Definitive Note,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confirm that:</w:t>
      </w:r>
    </w:p>
    <w:p>
      <w:pPr>
        <w:spacing w:after="0" w:line="220" w:lineRule="exact"/>
        <w:rPr>
          <w:sz w:val="20"/>
          <w:szCs w:val="20"/>
          <w:color w:val="auto"/>
        </w:rPr>
      </w:pPr>
    </w:p>
    <w:p>
      <w:pPr>
        <w:jc w:val="both"/>
        <w:ind w:firstLine="656"/>
        <w:spacing w:after="0" w:line="254" w:lineRule="auto"/>
        <w:tabs>
          <w:tab w:leader="none" w:pos="1071"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22"/>
          <w:szCs w:val="22"/>
          <w:i w:val="1"/>
          <w:iCs w:val="1"/>
          <w:u w:val="single" w:color="auto"/>
          <w:color w:val="auto"/>
        </w:rPr>
        <w:t>Securities Act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70" w:lineRule="auto"/>
        <w:tabs>
          <w:tab w:leader="none" w:pos="100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420"/>
          </w:cols>
          <w:pgMar w:left="240" w:top="126" w:right="239" w:bottom="1440" w:gutter="0" w:footer="0" w:header="0"/>
        </w:sectPr>
      </w:pPr>
    </w:p>
    <w:bookmarkStart w:id="132" w:name="page133"/>
    <w:bookmarkEnd w:id="132"/>
    <w:p>
      <w:pPr>
        <w:jc w:val="both"/>
        <w:spacing w:after="0" w:line="259" w:lineRule="auto"/>
        <w:rPr>
          <w:sz w:val="20"/>
          <w:szCs w:val="20"/>
          <w:color w:val="auto"/>
        </w:rPr>
      </w:pPr>
      <w:r>
        <w:rPr>
          <w:rFonts w:ascii="Arial" w:cs="Arial" w:eastAsia="Arial" w:hAnsi="Arial"/>
          <w:sz w:val="21"/>
          <w:szCs w:val="21"/>
          <w:color w:val="auto"/>
        </w:rPr>
        <w:t>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or (E) pursuant to the provisions of Rule 144(k)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84" w:lineRule="exact"/>
        <w:rPr>
          <w:sz w:val="20"/>
          <w:szCs w:val="20"/>
          <w:color w:val="auto"/>
        </w:rPr>
      </w:pPr>
    </w:p>
    <w:p>
      <w:pPr>
        <w:jc w:val="both"/>
        <w:ind w:firstLine="656"/>
        <w:spacing w:after="0" w:line="254" w:lineRule="auto"/>
        <w:tabs>
          <w:tab w:leader="none" w:pos="101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05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5" w:lineRule="exact"/>
        <w:rPr>
          <w:rFonts w:ascii="Arial" w:cs="Arial" w:eastAsia="Arial" w:hAnsi="Arial"/>
          <w:sz w:val="22"/>
          <w:szCs w:val="22"/>
          <w:color w:val="auto"/>
        </w:rPr>
      </w:pPr>
    </w:p>
    <w:p>
      <w:pPr>
        <w:ind w:firstLine="656"/>
        <w:spacing w:after="0" w:line="358" w:lineRule="auto"/>
        <w:tabs>
          <w:tab w:leader="none" w:pos="109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9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[Insert Name of Accredited Investor]</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1420"/>
          </w:cols>
          <w:pgMar w:left="240" w:top="63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NOTATION OF GUARANTEE]</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February 18, 2015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and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Kevyn, LLC, a Nevada limited liability company, WLV Events, LLC, a Nevada limited liability company, World Travel, LLC, a Nevada limited liability company, Wynn Show Performers, LLC, a Nevada limited liability company and Wynn Sunrise, LLC, a Nevada limited liability company, as guarantors (the “</w:t>
      </w:r>
      <w:r>
        <w:rPr>
          <w:rFonts w:ascii="Arial" w:cs="Arial" w:eastAsia="Arial" w:hAnsi="Arial"/>
          <w:sz w:val="19"/>
          <w:szCs w:val="19"/>
          <w:i w:val="1"/>
          <w:iCs w:val="1"/>
          <w:u w:val="single" w:color="auto"/>
          <w:color w:val="auto"/>
        </w:rPr>
        <w:t>Guarantors</w:t>
      </w:r>
      <w:r>
        <w:rPr>
          <w:rFonts w:ascii="Arial" w:cs="Arial" w:eastAsia="Arial" w:hAnsi="Arial"/>
          <w:sz w:val="19"/>
          <w:szCs w:val="19"/>
          <w:color w:val="auto"/>
        </w:rPr>
        <w:t>”)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1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of Guarantor(s)]</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F</w:t>
      </w: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SUPPLEMENTAL INDENTURE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BY SUBSEQUENT GUARANTORS]</w:t>
      </w:r>
    </w:p>
    <w:p>
      <w:pPr>
        <w:spacing w:after="0" w:line="202" w:lineRule="exact"/>
        <w:rPr>
          <w:sz w:val="20"/>
          <w:szCs w:val="20"/>
          <w:color w:val="auto"/>
        </w:rPr>
      </w:pPr>
    </w:p>
    <w:p>
      <w:pPr>
        <w:ind w:left="660"/>
        <w:spacing w:after="0"/>
        <w:tabs>
          <w:tab w:leader="none" w:pos="2060" w:val="left"/>
          <w:tab w:leader="none" w:pos="3120" w:val="left"/>
          <w:tab w:leader="none" w:pos="3740" w:val="left"/>
          <w:tab w:leader="none" w:pos="5240" w:val="left"/>
          <w:tab w:leader="none" w:pos="6540" w:val="left"/>
          <w:tab w:leader="none" w:pos="7240" w:val="left"/>
          <w:tab w:leader="none" w:pos="7660" w:val="left"/>
          <w:tab w:leader="none" w:pos="8060" w:val="left"/>
          <w:tab w:leader="none" w:pos="10080" w:val="left"/>
          <w:tab w:leader="none" w:pos="10800" w:val="left"/>
        </w:tabs>
        <w:rPr>
          <w:sz w:val="20"/>
          <w:szCs w:val="20"/>
          <w:color w:val="auto"/>
        </w:rPr>
      </w:pPr>
      <w:r>
        <w:rPr>
          <w:rFonts w:ascii="Arial" w:cs="Arial" w:eastAsia="Arial" w:hAnsi="Arial"/>
          <w:sz w:val="22"/>
          <w:szCs w:val="22"/>
          <w:color w:val="auto"/>
        </w:rPr>
        <w:t>Supplemental</w:t>
        <w:tab/>
        <w:t>Indenture</w:t>
        <w:tab/>
        <w:t>(this</w:t>
        <w:tab/>
        <w:t>“</w:t>
      </w:r>
      <w:r>
        <w:rPr>
          <w:rFonts w:ascii="Arial" w:cs="Arial" w:eastAsia="Arial" w:hAnsi="Arial"/>
          <w:sz w:val="22"/>
          <w:szCs w:val="22"/>
          <w:i w:val="1"/>
          <w:iCs w:val="1"/>
          <w:u w:val="single" w:color="auto"/>
          <w:color w:val="auto"/>
        </w:rPr>
        <w:t>Supplemental</w:t>
      </w:r>
      <w:r>
        <w:rPr>
          <w:sz w:val="20"/>
          <w:szCs w:val="20"/>
          <w:color w:val="auto"/>
        </w:rPr>
        <w:tab/>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dated</w:t>
        <w:tab/>
        <w:t>as</w:t>
        <w:tab/>
        <w:t>of</w:t>
        <w:tab/>
        <w:t>________________,</w:t>
        <w:tab/>
        <w:t>20__,</w:t>
      </w:r>
      <w:r>
        <w:rPr>
          <w:sz w:val="20"/>
          <w:szCs w:val="20"/>
          <w:color w:val="auto"/>
        </w:rPr>
        <w:tab/>
      </w:r>
      <w:r>
        <w:rPr>
          <w:rFonts w:ascii="Arial" w:cs="Arial" w:eastAsia="Arial" w:hAnsi="Arial"/>
          <w:sz w:val="19"/>
          <w:szCs w:val="19"/>
          <w:color w:val="auto"/>
        </w:rPr>
        <w:t>among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 (the “</w:t>
      </w:r>
      <w:r>
        <w:rPr>
          <w:rFonts w:ascii="Arial" w:cs="Arial" w:eastAsia="Arial" w:hAnsi="Arial"/>
          <w:sz w:val="19"/>
          <w:szCs w:val="19"/>
          <w:i w:val="1"/>
          <w:iCs w:val="1"/>
          <w:u w:val="single" w:color="auto"/>
          <w:color w:val="auto"/>
        </w:rPr>
        <w:t>Guaranteeing Subsidiary</w:t>
      </w:r>
      <w:r>
        <w:rPr>
          <w:rFonts w:ascii="Arial" w:cs="Arial" w:eastAsia="Arial" w:hAnsi="Arial"/>
          <w:sz w:val="19"/>
          <w:szCs w:val="19"/>
          <w:color w:val="auto"/>
        </w:rPr>
        <w:t>”), a subsidiary of Wynn Las Vegas, LLC, a Nevada limited liability company</w:t>
      </w:r>
    </w:p>
    <w:p>
      <w:pPr>
        <w:spacing w:after="0" w:line="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Wynn Las Vegas</w:t>
      </w:r>
      <w:r>
        <w:rPr>
          <w:rFonts w:ascii="Arial" w:cs="Arial" w:eastAsia="Arial" w:hAnsi="Arial"/>
          <w:sz w:val="22"/>
          <w:szCs w:val="22"/>
          <w:color w:val="auto"/>
        </w:rPr>
        <w:t>”), Wynn Las Vegas, Wynn Las Vegas Capital Corp., a Nevada corporation (“</w:t>
      </w:r>
      <w:r>
        <w:rPr>
          <w:rFonts w:ascii="Arial" w:cs="Arial" w:eastAsia="Arial" w:hAnsi="Arial"/>
          <w:sz w:val="22"/>
          <w:szCs w:val="22"/>
          <w:i w:val="1"/>
          <w:iCs w:val="1"/>
          <w:u w:val="single" w:color="auto"/>
          <w:color w:val="auto"/>
        </w:rPr>
        <w:t>Wynn Capital</w:t>
      </w:r>
      <w:r>
        <w:rPr>
          <w:rFonts w:ascii="Arial" w:cs="Arial" w:eastAsia="Arial" w:hAnsi="Arial"/>
          <w:sz w:val="22"/>
          <w:szCs w:val="22"/>
          <w:color w:val="auto"/>
        </w:rPr>
        <w:t>,” and together with Wynn Las Vegas,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and the Guarantors (as defined in the Indenture referred to herein) and U.S. Bank National Association, as trustee under the Indenture referred to below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February 18, 2015 providing for the issuance of an aggregate principal amount of $1,800,000,000 of 5.50% Senior Notes due 2025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6" w:lineRule="exact"/>
        <w:rPr>
          <w:sz w:val="20"/>
          <w:szCs w:val="20"/>
          <w:color w:val="auto"/>
        </w:rPr>
      </w:pPr>
    </w:p>
    <w:p>
      <w:pPr>
        <w:ind w:left="1460" w:hanging="804"/>
        <w:spacing w:after="0"/>
        <w:tabs>
          <w:tab w:leader="none" w:pos="146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Capitalized Terms. Capitalized terms used herein without definition shall have the meanings assigned to them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Indenture.</w:t>
      </w:r>
    </w:p>
    <w:p>
      <w:pPr>
        <w:spacing w:after="0" w:line="201" w:lineRule="exact"/>
        <w:rPr>
          <w:rFonts w:ascii="Arial" w:cs="Arial" w:eastAsia="Arial" w:hAnsi="Arial"/>
          <w:sz w:val="19"/>
          <w:szCs w:val="19"/>
          <w:color w:val="auto"/>
        </w:rPr>
      </w:pPr>
    </w:p>
    <w:p>
      <w:pPr>
        <w:ind w:left="1000" w:hanging="344"/>
        <w:spacing w:after="0"/>
        <w:tabs>
          <w:tab w:leader="none" w:pos="100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Agreement to Guarantee. The Guaranteeing Subsidiary hereby agrees as follows: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69" w:val="left"/>
        </w:tabs>
        <w:numPr>
          <w:ilvl w:val="1"/>
          <w:numId w:val="164"/>
        </w:numPr>
        <w:rPr>
          <w:rFonts w:ascii="Arial" w:cs="Arial" w:eastAsia="Arial" w:hAnsi="Arial"/>
          <w:sz w:val="22"/>
          <w:szCs w:val="22"/>
          <w:color w:val="auto"/>
        </w:rPr>
      </w:pPr>
      <w:r>
        <w:rPr>
          <w:rFonts w:ascii="Arial" w:cs="Arial" w:eastAsia="Arial" w:hAnsi="Arial"/>
          <w:sz w:val="22"/>
          <w:szCs w:val="22"/>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177" w:lineRule="exact"/>
        <w:rPr>
          <w:rFonts w:ascii="Arial" w:cs="Arial" w:eastAsia="Arial" w:hAnsi="Arial"/>
          <w:sz w:val="22"/>
          <w:szCs w:val="22"/>
          <w:color w:val="auto"/>
        </w:rPr>
      </w:pPr>
    </w:p>
    <w:p>
      <w:pPr>
        <w:jc w:val="both"/>
        <w:ind w:left="1300" w:firstLine="653"/>
        <w:spacing w:after="0" w:line="307" w:lineRule="auto"/>
        <w:tabs>
          <w:tab w:leader="none" w:pos="2413" w:val="left"/>
        </w:tabs>
        <w:numPr>
          <w:ilvl w:val="2"/>
          <w:numId w:val="164"/>
        </w:numPr>
        <w:rPr>
          <w:rFonts w:ascii="Arial" w:cs="Arial" w:eastAsia="Arial" w:hAnsi="Arial"/>
          <w:sz w:val="19"/>
          <w:szCs w:val="19"/>
          <w:color w:val="auto"/>
        </w:rPr>
      </w:pPr>
      <w:r>
        <w:rPr>
          <w:rFonts w:ascii="Arial" w:cs="Arial" w:eastAsia="Arial" w:hAnsi="Arial"/>
          <w:sz w:val="19"/>
          <w:szCs w:val="19"/>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ectPr>
          <w:pgSz w:w="11900" w:h="16838" w:orient="portrait"/>
          <w:cols w:equalWidth="0" w:num="1">
            <w:col w:w="11420"/>
          </w:cols>
          <w:pgMar w:left="240" w:top="126" w:right="239" w:bottom="1440" w:gutter="0" w:footer="0" w:header="0"/>
        </w:sectPr>
      </w:pPr>
    </w:p>
    <w:bookmarkStart w:id="135" w:name="page136"/>
    <w:bookmarkEnd w:id="135"/>
    <w:p>
      <w:pPr>
        <w:jc w:val="both"/>
        <w:ind w:left="1300" w:firstLine="653"/>
        <w:spacing w:after="0" w:line="260" w:lineRule="auto"/>
        <w:tabs>
          <w:tab w:leader="none" w:pos="243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175" w:lineRule="exact"/>
        <w:rPr>
          <w:sz w:val="20"/>
          <w:szCs w:val="20"/>
          <w:color w:val="auto"/>
        </w:rPr>
      </w:pPr>
    </w:p>
    <w:p>
      <w:pPr>
        <w:jc w:val="both"/>
        <w:ind w:left="660" w:firstLine="645"/>
        <w:spacing w:after="0" w:line="307" w:lineRule="auto"/>
        <w:tabs>
          <w:tab w:leader="none" w:pos="175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138" w:lineRule="exact"/>
        <w:rPr>
          <w:rFonts w:ascii="Arial" w:cs="Arial" w:eastAsia="Arial" w:hAnsi="Arial"/>
          <w:sz w:val="19"/>
          <w:szCs w:val="19"/>
          <w:color w:val="auto"/>
        </w:rPr>
      </w:pPr>
    </w:p>
    <w:p>
      <w:pPr>
        <w:jc w:val="both"/>
        <w:ind w:left="660" w:firstLine="645"/>
        <w:spacing w:after="0" w:line="250" w:lineRule="auto"/>
        <w:tabs>
          <w:tab w:leader="none" w:pos="178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188" w:lineRule="exact"/>
        <w:rPr>
          <w:rFonts w:ascii="Arial" w:cs="Arial" w:eastAsia="Arial" w:hAnsi="Arial"/>
          <w:sz w:val="22"/>
          <w:szCs w:val="22"/>
          <w:color w:val="auto"/>
        </w:rPr>
      </w:pPr>
    </w:p>
    <w:p>
      <w:pPr>
        <w:ind w:left="660" w:firstLine="645"/>
        <w:spacing w:after="0" w:line="358" w:lineRule="auto"/>
        <w:tabs>
          <w:tab w:leader="none" w:pos="179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90" w:lineRule="exact"/>
        <w:rPr>
          <w:rFonts w:ascii="Arial" w:cs="Arial" w:eastAsia="Arial" w:hAnsi="Arial"/>
          <w:sz w:val="19"/>
          <w:szCs w:val="19"/>
          <w:color w:val="auto"/>
        </w:rPr>
      </w:pPr>
    </w:p>
    <w:p>
      <w:pPr>
        <w:jc w:val="both"/>
        <w:ind w:left="660" w:right="20" w:firstLine="645"/>
        <w:spacing w:after="0" w:line="254" w:lineRule="auto"/>
        <w:tabs>
          <w:tab w:leader="none" w:pos="172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185" w:lineRule="exact"/>
        <w:rPr>
          <w:rFonts w:ascii="Arial" w:cs="Arial" w:eastAsia="Arial" w:hAnsi="Arial"/>
          <w:sz w:val="22"/>
          <w:szCs w:val="22"/>
          <w:color w:val="auto"/>
        </w:rPr>
      </w:pPr>
    </w:p>
    <w:p>
      <w:pPr>
        <w:ind w:left="660" w:firstLine="645"/>
        <w:spacing w:after="0" w:line="301" w:lineRule="auto"/>
        <w:tabs>
          <w:tab w:leader="none" w:pos="182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Guaranteeing Subsidiary shall not be entitled to any right of subrogation in relation to the Holders in respect of any obligations guaranteed hereby until payment in full of all obligations guaranteed hereby.</w:t>
      </w:r>
    </w:p>
    <w:p>
      <w:pPr>
        <w:spacing w:after="0" w:line="137" w:lineRule="exact"/>
        <w:rPr>
          <w:rFonts w:ascii="Arial" w:cs="Arial" w:eastAsia="Arial" w:hAnsi="Arial"/>
          <w:sz w:val="21"/>
          <w:szCs w:val="21"/>
          <w:color w:val="auto"/>
        </w:rPr>
      </w:pPr>
    </w:p>
    <w:p>
      <w:pPr>
        <w:jc w:val="both"/>
        <w:ind w:left="660" w:firstLine="645"/>
        <w:spacing w:after="0" w:line="251" w:lineRule="auto"/>
        <w:tabs>
          <w:tab w:leader="none" w:pos="186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420"/>
          </w:cols>
          <w:pgMar w:left="240" w:top="631" w:right="239" w:bottom="1440" w:gutter="0" w:footer="0" w:header="0"/>
        </w:sectPr>
      </w:pPr>
    </w:p>
    <w:bookmarkStart w:id="136" w:name="page137"/>
    <w:bookmarkEnd w:id="136"/>
    <w:p>
      <w:pPr>
        <w:ind w:left="660"/>
        <w:spacing w:after="0" w:line="263" w:lineRule="auto"/>
        <w:rPr>
          <w:sz w:val="20"/>
          <w:szCs w:val="20"/>
          <w:color w:val="auto"/>
        </w:rPr>
      </w:pPr>
      <w:r>
        <w:rPr>
          <w:rFonts w:ascii="Arial" w:cs="Arial" w:eastAsia="Arial" w:hAnsi="Arial"/>
          <w:sz w:val="22"/>
          <w:szCs w:val="22"/>
          <w:color w:val="auto"/>
        </w:rPr>
        <w:t>(whether or not due and payable) shall forthwith become due and payable by the Guarantors for the purpose of this Note Guarantee.</w:t>
      </w:r>
    </w:p>
    <w:p>
      <w:pPr>
        <w:spacing w:after="0" w:line="175" w:lineRule="exact"/>
        <w:rPr>
          <w:sz w:val="20"/>
          <w:szCs w:val="20"/>
          <w:color w:val="auto"/>
        </w:rPr>
      </w:pPr>
    </w:p>
    <w:p>
      <w:pPr>
        <w:ind w:left="660" w:right="20" w:firstLine="645"/>
        <w:spacing w:after="0" w:line="276" w:lineRule="auto"/>
        <w:tabs>
          <w:tab w:leader="none" w:pos="174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160" w:lineRule="exact"/>
        <w:rPr>
          <w:rFonts w:ascii="Arial" w:cs="Arial" w:eastAsia="Arial" w:hAnsi="Arial"/>
          <w:sz w:val="22"/>
          <w:szCs w:val="22"/>
          <w:color w:val="auto"/>
        </w:rPr>
      </w:pPr>
    </w:p>
    <w:p>
      <w:pPr>
        <w:jc w:val="both"/>
        <w:ind w:left="660" w:firstLine="645"/>
        <w:spacing w:after="0" w:line="264" w:lineRule="auto"/>
        <w:tabs>
          <w:tab w:leader="none" w:pos="1706" w:val="left"/>
        </w:tabs>
        <w:numPr>
          <w:ilvl w:val="1"/>
          <w:numId w:val="167"/>
        </w:numPr>
        <w:rPr>
          <w:rFonts w:ascii="Arial" w:cs="Arial" w:eastAsia="Arial" w:hAnsi="Arial"/>
          <w:sz w:val="21"/>
          <w:szCs w:val="21"/>
          <w:color w:val="auto"/>
        </w:rPr>
      </w:pPr>
      <w:r>
        <w:rPr>
          <w:rFonts w:ascii="Arial" w:cs="Arial" w:eastAsia="Arial" w:hAnsi="Arial"/>
          <w:sz w:val="21"/>
          <w:szCs w:val="21"/>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75" w:lineRule="exact"/>
        <w:rPr>
          <w:rFonts w:ascii="Arial" w:cs="Arial" w:eastAsia="Arial" w:hAnsi="Arial"/>
          <w:sz w:val="21"/>
          <w:szCs w:val="21"/>
          <w:color w:val="auto"/>
        </w:rPr>
      </w:pPr>
    </w:p>
    <w:p>
      <w:pPr>
        <w:ind w:firstLine="656"/>
        <w:spacing w:after="0" w:line="276" w:lineRule="auto"/>
        <w:tabs>
          <w:tab w:leader="none" w:pos="104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Execution and Delivery. Each Guaranteeing Subsidiary agrees that the Note Guarantees shall remain in full force and effect notwithstanding any failure to endorse on each Note a notation of such Note Guarantee.</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Guaranteeing Subsidiary may Consolidate, etc. on Certain Terms.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5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177" w:lineRule="exact"/>
        <w:rPr>
          <w:rFonts w:ascii="Arial" w:cs="Arial" w:eastAsia="Arial" w:hAnsi="Arial"/>
          <w:sz w:val="22"/>
          <w:szCs w:val="22"/>
          <w:color w:val="auto"/>
        </w:rPr>
      </w:pPr>
    </w:p>
    <w:p>
      <w:pPr>
        <w:ind w:left="660" w:firstLine="645"/>
        <w:spacing w:after="0" w:line="301" w:lineRule="auto"/>
        <w:tabs>
          <w:tab w:leader="none" w:pos="1767" w:val="left"/>
        </w:tabs>
        <w:numPr>
          <w:ilvl w:val="1"/>
          <w:numId w:val="168"/>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4 or the provisions of Section 11.04 of the Indenture, each Guarantor is permitted to reorganize as a corporation pursuant to a Permitted C-Corp. Conversion.</w:t>
      </w:r>
    </w:p>
    <w:p>
      <w:pPr>
        <w:spacing w:after="0" w:line="137" w:lineRule="exact"/>
        <w:rPr>
          <w:rFonts w:ascii="Arial" w:cs="Arial" w:eastAsia="Arial" w:hAnsi="Arial"/>
          <w:sz w:val="21"/>
          <w:szCs w:val="21"/>
          <w:color w:val="auto"/>
        </w:rPr>
      </w:pPr>
    </w:p>
    <w:p>
      <w:pPr>
        <w:ind w:left="1000" w:hanging="344"/>
        <w:spacing w:after="0"/>
        <w:tabs>
          <w:tab w:leader="none" w:pos="10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Releases.</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compliance with the provisions described in Section 4 above and under Article 11 of the Indenture, the Note Guarantee of a Guaranteeing Subsidiary will be released on the terms set forth in the Indenture.</w:t>
      </w:r>
    </w:p>
    <w:p>
      <w:pPr>
        <w:spacing w:after="0" w:line="175" w:lineRule="exact"/>
        <w:rPr>
          <w:sz w:val="20"/>
          <w:szCs w:val="20"/>
          <w:color w:val="auto"/>
        </w:rPr>
      </w:pPr>
    </w:p>
    <w:p>
      <w:pPr>
        <w:jc w:val="both"/>
        <w:ind w:firstLine="656"/>
        <w:spacing w:after="0" w:line="300" w:lineRule="auto"/>
        <w:tabs>
          <w:tab w:leader="none" w:pos="111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No Recourse Against Others. No past, present or future director, officer, employee, incorporator, organizer, equity holder or member of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0" w:firstLine="656"/>
        <w:spacing w:after="0" w:line="276" w:lineRule="auto"/>
        <w:tabs>
          <w:tab w:leader="none" w:pos="113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NEW YORK LAW TO GOVERN. THIS SUPPLEMENTAL INDENTURE SHALL BE GOVERNED BY AND CONSTRUED IN ACCORDANCE WITH THE LAWS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1420"/>
          </w:cols>
          <w:pgMar w:left="240" w:top="631" w:right="239" w:bottom="1440" w:gutter="0" w:footer="0" w:header="0"/>
        </w:sectPr>
      </w:pPr>
    </w:p>
    <w:bookmarkStart w:id="137" w:name="page138"/>
    <w:bookmarkEnd w:id="137"/>
    <w:p>
      <w:pPr>
        <w:spacing w:after="0" w:line="263" w:lineRule="auto"/>
        <w:rPr>
          <w:sz w:val="20"/>
          <w:szCs w:val="20"/>
          <w:color w:val="auto"/>
        </w:rPr>
      </w:pPr>
      <w:r>
        <w:rPr>
          <w:rFonts w:ascii="Arial" w:cs="Arial" w:eastAsia="Arial" w:hAnsi="Arial"/>
          <w:sz w:val="22"/>
          <w:szCs w:val="22"/>
          <w:color w:val="auto"/>
        </w:rPr>
        <w:t>STATE OF NEW YORK, INCLUDING, WITHOUT LIMITATION, SECTION 4-1401 OF THE NEW YORK OBLIGATIONS LAW.</w:t>
      </w:r>
    </w:p>
    <w:p>
      <w:pPr>
        <w:spacing w:after="0" w:line="175" w:lineRule="exact"/>
        <w:rPr>
          <w:sz w:val="20"/>
          <w:szCs w:val="20"/>
          <w:color w:val="auto"/>
        </w:rPr>
      </w:pPr>
    </w:p>
    <w:p>
      <w:pPr>
        <w:jc w:val="both"/>
        <w:ind w:right="20" w:firstLine="656"/>
        <w:spacing w:after="0" w:line="260" w:lineRule="auto"/>
        <w:tabs>
          <w:tab w:leader="none" w:pos="112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77" w:lineRule="exact"/>
        <w:rPr>
          <w:rFonts w:ascii="Arial" w:cs="Arial" w:eastAsia="Arial" w:hAnsi="Arial"/>
          <w:sz w:val="22"/>
          <w:szCs w:val="22"/>
          <w:color w:val="auto"/>
        </w:rPr>
      </w:pPr>
    </w:p>
    <w:p>
      <w:pPr>
        <w:ind w:firstLine="656"/>
        <w:spacing w:after="0" w:line="276" w:lineRule="auto"/>
        <w:tabs>
          <w:tab w:leader="none" w:pos="100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 hereof.</w:t>
      </w:r>
    </w:p>
    <w:p>
      <w:pPr>
        <w:spacing w:after="0" w:line="267" w:lineRule="exact"/>
        <w:rPr>
          <w:rFonts w:ascii="Arial" w:cs="Arial" w:eastAsia="Arial" w:hAnsi="Arial"/>
          <w:sz w:val="19"/>
          <w:szCs w:val="19"/>
          <w:color w:val="auto"/>
        </w:rPr>
      </w:pPr>
    </w:p>
    <w:p>
      <w:pPr>
        <w:jc w:val="both"/>
        <w:ind w:firstLine="656"/>
        <w:spacing w:after="0" w:line="260" w:lineRule="auto"/>
        <w:tabs>
          <w:tab w:leader="none" w:pos="122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1420"/>
          </w:cols>
          <w:pgMar w:left="240" w:top="631" w:right="239" w:bottom="1440" w:gutter="0" w:footer="0" w:header="0"/>
        </w:sectPr>
      </w:pPr>
    </w:p>
    <w:bookmarkStart w:id="138" w:name="page139"/>
    <w:bookmarkEnd w:id="138"/>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Dated: _______________, 20___</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[Guaranteeing Subsidiary]</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Issuers: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WYNN LAS VEGAS,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a Nevada limited liability company,</w:t>
      </w:r>
    </w:p>
    <w:p>
      <w:pPr>
        <w:ind w:left="43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Nevada corporation,</w:t>
      </w:r>
    </w:p>
    <w:p>
      <w:pPr>
        <w:ind w:left="4540"/>
        <w:spacing w:after="0"/>
        <w:rPr>
          <w:sz w:val="20"/>
          <w:szCs w:val="20"/>
          <w:color w:val="auto"/>
        </w:rPr>
      </w:pPr>
      <w:r>
        <w:rPr>
          <w:rFonts w:ascii="Arial" w:cs="Arial" w:eastAsia="Arial" w:hAnsi="Arial"/>
          <w:sz w:val="20"/>
          <w:szCs w:val="20"/>
          <w:color w:val="auto"/>
        </w:rPr>
        <w:t>its sole member</w:t>
      </w:r>
    </w:p>
    <w:p>
      <w:pPr>
        <w:ind w:left="4700"/>
        <w:spacing w:after="0"/>
        <w:rPr>
          <w:sz w:val="20"/>
          <w:szCs w:val="20"/>
          <w:color w:val="auto"/>
        </w:rPr>
      </w:pPr>
      <w:r>
        <w:rPr>
          <w:rFonts w:ascii="Arial" w:cs="Arial" w:eastAsia="Arial" w:hAnsi="Arial"/>
          <w:sz w:val="20"/>
          <w:szCs w:val="20"/>
          <w:color w:val="auto"/>
        </w:rPr>
        <w:t>________________________</w:t>
      </w:r>
    </w:p>
    <w:p>
      <w:pPr>
        <w:ind w:left="4700"/>
        <w:spacing w:after="0"/>
        <w:tabs>
          <w:tab w:leader="none" w:pos="54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Stephen Cootey</w:t>
      </w:r>
    </w:p>
    <w:p>
      <w:pPr>
        <w:ind w:left="4700"/>
        <w:spacing w:after="0"/>
        <w:rPr>
          <w:sz w:val="20"/>
          <w:szCs w:val="20"/>
          <w:color w:val="auto"/>
        </w:rPr>
      </w:pPr>
      <w:r>
        <w:rPr>
          <w:rFonts w:ascii="Arial" w:cs="Arial" w:eastAsia="Arial" w:hAnsi="Arial"/>
          <w:sz w:val="20"/>
          <w:szCs w:val="20"/>
          <w:color w:val="auto"/>
        </w:rPr>
        <w:t>Title: Chief Financial Officer, Senior Vice President and Treasurer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WYNN LAS VEGAS CAPITAL CORP.</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Nevada corporation,</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Stephen Cootey</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20"/>
          <w:szCs w:val="20"/>
          <w:color w:val="auto"/>
        </w:rPr>
        <w:t>Senior Vice President and Treasurer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[Existing Guarantors]</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Trustee</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6"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Authorized Signatory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11420"/>
          </w:cols>
          <w:pgMar w:left="240" w:top="622"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COLLATERAL DOCUMENTS</w:t>
      </w:r>
    </w:p>
    <w:p>
      <w:pPr>
        <w:spacing w:after="0" w:line="226"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Intercreditor Agreement;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Pledge Agreement; and</w:t>
      </w:r>
    </w:p>
    <w:p>
      <w:pPr>
        <w:spacing w:after="0" w:line="219"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UCC Financing Statement of Wynn Resorts Holdings, LLC in favor of Deutsche Bank Trust Company Americas, as collateral agent</w:t>
      </w:r>
    </w:p>
    <w:p>
      <w:pPr>
        <w:spacing w:after="0" w:line="174"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Capitalized terms not defined herein shall have the meanings assigned to such terms in the Indenture to which this Exhibit G is attached or the Collateral Documents, as applicable.</w:t>
      </w:r>
    </w:p>
    <w:p>
      <w:pPr>
        <w:sectPr>
          <w:pgSz w:w="11900" w:h="16838" w:orient="portrait"/>
          <w:cols w:equalWidth="0" w:num="1">
            <w:col w:w="11420"/>
          </w:cols>
          <w:pgMar w:left="240" w:top="126" w:right="239" w:bottom="1440" w:gutter="0" w:footer="0" w:header="0"/>
        </w:sectPr>
      </w:pPr>
    </w:p>
    <w:bookmarkStart w:id="140" w:name="page141"/>
    <w:bookmarkEnd w:id="140"/>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Resorts Announces Initial Settlement of Tender Offer and Completion of Private Offering of Wynn Las Vegas 5.50% Senior Notes due 2025</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LAS VEGAS, February 18, 2015 (BUSINESS WIRE) - Wynn Resorts, Limited (NASDAQ: WYNN) announced today the initial settlement of the previously announced cash tender offer (the “Tender Offer”) by Wynn Las Vegas, LLC, an indirect wholly owned subsidiary of Wynn Resorts, Limited, for any and all of the 7¾% First Mortgage Notes due 2020 (the “7¾% Notes”) and 7⅞% First Mortgage Notes due 2020 (the “7⅞% Notes” and, together with the 7¾% Notes, the “2020 Notes”) issued by Wynn Las Vegas, LLC and Wynn Las Vegas Capital Corp. (the “issuers”). The Tender Offer expired at 5:00 P.M., New York City time, on February 17, 2015 (the “Expiration Time”). At the Expiration Time, valid tenders had been received with respect to approximately $1,146.501 million of the $1,226.6 million aggregate principal amount of 7¾% Notes outstanding and approximately $305.866 million of the $377.01 million aggregate principal amount of the 7⅞% Notes outstanding (which excludes 7¾% Notes and 7⅞% Notes subject to the guaranteed delivery procedures, respectively).</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Wynn Las Vegas, LLC has accepted for payment all 2020 Notes validly tendered prior to the Expiration Date. On February 18, 2015, such tendering holders received the tender offer consideration in the amount of $1,073.82 for each $1,000 principal amount of 7¾% Notes tendered and $1,054.21 for each $1,000 principal amount of 7⅞% Notes tendered, plus accrued and unpaid interest from the last interest payment date to, but excluding, the date hereof (the “settlement date”). With respect to 2020 Notes accepted for purchase that were tendered and are subsequently delivered in accordance with the guaranteed delivery procedures, such tendering holders will receive payment of the tender offer consideration for such accepted 2020 Notes (to the extent that such 2020 Notes were not delivered prior to the Expiration Time) on February 20, 2015, plus accrued and unpaid interest from the last interest payment date to, but excluding, the settlement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D.F. King &amp; Co., Inc. acted as the information agent and tender agent.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February 18, 2015, the issuers also completed their previously announced offering of $1.8 billion aggregate principal amount of 5.50% Senior Notes due 2025 (the “2025 Notes”). Wynn Las Vegas, LLC used a portion of the net proceeds of the 2025 Notes offering to purchase the 2020 Notes tendered and accepted for purchase in the Tender Offer. Wynn Las Vegas, LLC intends to satisfy and discharge the Indentures governing each of the 7¾% Notes and 7⅞% Notes and use the remaining net proceeds from the 2025 Notes offering to redeem the 7¾% Notes and 7⅞% Notes not tendered and for general corporate purposes.</w:t>
      </w:r>
    </w:p>
    <w:p>
      <w:pPr>
        <w:spacing w:after="0" w:line="18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This press release shall not constitute an offer to purchase or the solicitation of an offer to sell the 2020 Notes. The Tender Offer was conducted in accordance with the terms of and subject to the conditions specified in the Offer to Purchase, dated February 10, 2015, as supplemented by Supplement No. 1 to Offer to Purchase, dated February 10, 2015, and the related Letter of Transmittal, which more fully set forth the terms and conditions of the Tender Offer.</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2025 Notes have not been and will not be registered under the Securities Act of 1933, as amended (the “Securities Act”), or under any state securities laws. Therefore, the issuers may not offer or sell the 2025 Notes within the United States to, or for the account or benefit of, any United States person unless the offer or sale would qualify for a registration exemption from the Securities Act and applicable state securities laws. This press release does not constitute an offer to sell or a solicitation of an offer to buy the 2025 Notes described in this press release, nor shall there be any sale of the 2025 Notes in any state or jurisdiction in which such an offer, sale or solicitation would be unlawful prior to registration or qualification under the securities laws of any such jurisdiction.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This release contains forward-looking statements, including those related to the Tender Offer and the offering of 2025 Notes.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2013 and Quarterly Reports on Form 10-Q for the fiscal quarters ended March 31, 2014, June 30, 2014 and September 30, 2014 and Wynn Resorts, Limited’s periodic reports filed with the Securities and Exchange Commission. Neither Wynn Resorts, Limited</w:t>
      </w:r>
    </w:p>
    <w:p>
      <w:pPr>
        <w:sectPr>
          <w:pgSz w:w="11900" w:h="16838" w:orient="portrait"/>
          <w:cols w:equalWidth="0" w:num="1">
            <w:col w:w="11420"/>
          </w:cols>
          <w:pgMar w:left="240" w:top="580" w:right="239" w:bottom="1440" w:gutter="0" w:footer="0" w:header="0"/>
        </w:sectPr>
      </w:pPr>
    </w:p>
    <w:bookmarkStart w:id="141" w:name="page142"/>
    <w:bookmarkEnd w:id="141"/>
    <w:p>
      <w:pPr>
        <w:spacing w:after="0" w:line="277" w:lineRule="auto"/>
        <w:rPr>
          <w:sz w:val="20"/>
          <w:szCs w:val="20"/>
          <w:color w:val="auto"/>
        </w:rPr>
      </w:pPr>
      <w:r>
        <w:rPr>
          <w:rFonts w:ascii="Arial" w:cs="Arial" w:eastAsia="Arial" w:hAnsi="Arial"/>
          <w:sz w:val="18"/>
          <w:szCs w:val="18"/>
          <w:color w:val="auto"/>
        </w:rPr>
        <w:t>nor the issuers are under any obligation to (and expressly disclaim any such obligation to) update their forward-looking statements as a result of new information, future events or otherwise,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Cootey, Chief Financial Officer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0720"/>
      </w:cols>
      <w:pgMar w:left="240" w:top="584"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1)"/>
      <w:numFmt w:val="decimal"/>
      <w:start w:val="1"/>
    </w:lvl>
  </w:abstractNum>
  <w:abstractNum w:abstractNumId="2">
    <w:nsid w:val="76272110"/>
    <w:multiLevelType w:val="hybridMultilevel"/>
    <w:lvl w:ilvl="0">
      <w:lvlJc w:val="left"/>
      <w:lvlText w:val="(%1)"/>
      <w:numFmt w:val="decimal"/>
      <w:start w:val="1"/>
    </w:lvl>
  </w:abstractNum>
  <w:abstractNum w:abstractNumId="3">
    <w:nsid w:val="4C04A8AF"/>
    <w:multiLevelType w:val="hybridMultilevel"/>
    <w:lvl w:ilvl="0">
      <w:lvlJc w:val="left"/>
      <w:lvlText w:val="(%1)"/>
      <w:numFmt w:val="decimal"/>
      <w:start w:val="3"/>
    </w:lvl>
  </w:abstractNum>
  <w:abstractNum w:abstractNumId="4">
    <w:nsid w:val="1716703B"/>
    <w:multiLevelType w:val="hybridMultilevel"/>
    <w:lvl w:ilvl="0">
      <w:lvlJc w:val="left"/>
      <w:lvlText w:val="(%1)"/>
      <w:numFmt w:val="decimal"/>
      <w:start w:val="1"/>
    </w:lvl>
  </w:abstractNum>
  <w:abstractNum w:abstractNumId="5">
    <w:nsid w:val="14E17E33"/>
    <w:multiLevelType w:val="hybridMultilevel"/>
    <w:lvl w:ilvl="0">
      <w:lvlJc w:val="left"/>
      <w:lvlText w:val="(%1)"/>
      <w:numFmt w:val="decimal"/>
      <w:start w:val="1"/>
    </w:lvl>
  </w:abstractNum>
  <w:abstractNum w:abstractNumId="6">
    <w:nsid w:val="3222E7CD"/>
    <w:multiLevelType w:val="hybridMultilevel"/>
    <w:lvl w:ilvl="0">
      <w:lvlJc w:val="left"/>
      <w:lvlText w:val="(%1)"/>
      <w:numFmt w:val="decimal"/>
      <w:start w:val="2"/>
    </w:lvl>
  </w:abstractNum>
  <w:abstractNum w:abstractNumId="7">
    <w:nsid w:val="74DE0EE3"/>
    <w:multiLevelType w:val="hybridMultilevel"/>
    <w:lvl w:ilvl="0">
      <w:lvlJc w:val="left"/>
      <w:lvlText w:val="(%1)"/>
      <w:numFmt w:val="decimal"/>
      <w:start w:val="1"/>
    </w:lvl>
  </w:abstractNum>
  <w:abstractNum w:abstractNumId="8">
    <w:nsid w:val="68EBC550"/>
    <w:multiLevelType w:val="hybridMultilevel"/>
    <w:lvl w:ilvl="0">
      <w:lvlJc w:val="left"/>
      <w:lvlText w:val="(%1)"/>
      <w:numFmt w:val="decimal"/>
      <w:start w:val="1"/>
    </w:lvl>
  </w:abstractNum>
  <w:abstractNum w:abstractNumId="9">
    <w:nsid w:val="2DF6D648"/>
    <w:multiLevelType w:val="hybridMultilevel"/>
    <w:lvl w:ilvl="0">
      <w:lvlJc w:val="left"/>
      <w:lvlText w:val="(%1)"/>
      <w:numFmt w:val="decimal"/>
      <w:start w:val="1"/>
    </w:lvl>
  </w:abstractNum>
  <w:abstractNum w:abstractNumId="10">
    <w:nsid w:val="46B7D447"/>
    <w:multiLevelType w:val="hybridMultilevel"/>
    <w:lvl w:ilvl="0">
      <w:lvlJc w:val="left"/>
      <w:lvlText w:val="(%1)"/>
      <w:numFmt w:val="decimal"/>
      <w:start w:val="2"/>
    </w:lvl>
  </w:abstractNum>
  <w:abstractNum w:abstractNumId="11">
    <w:nsid w:val="4A2AC315"/>
    <w:multiLevelType w:val="hybridMultilevel"/>
    <w:lvl w:ilvl="0">
      <w:lvlJc w:val="left"/>
      <w:lvlText w:val="(%1)"/>
      <w:numFmt w:val="decimal"/>
      <w:start w:val="1"/>
    </w:lvl>
  </w:abstractNum>
  <w:abstractNum w:abstractNumId="12">
    <w:nsid w:val="39EE015C"/>
    <w:multiLevelType w:val="hybridMultilevel"/>
    <w:lvl w:ilvl="0">
      <w:lvlJc w:val="left"/>
      <w:lvlText w:val="(%1)"/>
      <w:numFmt w:val="decimal"/>
      <w:start w:val="1"/>
    </w:lvl>
  </w:abstractNum>
  <w:abstractNum w:abstractNumId="13">
    <w:nsid w:val="57FC4FBB"/>
    <w:multiLevelType w:val="hybridMultilevel"/>
    <w:lvl w:ilvl="0">
      <w:lvlJc w:val="left"/>
      <w:lvlText w:val="(%1)"/>
      <w:numFmt w:val="decimal"/>
      <w:start w:val="1"/>
    </w:lvl>
  </w:abstractNum>
  <w:abstractNum w:abstractNumId="14">
    <w:nsid w:val="CC1016F"/>
    <w:multiLevelType w:val="hybridMultilevel"/>
    <w:lvl w:ilvl="0">
      <w:lvlJc w:val="left"/>
      <w:lvlText w:val="(%1)"/>
      <w:numFmt w:val="decimal"/>
      <w:start w:val="1"/>
    </w:lvl>
  </w:abstractNum>
  <w:abstractNum w:abstractNumId="15">
    <w:nsid w:val="43F18422"/>
    <w:multiLevelType w:val="hybridMultilevel"/>
    <w:lvl w:ilvl="0">
      <w:lvlJc w:val="left"/>
      <w:lvlText w:val="(%1)"/>
      <w:numFmt w:val="decimal"/>
      <w:start w:val="1"/>
    </w:lvl>
  </w:abstractNum>
  <w:abstractNum w:abstractNumId="16">
    <w:nsid w:val="60EF0119"/>
    <w:multiLevelType w:val="hybridMultilevel"/>
    <w:lvl w:ilvl="0">
      <w:lvlJc w:val="left"/>
      <w:lvlText w:val="(%1)"/>
      <w:numFmt w:val="decimal"/>
      <w:start w:val="1"/>
    </w:lvl>
  </w:abstractNum>
  <w:abstractNum w:abstractNumId="17">
    <w:nsid w:val="26F324BA"/>
    <w:multiLevelType w:val="hybridMultilevel"/>
    <w:lvl w:ilvl="0">
      <w:lvlJc w:val="left"/>
      <w:lvlText w:val="%1"/>
      <w:numFmt w:val="lowerLetter"/>
      <w:start w:val="1"/>
    </w:lvl>
    <w:lvl w:ilvl="1">
      <w:lvlJc w:val="left"/>
      <w:lvlText w:val="(%2)"/>
      <w:numFmt w:val="decimal"/>
      <w:start w:val="1"/>
    </w:lvl>
  </w:abstractNum>
  <w:abstractNum w:abstractNumId="18">
    <w:nsid w:val="7F01579B"/>
    <w:multiLevelType w:val="hybridMultilevel"/>
    <w:lvl w:ilvl="0">
      <w:lvlJc w:val="left"/>
      <w:lvlText w:val="(%1)"/>
      <w:numFmt w:val="lowerLetter"/>
      <w:start w:val="2"/>
    </w:lvl>
    <w:lvl w:ilvl="1">
      <w:lvlJc w:val="left"/>
      <w:lvlText w:val="(%2)"/>
      <w:numFmt w:val="decimal"/>
      <w:start w:val="3"/>
    </w:lvl>
  </w:abstractNum>
  <w:abstractNum w:abstractNumId="19">
    <w:nsid w:val="49DA307D"/>
    <w:multiLevelType w:val="hybridMultilevel"/>
    <w:lvl w:ilvl="0">
      <w:lvlJc w:val="left"/>
      <w:lvlText w:val="(%1)"/>
      <w:numFmt w:val="decimal"/>
      <w:start w:val="6"/>
    </w:lvl>
  </w:abstractNum>
  <w:abstractNum w:abstractNumId="20">
    <w:nsid w:val="7055A5F5"/>
    <w:multiLevelType w:val="hybridMultilevel"/>
    <w:lvl w:ilvl="0">
      <w:lvlJc w:val="left"/>
      <w:lvlText w:val="(%1)"/>
      <w:numFmt w:val="decimal"/>
      <w:start w:val="1"/>
    </w:lvl>
  </w:abstractNum>
  <w:abstractNum w:abstractNumId="21">
    <w:nsid w:val="5FB8370B"/>
    <w:multiLevelType w:val="hybridMultilevel"/>
    <w:lvl w:ilvl="0">
      <w:lvlJc w:val="left"/>
      <w:lvlText w:val="(%1)"/>
      <w:numFmt w:val="decimal"/>
      <w:start w:val="1"/>
    </w:lvl>
  </w:abstractNum>
  <w:abstractNum w:abstractNumId="22">
    <w:nsid w:val="50801EE1"/>
    <w:multiLevelType w:val="hybridMultilevel"/>
    <w:lvl w:ilvl="0">
      <w:lvlJc w:val="left"/>
      <w:lvlText w:val="(%1)"/>
      <w:numFmt w:val="decimal"/>
      <w:start w:val="1"/>
    </w:lvl>
  </w:abstractNum>
  <w:abstractNum w:abstractNumId="23">
    <w:nsid w:val="488AC1A"/>
    <w:multiLevelType w:val="hybridMultilevel"/>
    <w:lvl w:ilvl="0">
      <w:lvlJc w:val="left"/>
      <w:lvlText w:val="(%1)"/>
      <w:numFmt w:val="decimal"/>
      <w:start w:val="1"/>
    </w:lvl>
  </w:abstractNum>
  <w:abstractNum w:abstractNumId="24">
    <w:nsid w:val="5FB8011C"/>
    <w:multiLevelType w:val="hybridMultilevel"/>
    <w:lvl w:ilvl="0">
      <w:lvlJc w:val="left"/>
      <w:lvlText w:val="(%1)"/>
      <w:numFmt w:val="decimal"/>
      <w:start w:val="9"/>
    </w:lvl>
  </w:abstractNum>
  <w:abstractNum w:abstractNumId="25">
    <w:nsid w:val="6AA78F7F"/>
    <w:multiLevelType w:val="hybridMultilevel"/>
    <w:lvl w:ilvl="0">
      <w:lvlJc w:val="left"/>
      <w:lvlText w:val="(%1)"/>
      <w:numFmt w:val="lowerLetter"/>
      <w:start w:val="1"/>
    </w:lvl>
  </w:abstractNum>
  <w:abstractNum w:abstractNumId="26">
    <w:nsid w:val="7672BD23"/>
    <w:multiLevelType w:val="hybridMultilevel"/>
    <w:lvl w:ilvl="0">
      <w:lvlJc w:val="left"/>
      <w:lvlText w:val="(%1)"/>
      <w:numFmt w:val="lowerLetter"/>
      <w:start w:val="2"/>
    </w:lvl>
  </w:abstractNum>
  <w:abstractNum w:abstractNumId="27">
    <w:nsid w:val="6FC75AF8"/>
    <w:multiLevelType w:val="hybridMultilevel"/>
    <w:lvl w:ilvl="0">
      <w:lvlJc w:val="left"/>
      <w:lvlText w:val="(%1)"/>
      <w:numFmt w:val="decimal"/>
      <w:start w:val="1"/>
    </w:lvl>
  </w:abstractNum>
  <w:abstractNum w:abstractNumId="28">
    <w:nsid w:val="6A5F7029"/>
    <w:multiLevelType w:val="hybridMultilevel"/>
    <w:lvl w:ilvl="0">
      <w:lvlJc w:val="left"/>
      <w:lvlText w:val="(%1)"/>
      <w:numFmt w:val="lowerLetter"/>
      <w:start w:val="4"/>
    </w:lvl>
  </w:abstractNum>
  <w:abstractNum w:abstractNumId="29">
    <w:nsid w:val="7D5E18F8"/>
    <w:multiLevelType w:val="hybridMultilevel"/>
    <w:lvl w:ilvl="0">
      <w:lvlJc w:val="left"/>
      <w:lvlText w:val="(%1)"/>
      <w:numFmt w:val="lowerLetter"/>
      <w:start w:val="1"/>
    </w:lvl>
    <w:lvl w:ilvl="1">
      <w:lvlJc w:val="left"/>
      <w:lvlText w:val="(%2)"/>
      <w:numFmt w:val="decimal"/>
      <w:start w:val="1"/>
    </w:lvl>
  </w:abstractNum>
  <w:abstractNum w:abstractNumId="30">
    <w:nsid w:val="5F3534A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31">
    <w:nsid w:val="73A1821B"/>
    <w:multiLevelType w:val="hybridMultilevel"/>
    <w:lvl w:ilvl="0">
      <w:lvlJc w:val="left"/>
      <w:lvlText w:val="(%1)"/>
      <w:numFmt w:val="decimal"/>
      <w:start w:val="3"/>
    </w:lvl>
    <w:lvl w:ilvl="1">
      <w:lvlJc w:val="left"/>
      <w:lvlText w:val="(%2)"/>
      <w:numFmt w:val="upperLetter"/>
      <w:start w:val="1"/>
    </w:lvl>
  </w:abstractNum>
  <w:abstractNum w:abstractNumId="32">
    <w:nsid w:val="7DE6771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3">
    <w:nsid w:val="555C55B5"/>
    <w:multiLevelType w:val="hybridMultilevel"/>
    <w:lvl w:ilvl="0">
      <w:lvlJc w:val="left"/>
      <w:lvlText w:val="(%1)"/>
      <w:numFmt w:val="upperLetter"/>
      <w:start w:val="6"/>
    </w:lvl>
  </w:abstractNum>
  <w:abstractNum w:abstractNumId="34">
    <w:nsid w:val="3FA62ACA"/>
    <w:multiLevelType w:val="hybridMultilevel"/>
    <w:lvl w:ilvl="0">
      <w:lvlJc w:val="left"/>
      <w:lvlText w:val="(%1)"/>
      <w:numFmt w:val="decimal"/>
      <w:start w:val="2"/>
    </w:lvl>
    <w:lvl w:ilvl="1">
      <w:lvlJc w:val="left"/>
      <w:lvlText w:val="(%2)"/>
      <w:numFmt w:val="lowerRoman"/>
      <w:start w:val="1"/>
    </w:lvl>
  </w:abstractNum>
  <w:abstractNum w:abstractNumId="35">
    <w:nsid w:val="14FCE74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upperLetter"/>
      <w:start w:val="1"/>
    </w:lvl>
  </w:abstractNum>
  <w:abstractNum w:abstractNumId="36">
    <w:nsid w:val="6A3DD3E8"/>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37">
    <w:nsid w:val="71C9129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38">
    <w:nsid w:val="9DAF632"/>
    <w:multiLevelType w:val="hybridMultilevel"/>
    <w:lvl w:ilvl="0">
      <w:lvlJc w:val="left"/>
      <w:lvlText w:val="(%1)"/>
      <w:numFmt w:val="upperLetter"/>
      <w:start w:val="6"/>
    </w:lvl>
  </w:abstractNum>
  <w:abstractNum w:abstractNumId="39">
    <w:nsid w:val="53299938"/>
    <w:multiLevelType w:val="hybridMultilevel"/>
    <w:lvl w:ilvl="0">
      <w:lvlJc w:val="left"/>
      <w:lvlText w:val="(%1)"/>
      <w:numFmt w:val="decimal"/>
      <w:start w:val="2"/>
    </w:lvl>
    <w:lvl w:ilvl="1">
      <w:lvlJc w:val="left"/>
      <w:lvlText w:val="(%2)"/>
      <w:numFmt w:val="upperLetter"/>
      <w:start w:val="1"/>
    </w:lvl>
  </w:abstractNum>
  <w:abstractNum w:abstractNumId="40">
    <w:nsid w:val="1FBFE8E0"/>
    <w:multiLevelType w:val="hybridMultilevel"/>
    <w:lvl w:ilvl="0">
      <w:lvlJc w:val="left"/>
      <w:lvlText w:val="(%1)"/>
      <w:numFmt w:val="decimal"/>
      <w:start w:val="3"/>
    </w:lvl>
  </w:abstractNum>
  <w:abstractNum w:abstractNumId="41">
    <w:nsid w:val="5092CA79"/>
    <w:multiLevelType w:val="hybridMultilevel"/>
    <w:lvl w:ilvl="0">
      <w:lvlJc w:val="left"/>
      <w:lvlText w:val="(%1)"/>
      <w:numFmt w:val="decimal"/>
      <w:start w:val="2"/>
    </w:lvl>
  </w:abstractNum>
  <w:abstractNum w:abstractNumId="42">
    <w:nsid w:val="1D545C4D"/>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3">
    <w:nsid w:val="59ADEA3D"/>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4">
    <w:nsid w:val="288F1A34"/>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5">
    <w:nsid w:val="2A155DBC"/>
    <w:multiLevelType w:val="hybridMultilevel"/>
    <w:lvl w:ilvl="0">
      <w:lvlJc w:val="left"/>
      <w:lvlText w:val="%1"/>
      <w:numFmt w:val="decimal"/>
      <w:start w:val="1"/>
    </w:lvl>
    <w:lvl w:ilvl="1">
      <w:lvlJc w:val="left"/>
      <w:lvlText w:val="(%2)"/>
      <w:numFmt w:val="upperLetter"/>
      <w:start w:val="2"/>
    </w:lvl>
  </w:abstractNum>
  <w:abstractNum w:abstractNumId="46">
    <w:nsid w:val="1D9F6E5F"/>
    <w:multiLevelType w:val="hybridMultilevel"/>
    <w:lvl w:ilvl="0">
      <w:lvlJc w:val="left"/>
      <w:lvlText w:val="(%1)"/>
      <w:numFmt w:val="decimal"/>
      <w:start w:val="2"/>
    </w:lvl>
    <w:lvl w:ilvl="1">
      <w:lvlJc w:val="left"/>
      <w:lvlText w:val="%2"/>
      <w:numFmt w:val="upperLetter"/>
      <w:start w:val="1"/>
    </w:lvl>
  </w:abstractNum>
  <w:abstractNum w:abstractNumId="47">
    <w:nsid w:val="97E1B4E"/>
    <w:multiLevelType w:val="hybridMultilevel"/>
    <w:lvl w:ilvl="0">
      <w:lvlJc w:val="left"/>
      <w:lvlText w:val="(%1)"/>
      <w:numFmt w:val="decimal"/>
      <w:start w:val="3"/>
    </w:lvl>
  </w:abstractNum>
  <w:abstractNum w:abstractNumId="48">
    <w:nsid w:val="51088277"/>
    <w:multiLevelType w:val="hybridMultilevel"/>
    <w:lvl w:ilvl="0">
      <w:lvlJc w:val="left"/>
      <w:lvlText w:val="(%1)"/>
      <w:numFmt w:val="lowerLetter"/>
      <w:start w:val="7"/>
    </w:lvl>
    <w:lvl w:ilvl="1">
      <w:lvlJc w:val="left"/>
      <w:lvlText w:val="(%2)"/>
      <w:numFmt w:val="decimal"/>
      <w:start w:val="1"/>
    </w:lvl>
  </w:abstractNum>
  <w:abstractNum w:abstractNumId="49">
    <w:nsid w:val="1CA0C5FA"/>
    <w:multiLevelType w:val="hybridMultilevel"/>
    <w:lvl w:ilvl="0">
      <w:lvlJc w:val="left"/>
      <w:lvlText w:val="(%1)"/>
      <w:numFmt w:val="decimal"/>
      <w:start w:val="5"/>
    </w:lvl>
    <w:lvl w:ilvl="1">
      <w:lvlJc w:val="left"/>
      <w:lvlText w:val="(%2)"/>
      <w:numFmt w:val="upperLetter"/>
      <w:start w:val="1"/>
    </w:lvl>
  </w:abstractNum>
  <w:abstractNum w:abstractNumId="50">
    <w:nsid w:val="53584BCB"/>
    <w:multiLevelType w:val="hybridMultilevel"/>
    <w:lvl w:ilvl="0">
      <w:lvlJc w:val="left"/>
      <w:lvlText w:val="(%1)"/>
      <w:numFmt w:val="lowerLetter"/>
      <w:start w:val="1"/>
    </w:lvl>
  </w:abstractNum>
  <w:abstractNum w:abstractNumId="51">
    <w:nsid w:val="415E286C"/>
    <w:multiLevelType w:val="hybridMultilevel"/>
    <w:lvl w:ilvl="0">
      <w:lvlJc w:val="left"/>
      <w:lvlText w:val="(%1)"/>
      <w:numFmt w:val="lowerLetter"/>
      <w:start w:val="2"/>
    </w:lvl>
  </w:abstractNum>
  <w:abstractNum w:abstractNumId="52">
    <w:nsid w:val="7C58FD05"/>
    <w:multiLevelType w:val="hybridMultilevel"/>
    <w:lvl w:ilvl="0">
      <w:lvlJc w:val="left"/>
      <w:lvlText w:val="(%1)"/>
      <w:numFmt w:val="lowerLetter"/>
      <w:start w:val="1"/>
    </w:lvl>
  </w:abstractNum>
  <w:abstractNum w:abstractNumId="53">
    <w:nsid w:val="23D86AAC"/>
    <w:multiLevelType w:val="hybridMultilevel"/>
    <w:lvl w:ilvl="0">
      <w:lvlJc w:val="left"/>
      <w:lvlText w:val="(%1)"/>
      <w:numFmt w:val="lowerLetter"/>
      <w:start w:val="3"/>
    </w:lvl>
  </w:abstractNum>
  <w:abstractNum w:abstractNumId="54">
    <w:nsid w:val="45E6D486"/>
    <w:multiLevelType w:val="hybridMultilevel"/>
    <w:lvl w:ilvl="0">
      <w:lvlJc w:val="left"/>
      <w:lvlText w:val="(%1)"/>
      <w:numFmt w:val="lowerLetter"/>
      <w:start w:val="1"/>
    </w:lvl>
  </w:abstractNum>
  <w:abstractNum w:abstractNumId="55">
    <w:nsid w:val="5C10FE21"/>
    <w:multiLevelType w:val="hybridMultilevel"/>
    <w:lvl w:ilvl="0">
      <w:lvlJc w:val="left"/>
      <w:lvlText w:val="(%1)"/>
      <w:numFmt w:val="lowerLetter"/>
      <w:start w:val="1"/>
    </w:lvl>
  </w:abstractNum>
  <w:abstractNum w:abstractNumId="56">
    <w:nsid w:val="E7FFA2B"/>
    <w:multiLevelType w:val="hybridMultilevel"/>
    <w:lvl w:ilvl="0">
      <w:lvlJc w:val="left"/>
      <w:lvlText w:val="(%1)"/>
      <w:numFmt w:val="lowerLetter"/>
      <w:start w:val="4"/>
    </w:lvl>
  </w:abstractNum>
  <w:abstractNum w:abstractNumId="57">
    <w:nsid w:val="3C5991AA"/>
    <w:multiLevelType w:val="hybridMultilevel"/>
    <w:lvl w:ilvl="0">
      <w:lvlJc w:val="left"/>
      <w:lvlText w:val="(%1)"/>
      <w:numFmt w:val="lowerLetter"/>
      <w:start w:val="1"/>
    </w:lvl>
    <w:lvl w:ilvl="1">
      <w:lvlJc w:val="left"/>
      <w:lvlText w:val="(%2)"/>
      <w:numFmt w:val="decimal"/>
      <w:start w:val="1"/>
    </w:lvl>
  </w:abstractNum>
  <w:abstractNum w:abstractNumId="58">
    <w:nsid w:val="4BD8591A"/>
    <w:multiLevelType w:val="hybridMultilevel"/>
    <w:lvl w:ilvl="0">
      <w:lvlJc w:val="left"/>
      <w:lvlText w:val="(%1)"/>
      <w:numFmt w:val="lowerLetter"/>
      <w:start w:val="2"/>
    </w:lvl>
  </w:abstractNum>
  <w:abstractNum w:abstractNumId="59">
    <w:nsid w:val="78DF6A5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0">
    <w:nsid w:val="39B7AAA2"/>
    <w:multiLevelType w:val="hybridMultilevel"/>
    <w:lvl w:ilvl="0">
      <w:lvlJc w:val="left"/>
      <w:lvlText w:val="(%1)"/>
      <w:numFmt w:val="lowerLetter"/>
      <w:start w:val="1"/>
    </w:lvl>
  </w:abstractNum>
  <w:abstractNum w:abstractNumId="61">
    <w:nsid w:val="2B0D8DBE"/>
    <w:multiLevelType w:val="hybridMultilevel"/>
    <w:lvl w:ilvl="0">
      <w:lvlJc w:val="left"/>
      <w:lvlText w:val="(%1)"/>
      <w:numFmt w:val="decimal"/>
      <w:start w:val="1"/>
    </w:lvl>
  </w:abstractNum>
  <w:abstractNum w:abstractNumId="62">
    <w:nsid w:val="6C80EC70"/>
    <w:multiLevelType w:val="hybridMultilevel"/>
    <w:lvl w:ilvl="0">
      <w:lvlJc w:val="left"/>
      <w:lvlText w:val="(%1)"/>
      <w:numFmt w:val="lowerLetter"/>
      <w:start w:val="1"/>
    </w:lvl>
  </w:abstractNum>
  <w:abstractNum w:abstractNumId="63">
    <w:nsid w:val="379E21B5"/>
    <w:multiLevelType w:val="hybridMultilevel"/>
    <w:lvl w:ilvl="0">
      <w:lvlJc w:val="left"/>
      <w:lvlText w:val="(%1)"/>
      <w:numFmt w:val="lowerLetter"/>
      <w:start w:val="2"/>
    </w:lvl>
  </w:abstractNum>
  <w:abstractNum w:abstractNumId="64">
    <w:nsid w:val="69E373"/>
    <w:multiLevelType w:val="hybridMultilevel"/>
    <w:lvl w:ilvl="0">
      <w:lvlJc w:val="left"/>
      <w:lvlText w:val="(%1)"/>
      <w:numFmt w:val="decimal"/>
      <w:start w:val="2"/>
    </w:lvl>
  </w:abstractNum>
  <w:abstractNum w:abstractNumId="65">
    <w:nsid w:val="2C27173B"/>
    <w:multiLevelType w:val="hybridMultilevel"/>
    <w:lvl w:ilvl="0">
      <w:lvlJc w:val="left"/>
      <w:lvlText w:val="(%1)"/>
      <w:numFmt w:val="lowerLetter"/>
      <w:start w:val="1"/>
    </w:lvl>
  </w:abstractNum>
  <w:abstractNum w:abstractNumId="66">
    <w:nsid w:val="4C9B0904"/>
    <w:multiLevelType w:val="hybridMultilevel"/>
    <w:lvl w:ilvl="0">
      <w:lvlJc w:val="left"/>
      <w:lvlText w:val="(%1)"/>
      <w:numFmt w:val="lowerLetter"/>
      <w:start w:val="4"/>
    </w:lvl>
  </w:abstractNum>
  <w:abstractNum w:abstractNumId="67">
    <w:nsid w:val="6AA7B75C"/>
    <w:multiLevelType w:val="hybridMultilevel"/>
    <w:lvl w:ilvl="0">
      <w:lvlJc w:val="left"/>
      <w:lvlText w:val="(%1)"/>
      <w:numFmt w:val="decimal"/>
      <w:start w:val="3"/>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1)"/>
      <w:numFmt w:val="decimal"/>
      <w:start w:val="1"/>
    </w:lvl>
  </w:abstractNum>
  <w:abstractNum w:abstractNumId="70">
    <w:nsid w:val="3DD15094"/>
    <w:multiLevelType w:val="hybridMultilevel"/>
    <w:lvl w:ilvl="0">
      <w:lvlJc w:val="left"/>
      <w:lvlText w:val="(%1)"/>
      <w:numFmt w:val="lowerLetter"/>
      <w:start w:val="1"/>
    </w:lvl>
  </w:abstractNum>
  <w:abstractNum w:abstractNumId="71">
    <w:nsid w:val="3DB012B3"/>
    <w:multiLevelType w:val="hybridMultilevel"/>
    <w:lvl w:ilvl="0">
      <w:lvlJc w:val="left"/>
      <w:lvlText w:val="(%1)"/>
      <w:numFmt w:val="lowerLetter"/>
      <w:start w:val="4"/>
    </w:lvl>
  </w:abstractNum>
  <w:abstractNum w:abstractNumId="72">
    <w:nsid w:val="2708C9AF"/>
    <w:multiLevelType w:val="hybridMultilevel"/>
    <w:lvl w:ilvl="0">
      <w:lvlJc w:val="left"/>
      <w:lvlText w:val="(%1)"/>
      <w:numFmt w:val="decimal"/>
      <w:start w:val="2"/>
    </w:lvl>
  </w:abstractNum>
  <w:abstractNum w:abstractNumId="73">
    <w:nsid w:val="5B25ACE2"/>
    <w:multiLevelType w:val="hybridMultilevel"/>
    <w:lvl w:ilvl="0">
      <w:lvlJc w:val="left"/>
      <w:lvlText w:val="(%1)"/>
      <w:numFmt w:val="lowerLetter"/>
      <w:start w:val="1"/>
    </w:lvl>
  </w:abstractNum>
  <w:abstractNum w:abstractNumId="74">
    <w:nsid w:val="175DFCF0"/>
    <w:multiLevelType w:val="hybridMultilevel"/>
    <w:lvl w:ilvl="0">
      <w:lvlJc w:val="left"/>
      <w:lvlText w:val="(%1)"/>
      <w:numFmt w:val="lowerLetter"/>
      <w:start w:val="2"/>
    </w:lvl>
  </w:abstractNum>
  <w:abstractNum w:abstractNumId="75">
    <w:nsid w:val="4F97E3E4"/>
    <w:multiLevelType w:val="hybridMultilevel"/>
    <w:lvl w:ilvl="0">
      <w:lvlJc w:val="left"/>
      <w:lvlText w:val="(%1)"/>
      <w:numFmt w:val="lowerLetter"/>
      <w:start w:val="1"/>
    </w:lvl>
  </w:abstractNum>
  <w:abstractNum w:abstractNumId="76">
    <w:nsid w:val="53B0A9E"/>
    <w:multiLevelType w:val="hybridMultilevel"/>
    <w:lvl w:ilvl="0">
      <w:lvlJc w:val="left"/>
      <w:lvlText w:val="(%1)"/>
      <w:numFmt w:val="lowerLetter"/>
      <w:start w:val="1"/>
    </w:lvl>
  </w:abstractNum>
  <w:abstractNum w:abstractNumId="77">
    <w:nsid w:val="34FD6B4F"/>
    <w:multiLevelType w:val="hybridMultilevel"/>
    <w:lvl w:ilvl="0">
      <w:lvlJc w:val="left"/>
      <w:lvlText w:val="(%1)"/>
      <w:numFmt w:val="lowerLetter"/>
      <w:start w:val="1"/>
    </w:lvl>
    <w:lvl w:ilvl="1">
      <w:lvlJc w:val="left"/>
      <w:lvlText w:val="(%2)"/>
      <w:numFmt w:val="decimal"/>
      <w:start w:val="1"/>
    </w:lvl>
  </w:abstractNum>
  <w:abstractNum w:abstractNumId="78">
    <w:nsid w:val="5915FF32"/>
    <w:multiLevelType w:val="hybridMultilevel"/>
    <w:lvl w:ilvl="0">
      <w:lvlJc w:val="left"/>
      <w:lvlText w:val="(%1)"/>
      <w:numFmt w:val="decimal"/>
      <w:start w:val="6"/>
    </w:lvl>
  </w:abstractNum>
  <w:abstractNum w:abstractNumId="79">
    <w:nsid w:val="56438D15"/>
    <w:multiLevelType w:val="hybridMultilevel"/>
    <w:lvl w:ilvl="0">
      <w:lvlJc w:val="left"/>
      <w:lvlText w:val="(%1)"/>
      <w:numFmt w:val="lowerLetter"/>
      <w:start w:val="2"/>
    </w:lvl>
    <w:lvl w:ilvl="1">
      <w:lvlJc w:val="left"/>
      <w:lvlText w:val="(%2)"/>
      <w:numFmt w:val="decimal"/>
      <w:start w:val="1"/>
    </w:lvl>
  </w:abstractNum>
  <w:abstractNum w:abstractNumId="80">
    <w:nsid w:val="519E3149"/>
    <w:multiLevelType w:val="hybridMultilevel"/>
    <w:lvl w:ilvl="0">
      <w:lvlJc w:val="left"/>
      <w:lvlText w:val="(%1)"/>
      <w:numFmt w:val="lowerLetter"/>
      <w:start w:val="3"/>
    </w:lvl>
  </w:abstractNum>
  <w:abstractNum w:abstractNumId="81">
    <w:nsid w:val="2C6E4AFD"/>
    <w:multiLevelType w:val="hybridMultilevel"/>
    <w:lvl w:ilvl="0">
      <w:lvlJc w:val="left"/>
      <w:lvlText w:val="(%1)"/>
      <w:numFmt w:val="lowerLetter"/>
      <w:start w:val="1"/>
    </w:lvl>
    <w:lvl w:ilvl="1">
      <w:lvlJc w:val="left"/>
      <w:lvlText w:val="(%2)"/>
      <w:numFmt w:val="decimal"/>
      <w:start w:val="1"/>
    </w:lvl>
  </w:abstractNum>
  <w:abstractNum w:abstractNumId="82">
    <w:nsid w:val="17A1B582"/>
    <w:multiLevelType w:val="hybridMultilevel"/>
    <w:lvl w:ilvl="0">
      <w:lvlJc w:val="left"/>
      <w:lvlText w:val="(%1)"/>
      <w:numFmt w:val="lowerLetter"/>
      <w:start w:val="1"/>
    </w:lvl>
    <w:lvl w:ilvl="1">
      <w:lvlJc w:val="left"/>
      <w:lvlText w:val="(%2)"/>
      <w:numFmt w:val="decimal"/>
      <w:start w:val="1"/>
    </w:lvl>
  </w:abstractNum>
  <w:abstractNum w:abstractNumId="83">
    <w:nsid w:val="4DF72E4E"/>
    <w:multiLevelType w:val="hybridMultilevel"/>
    <w:lvl w:ilvl="0">
      <w:lvlJc w:val="left"/>
      <w:lvlText w:val="(%1)"/>
      <w:numFmt w:val="lowerLetter"/>
      <w:start w:val="8"/>
    </w:lvl>
    <w:lvl w:ilvl="1">
      <w:lvlJc w:val="left"/>
      <w:lvlText w:val="(%2)"/>
      <w:numFmt w:val="decimal"/>
      <w:start w:val="1"/>
    </w:lvl>
  </w:abstractNum>
  <w:abstractNum w:abstractNumId="84">
    <w:nsid w:val="5046B5A9"/>
    <w:multiLevelType w:val="hybridMultilevel"/>
    <w:lvl w:ilvl="0">
      <w:lvlJc w:val="left"/>
      <w:lvlText w:val="(%1)"/>
      <w:numFmt w:val="lowerLetter"/>
      <w:start w:val="1"/>
    </w:lvl>
  </w:abstractNum>
  <w:abstractNum w:abstractNumId="85">
    <w:nsid w:val="5D888A08"/>
    <w:multiLevelType w:val="hybridMultilevel"/>
    <w:lvl w:ilvl="0">
      <w:lvlJc w:val="left"/>
      <w:lvlText w:val="(%1)"/>
      <w:numFmt w:val="lowerLetter"/>
      <w:start w:val="4"/>
    </w:lvl>
  </w:abstractNum>
  <w:abstractNum w:abstractNumId="86">
    <w:nsid w:val="2A082C70"/>
    <w:multiLevelType w:val="hybridMultilevel"/>
    <w:lvl w:ilvl="0">
      <w:lvlJc w:val="left"/>
      <w:lvlText w:val="(%1)"/>
      <w:numFmt w:val="lowerLetter"/>
      <w:start w:val="1"/>
    </w:lvl>
    <w:lvl w:ilvl="1">
      <w:lvlJc w:val="left"/>
      <w:lvlText w:val="(%2)"/>
      <w:numFmt w:val="decimal"/>
      <w:start w:val="1"/>
    </w:lvl>
  </w:abstractNum>
  <w:abstractNum w:abstractNumId="87">
    <w:nsid w:val="5EC6AFD4"/>
    <w:multiLevelType w:val="hybridMultilevel"/>
    <w:lvl w:ilvl="0">
      <w:lvlJc w:val="left"/>
      <w:lvlText w:val="(%1)"/>
      <w:numFmt w:val="lowerLetter"/>
      <w:start w:val="6"/>
    </w:lvl>
  </w:abstractNum>
  <w:abstractNum w:abstractNumId="88">
    <w:nsid w:val="19E21BB2"/>
    <w:multiLevelType w:val="hybridMultilevel"/>
    <w:lvl w:ilvl="0">
      <w:lvlJc w:val="left"/>
      <w:lvlText w:val="(%1)"/>
      <w:numFmt w:val="lowerLetter"/>
      <w:start w:val="7"/>
    </w:lvl>
  </w:abstractNum>
  <w:abstractNum w:abstractNumId="89">
    <w:nsid w:val="75E0858A"/>
    <w:multiLevelType w:val="hybridMultilevel"/>
    <w:lvl w:ilvl="0">
      <w:lvlJc w:val="left"/>
      <w:lvlText w:val="(%1)"/>
      <w:numFmt w:val="lowerLetter"/>
      <w:start w:val="15"/>
    </w:lvl>
  </w:abstractNum>
  <w:abstractNum w:abstractNumId="90">
    <w:nsid w:val="57A61A29"/>
    <w:multiLevelType w:val="hybridMultilevel"/>
    <w:lvl w:ilvl="0">
      <w:lvlJc w:val="left"/>
      <w:lvlText w:val="(%1)"/>
      <w:numFmt w:val="lowerLetter"/>
      <w:start w:val="1"/>
    </w:lvl>
  </w:abstractNum>
  <w:abstractNum w:abstractNumId="91">
    <w:nsid w:val="5399C654"/>
    <w:multiLevelType w:val="hybridMultilevel"/>
    <w:lvl w:ilvl="0">
      <w:lvlJc w:val="left"/>
      <w:lvlText w:val="(%1)"/>
      <w:numFmt w:val="lowerLetter"/>
      <w:start w:val="1"/>
    </w:lvl>
  </w:abstractNum>
  <w:abstractNum w:abstractNumId="92">
    <w:nsid w:val="20EE1348"/>
    <w:multiLevelType w:val="hybridMultilevel"/>
    <w:lvl w:ilvl="0">
      <w:lvlJc w:val="left"/>
      <w:lvlText w:val="(%1)"/>
      <w:numFmt w:val="lowerLetter"/>
      <w:start w:val="2"/>
    </w:lvl>
    <w:lvl w:ilvl="1">
      <w:lvlJc w:val="left"/>
      <w:lvlText w:val="(%2)"/>
      <w:numFmt w:val="decimal"/>
      <w:start w:val="1"/>
    </w:lvl>
  </w:abstractNum>
  <w:abstractNum w:abstractNumId="93">
    <w:nsid w:val="4427069A"/>
    <w:multiLevelType w:val="hybridMultilevel"/>
    <w:lvl w:ilvl="0">
      <w:lvlJc w:val="left"/>
      <w:lvlText w:val="(%1)"/>
      <w:numFmt w:val="lowerLetter"/>
      <w:start w:val="1"/>
    </w:lvl>
  </w:abstractNum>
  <w:abstractNum w:abstractNumId="94">
    <w:nsid w:val="B37E80A"/>
    <w:multiLevelType w:val="hybridMultilevel"/>
    <w:lvl w:ilvl="0">
      <w:lvlJc w:val="left"/>
      <w:lvlText w:val="(%1)"/>
      <w:numFmt w:val="lowerLetter"/>
      <w:start w:val="1"/>
    </w:lvl>
  </w:abstractNum>
  <w:abstractNum w:abstractNumId="95">
    <w:nsid w:val="2157F6BC"/>
    <w:multiLevelType w:val="hybridMultilevel"/>
    <w:lvl w:ilvl="0">
      <w:lvlJc w:val="left"/>
      <w:lvlText w:val="(%1)"/>
      <w:numFmt w:val="lowerLetter"/>
      <w:start w:val="3"/>
    </w:lvl>
  </w:abstractNum>
  <w:abstractNum w:abstractNumId="96">
    <w:nsid w:val="704E1DD5"/>
    <w:multiLevelType w:val="hybridMultilevel"/>
    <w:lvl w:ilvl="0">
      <w:lvlJc w:val="left"/>
      <w:lvlText w:val="(%1)"/>
      <w:numFmt w:val="lowerLetter"/>
      <w:start w:val="1"/>
    </w:lvl>
  </w:abstractNum>
  <w:abstractNum w:abstractNumId="97">
    <w:nsid w:val="57D2F10E"/>
    <w:multiLevelType w:val="hybridMultilevel"/>
    <w:lvl w:ilvl="0">
      <w:lvlJc w:val="left"/>
      <w:lvlText w:val="(%1)"/>
      <w:numFmt w:val="lowerLetter"/>
      <w:start w:val="1"/>
    </w:lvl>
  </w:abstractNum>
  <w:abstractNum w:abstractNumId="98">
    <w:nsid w:val="BFFAE18"/>
    <w:multiLevelType w:val="hybridMultilevel"/>
    <w:lvl w:ilvl="0">
      <w:lvlJc w:val="left"/>
      <w:lvlText w:val="(%1)"/>
      <w:numFmt w:val="lowerLetter"/>
      <w:start w:val="1"/>
    </w:lvl>
  </w:abstractNum>
  <w:abstractNum w:abstractNumId="99">
    <w:nsid w:val="E3E47A8"/>
    <w:multiLevelType w:val="hybridMultilevel"/>
    <w:lvl w:ilvl="0">
      <w:lvlJc w:val="left"/>
      <w:lvlText w:val="(%1)"/>
      <w:numFmt w:val="lowerLetter"/>
      <w:start w:val="2"/>
    </w:lvl>
  </w:abstractNum>
  <w:abstractNum w:abstractNumId="100">
    <w:nsid w:val="2E48F044"/>
    <w:multiLevelType w:val="hybridMultilevel"/>
    <w:lvl w:ilvl="0">
      <w:lvlJc w:val="left"/>
      <w:lvlText w:val="(%1)"/>
      <w:numFmt w:val="lowerLetter"/>
      <w:start w:val="1"/>
    </w:lvl>
  </w:abstractNum>
  <w:abstractNum w:abstractNumId="101">
    <w:nsid w:val="49D0FEAC"/>
    <w:multiLevelType w:val="hybridMultilevel"/>
    <w:lvl w:ilvl="0">
      <w:lvlJc w:val="left"/>
      <w:lvlText w:val="(%1)"/>
      <w:numFmt w:val="lowerLetter"/>
      <w:start w:val="3"/>
    </w:lvl>
    <w:lvl w:ilvl="1">
      <w:lvlJc w:val="left"/>
      <w:lvlText w:val="(%2)"/>
      <w:numFmt w:val="decimal"/>
      <w:start w:val="1"/>
    </w:lvl>
  </w:abstractNum>
  <w:abstractNum w:abstractNumId="102">
    <w:nsid w:val="4BEE5A5B"/>
    <w:multiLevelType w:val="hybridMultilevel"/>
    <w:lvl w:ilvl="0">
      <w:lvlJc w:val="left"/>
      <w:lvlText w:val="(%1)"/>
      <w:numFmt w:val="lowerLetter"/>
      <w:start w:val="5"/>
    </w:lvl>
  </w:abstractNum>
  <w:abstractNum w:abstractNumId="103">
    <w:nsid w:val="5551B9F3"/>
    <w:multiLevelType w:val="hybridMultilevel"/>
    <w:lvl w:ilvl="0">
      <w:lvlJc w:val="left"/>
      <w:lvlText w:val="(%1)"/>
      <w:numFmt w:val="lowerLetter"/>
      <w:start w:val="1"/>
    </w:lvl>
  </w:abstractNum>
  <w:abstractNum w:abstractNumId="104">
    <w:nsid w:val="24F6AB8E"/>
    <w:multiLevelType w:val="hybridMultilevel"/>
    <w:lvl w:ilvl="0">
      <w:lvlJc w:val="left"/>
      <w:lvlText w:val="(%1)"/>
      <w:numFmt w:val="lowerLetter"/>
      <w:start w:val="1"/>
    </w:lvl>
  </w:abstractNum>
  <w:abstractNum w:abstractNumId="105">
    <w:nsid w:val="634C574C"/>
    <w:multiLevelType w:val="hybridMultilevel"/>
    <w:lvl w:ilvl="0">
      <w:lvlJc w:val="left"/>
      <w:lvlText w:val="(%1)"/>
      <w:numFmt w:val="lowerLetter"/>
      <w:start w:val="1"/>
    </w:lvl>
    <w:lvl w:ilvl="1">
      <w:lvlJc w:val="left"/>
      <w:lvlText w:val="(%2)"/>
      <w:numFmt w:val="decimal"/>
      <w:start w:val="1"/>
    </w:lvl>
  </w:abstractNum>
  <w:abstractNum w:abstractNumId="106">
    <w:nsid w:val="24E99DD7"/>
    <w:multiLevelType w:val="hybridMultilevel"/>
    <w:lvl w:ilvl="0">
      <w:lvlJc w:val="left"/>
      <w:lvlText w:val="(%1)"/>
      <w:numFmt w:val="decimal"/>
      <w:start w:val="2"/>
    </w:lvl>
  </w:abstractNum>
  <w:abstractNum w:abstractNumId="107">
    <w:nsid w:val="2A31B62D"/>
    <w:multiLevelType w:val="hybridMultilevel"/>
    <w:lvl w:ilvl="0">
      <w:lvlJc w:val="left"/>
      <w:lvlText w:val="(%1)"/>
      <w:numFmt w:val="lowerLetter"/>
      <w:start w:val="2"/>
    </w:lvl>
  </w:abstractNum>
  <w:abstractNum w:abstractNumId="108">
    <w:nsid w:val="1849C29B"/>
    <w:multiLevelType w:val="hybridMultilevel"/>
    <w:lvl w:ilvl="0">
      <w:lvlJc w:val="left"/>
      <w:lvlText w:val="(%1)"/>
      <w:numFmt w:val="lowerLetter"/>
      <w:start w:val="1"/>
    </w:lvl>
    <w:lvl w:ilvl="1">
      <w:lvlJc w:val="left"/>
      <w:lvlText w:val="(%2)"/>
      <w:numFmt w:val="decimal"/>
      <w:start w:val="1"/>
    </w:lvl>
  </w:abstractNum>
  <w:abstractNum w:abstractNumId="109">
    <w:nsid w:val="7DFF9D09"/>
    <w:multiLevelType w:val="hybridMultilevel"/>
    <w:lvl w:ilvl="0">
      <w:lvlJc w:val="left"/>
      <w:lvlText w:val="(%1)"/>
      <w:numFmt w:val="lowerLetter"/>
      <w:start w:val="3"/>
    </w:lvl>
  </w:abstractNum>
  <w:abstractNum w:abstractNumId="110">
    <w:nsid w:val="754342"/>
    <w:multiLevelType w:val="hybridMultilevel"/>
    <w:lvl w:ilvl="0">
      <w:lvlJc w:val="left"/>
      <w:lvlText w:val="(%1)"/>
      <w:numFmt w:val="lowerLetter"/>
      <w:start w:val="1"/>
    </w:lvl>
  </w:abstractNum>
  <w:abstractNum w:abstractNumId="111">
    <w:nsid w:val="69E7F3E5"/>
    <w:multiLevelType w:val="hybridMultilevel"/>
    <w:lvl w:ilvl="0">
      <w:lvlJc w:val="left"/>
      <w:lvlText w:val="(%1)"/>
      <w:numFmt w:val="lowerLetter"/>
      <w:start w:val="1"/>
    </w:lvl>
    <w:lvl w:ilvl="1">
      <w:lvlJc w:val="left"/>
      <w:lvlText w:val="(%2)"/>
      <w:numFmt w:val="decimal"/>
      <w:start w:val="1"/>
    </w:lvl>
  </w:abstractNum>
  <w:abstractNum w:abstractNumId="112">
    <w:nsid w:val="2A6DE806"/>
    <w:multiLevelType w:val="hybridMultilevel"/>
    <w:lvl w:ilvl="0">
      <w:lvlJc w:val="left"/>
      <w:lvlText w:val="(%1)"/>
      <w:numFmt w:val="lowerLetter"/>
      <w:start w:val="1"/>
    </w:lvl>
  </w:abstractNum>
  <w:abstractNum w:abstractNumId="113">
    <w:nsid w:val="1816F8C4"/>
    <w:multiLevelType w:val="hybridMultilevel"/>
    <w:lvl w:ilvl="0">
      <w:lvlJc w:val="left"/>
      <w:lvlText w:val="(%1)"/>
      <w:numFmt w:val="lowerLetter"/>
      <w:start w:val="3"/>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1"/>
    </w:lvl>
  </w:abstractNum>
  <w:abstractNum w:abstractNumId="116">
    <w:nsid w:val="759F82CD"/>
    <w:multiLevelType w:val="hybridMultilevel"/>
    <w:lvl w:ilvl="0">
      <w:lvlJc w:val="left"/>
      <w:lvlText w:val="(%1)"/>
      <w:numFmt w:val="lowerLetter"/>
      <w:start w:val="3"/>
    </w:lvl>
  </w:abstractNum>
  <w:abstractNum w:abstractNumId="117">
    <w:nsid w:val="61E74EA3"/>
    <w:multiLevelType w:val="hybridMultilevel"/>
    <w:lvl w:ilvl="0">
      <w:lvlJc w:val="left"/>
      <w:lvlText w:val="(%1)"/>
      <w:numFmt w:val="decimal"/>
      <w:start w:val="1"/>
    </w:lvl>
  </w:abstractNum>
  <w:abstractNum w:abstractNumId="118">
    <w:nsid w:val="597B4D8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9">
    <w:nsid w:val="F819E7F"/>
    <w:multiLevelType w:val="hybridMultilevel"/>
    <w:lvl w:ilvl="0">
      <w:lvlJc w:val="left"/>
      <w:lvlText w:val="(%1)"/>
      <w:numFmt w:val="lowerLetter"/>
      <w:start w:val="2"/>
    </w:lvl>
  </w:abstractNum>
  <w:abstractNum w:abstractNumId="120">
    <w:nsid w:val="57C7D42D"/>
    <w:multiLevelType w:val="hybridMultilevel"/>
    <w:lvl w:ilvl="0">
      <w:lvlJc w:val="left"/>
      <w:lvlText w:val="(%1)"/>
      <w:numFmt w:val="decimal"/>
      <w:start w:val="6"/>
    </w:lvl>
  </w:abstractNum>
  <w:abstractNum w:abstractNumId="121">
    <w:nsid w:val="312167AD"/>
    <w:multiLevelType w:val="hybridMultilevel"/>
    <w:lvl w:ilvl="0">
      <w:lvlJc w:val="left"/>
      <w:lvlText w:val="%1"/>
      <w:numFmt w:val="lowerLetter"/>
      <w:start w:val="1"/>
    </w:lvl>
    <w:lvl w:ilvl="1">
      <w:lvlJc w:val="left"/>
      <w:lvlText w:val="(%2)"/>
      <w:numFmt w:val="decimal"/>
      <w:start w:val="7"/>
    </w:lvl>
  </w:abstractNum>
  <w:abstractNum w:abstractNumId="122">
    <w:nsid w:val="631B64D4"/>
    <w:multiLevelType w:val="hybridMultilevel"/>
    <w:lvl w:ilvl="0">
      <w:lvlJc w:val="left"/>
      <w:lvlText w:val="(%1)"/>
      <w:numFmt w:val="lowerLetter"/>
      <w:start w:val="2"/>
    </w:lvl>
    <w:lvl w:ilvl="1">
      <w:lvlJc w:val="left"/>
      <w:lvlText w:val="%2"/>
      <w:numFmt w:val="decimal"/>
      <w:start w:val="1"/>
    </w:lvl>
  </w:abstractNum>
  <w:abstractNum w:abstractNumId="123">
    <w:nsid w:val="78B5E776"/>
    <w:multiLevelType w:val="hybridMultilevel"/>
    <w:lvl w:ilvl="0">
      <w:lvlJc w:val="left"/>
      <w:lvlText w:val="(%1)"/>
      <w:numFmt w:val="decimal"/>
      <w:start w:val="8"/>
    </w:lvl>
  </w:abstractNum>
  <w:abstractNum w:abstractNumId="124">
    <w:nsid w:val="75486E47"/>
    <w:multiLevelType w:val="hybridMultilevel"/>
    <w:lvl w:ilvl="0">
      <w:lvlJc w:val="left"/>
      <w:lvlText w:val="(%1)"/>
      <w:numFmt w:val="decimal"/>
      <w:start w:val="10"/>
    </w:lvl>
    <w:lvl w:ilvl="1">
      <w:lvlJc w:val="left"/>
      <w:lvlText w:val="(%2)"/>
      <w:numFmt w:val="lowerLetter"/>
      <w:start w:val="1"/>
    </w:lvl>
  </w:abstractNum>
  <w:abstractNum w:abstractNumId="125">
    <w:nsid w:val="6E534CDE"/>
    <w:multiLevelType w:val="hybridMultilevel"/>
    <w:lvl w:ilvl="0">
      <w:lvlJc w:val="left"/>
      <w:lvlText w:val="(%1)"/>
      <w:numFmt w:val="lowerRoman"/>
      <w:start w:val="9"/>
    </w:lvl>
    <w:lvl w:ilvl="1">
      <w:lvlJc w:val="left"/>
      <w:lvlText w:val="%2"/>
      <w:numFmt w:val="decimal"/>
      <w:start w:val="1"/>
    </w:lvl>
    <w:lvl w:ilvl="2">
      <w:lvlJc w:val="left"/>
      <w:lvlText w:val="(%3)"/>
      <w:numFmt w:val="lowerLetter"/>
      <w:start w:val="3"/>
    </w:lvl>
  </w:abstractNum>
  <w:abstractNum w:abstractNumId="126">
    <w:nsid w:val="1A0DDE32"/>
    <w:multiLevelType w:val="hybridMultilevel"/>
    <w:lvl w:ilvl="0">
      <w:lvlJc w:val="left"/>
      <w:lvlText w:val="(%1)"/>
      <w:numFmt w:val="lowerRoman"/>
      <w:start w:val="2"/>
    </w:lvl>
    <w:lvl w:ilvl="1">
      <w:lvlJc w:val="left"/>
      <w:lvlText w:val="(%2)"/>
      <w:numFmt w:val="decimal"/>
      <w:start w:val="13"/>
    </w:lvl>
    <w:lvl w:ilvl="2">
      <w:lvlJc w:val="left"/>
      <w:lvlText w:val="%3"/>
      <w:numFmt w:val="lowerLetter"/>
      <w:start w:val="1"/>
    </w:lvl>
  </w:abstractNum>
  <w:abstractNum w:abstractNumId="127">
    <w:nsid w:val="65968C1C"/>
    <w:multiLevelType w:val="hybridMultilevel"/>
    <w:lvl w:ilvl="0">
      <w:lvlJc w:val="left"/>
      <w:lvlText w:val="(%1)"/>
      <w:numFmt w:val="lowerLetter"/>
      <w:start w:val="2"/>
    </w:lvl>
    <w:lvl w:ilvl="1">
      <w:lvlJc w:val="left"/>
      <w:lvlText w:val="(%2)"/>
      <w:numFmt w:val="decimal"/>
      <w:start w:val="14"/>
    </w:lvl>
  </w:abstractNum>
  <w:abstractNum w:abstractNumId="128">
    <w:nsid w:val="46263DEC"/>
    <w:multiLevelType w:val="hybridMultilevel"/>
    <w:lvl w:ilvl="0">
      <w:lvlJc w:val="left"/>
      <w:lvlText w:val="(%1)"/>
      <w:numFmt w:val="decimal"/>
      <w:start w:val="17"/>
    </w:lvl>
  </w:abstractNum>
  <w:abstractNum w:abstractNumId="129">
    <w:nsid w:val="260D8C4A"/>
    <w:multiLevelType w:val="hybridMultilevel"/>
    <w:lvl w:ilvl="0">
      <w:lvlJc w:val="left"/>
      <w:lvlText w:val="*"/>
      <w:numFmt w:val="bullet"/>
      <w:start w:val="1"/>
    </w:lvl>
  </w:abstractNum>
  <w:abstractNum w:abstractNumId="130">
    <w:nsid w:val="73D4D3C4"/>
    <w:multiLevelType w:val="hybridMultilevel"/>
    <w:lvl w:ilvl="0">
      <w:lvlJc w:val="left"/>
      <w:lvlText w:val="*"/>
      <w:numFmt w:val="bullet"/>
      <w:start w:val="1"/>
    </w:lvl>
  </w:abstractNum>
  <w:abstractNum w:abstractNumId="131">
    <w:nsid w:val="746F2E30"/>
    <w:multiLevelType w:val="hybridMultilevel"/>
    <w:lvl w:ilvl="0">
      <w:lvlJc w:val="left"/>
      <w:lvlText w:val="*"/>
      <w:numFmt w:val="bullet"/>
      <w:start w:val="1"/>
    </w:lvl>
  </w:abstractNum>
  <w:abstractNum w:abstractNumId="132">
    <w:nsid w:val="6FDE8AF6"/>
    <w:multiLevelType w:val="hybridMultilevel"/>
    <w:lvl w:ilvl="0">
      <w:lvlJc w:val="left"/>
      <w:lvlText w:val="(%1)"/>
      <w:numFmt w:val="decimal"/>
      <w:start w:val="1"/>
    </w:lvl>
  </w:abstractNum>
  <w:abstractNum w:abstractNumId="133">
    <w:nsid w:val="3FC32E2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4">
    <w:nsid w:val="49C0E823"/>
    <w:multiLevelType w:val="hybridMultilevel"/>
    <w:lvl w:ilvl="0">
      <w:lvlJc w:val="left"/>
      <w:lvlText w:val="(%1)"/>
      <w:numFmt w:val="lowerLetter"/>
      <w:start w:val="2"/>
    </w:lvl>
  </w:abstractNum>
  <w:abstractNum w:abstractNumId="135">
    <w:nsid w:val="14D53685"/>
    <w:multiLevelType w:val="hybridMultilevel"/>
    <w:lvl w:ilvl="0">
      <w:lvlJc w:val="left"/>
      <w:lvlText w:val="%1"/>
      <w:numFmt w:val="lowerLetter"/>
      <w:start w:val="1"/>
    </w:lvl>
    <w:lvl w:ilvl="1">
      <w:lvlJc w:val="left"/>
      <w:lvlText w:val="(%2)"/>
      <w:numFmt w:val="decimal"/>
      <w:start w:val="6"/>
    </w:lvl>
  </w:abstractNum>
  <w:abstractNum w:abstractNumId="136">
    <w:nsid w:val="230F856C"/>
    <w:multiLevelType w:val="hybridMultilevel"/>
    <w:lvl w:ilvl="0">
      <w:lvlJc w:val="left"/>
      <w:lvlText w:val="(%1)"/>
      <w:numFmt w:val="lowerLetter"/>
      <w:start w:val="2"/>
    </w:lvl>
    <w:lvl w:ilvl="1">
      <w:lvlJc w:val="left"/>
      <w:lvlText w:val="%2"/>
      <w:numFmt w:val="decimal"/>
      <w:start w:val="1"/>
    </w:lvl>
  </w:abstractNum>
  <w:abstractNum w:abstractNumId="137">
    <w:nsid w:val="6EAA85FB"/>
    <w:multiLevelType w:val="hybridMultilevel"/>
    <w:lvl w:ilvl="0">
      <w:lvlJc w:val="left"/>
      <w:lvlText w:val="(%1)"/>
      <w:numFmt w:val="decimal"/>
      <w:start w:val="8"/>
    </w:lvl>
  </w:abstractNum>
  <w:abstractNum w:abstractNumId="138">
    <w:nsid w:val="3F06ECB2"/>
    <w:multiLevelType w:val="hybridMultilevel"/>
    <w:lvl w:ilvl="0">
      <w:lvlJc w:val="left"/>
      <w:lvlText w:val="(%1)"/>
      <w:numFmt w:val="decimal"/>
      <w:start w:val="9"/>
    </w:lvl>
  </w:abstractNum>
  <w:abstractNum w:abstractNumId="139">
    <w:nsid w:val="3B594807"/>
    <w:multiLevelType w:val="hybridMultilevel"/>
    <w:lvl w:ilvl="0">
      <w:lvlJc w:val="left"/>
      <w:lvlText w:val="(%1)"/>
      <w:numFmt w:val="decimal"/>
      <w:start w:val="11"/>
    </w:lvl>
    <w:lvl w:ilvl="1">
      <w:lvlJc w:val="left"/>
      <w:lvlText w:val="(%2)"/>
      <w:numFmt w:val="lowerLetter"/>
      <w:start w:val="1"/>
    </w:lvl>
  </w:abstractNum>
  <w:abstractNum w:abstractNumId="140">
    <w:nsid w:val="6CAA230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41">
    <w:nsid w:val="3F7C2FF4"/>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1"/>
    </w:lvl>
  </w:abstractNum>
  <w:abstractNum w:abstractNumId="142">
    <w:nsid w:val="25413BEC"/>
    <w:multiLevelType w:val="hybridMultilevel"/>
    <w:lvl w:ilvl="0">
      <w:lvlJc w:val="left"/>
      <w:lvlText w:val="(%1)"/>
      <w:numFmt w:val="decimal"/>
      <w:start w:val="14"/>
    </w:lvl>
  </w:abstractNum>
  <w:abstractNum w:abstractNumId="143">
    <w:nsid w:val="17180B0B"/>
    <w:multiLevelType w:val="hybridMultilevel"/>
    <w:lvl w:ilvl="0">
      <w:lvlJc w:val="left"/>
      <w:lvlText w:val="(%1)"/>
      <w:numFmt w:val="decimal"/>
      <w:start w:val="16"/>
    </w:lvl>
  </w:abstractNum>
  <w:abstractNum w:abstractNumId="144">
    <w:nsid w:val="579328B9"/>
    <w:multiLevelType w:val="hybridMultilevel"/>
    <w:lvl w:ilvl="0">
      <w:lvlJc w:val="left"/>
      <w:lvlText w:val="*"/>
      <w:numFmt w:val="bullet"/>
      <w:start w:val="1"/>
    </w:lvl>
  </w:abstractNum>
  <w:abstractNum w:abstractNumId="145">
    <w:nsid w:val="5D205E20"/>
    <w:multiLevelType w:val="hybridMultilevel"/>
    <w:lvl w:ilvl="0">
      <w:lvlJc w:val="left"/>
      <w:lvlText w:val="*"/>
      <w:numFmt w:val="bullet"/>
      <w:start w:val="1"/>
    </w:lvl>
  </w:abstractNum>
  <w:abstractNum w:abstractNumId="146">
    <w:nsid w:val="11CCA8BA"/>
    <w:multiLevelType w:val="hybridMultilevel"/>
    <w:lvl w:ilvl="0">
      <w:lvlJc w:val="left"/>
      <w:lvlText w:val="*"/>
      <w:numFmt w:val="bullet"/>
      <w:start w:val="1"/>
    </w:lvl>
  </w:abstractNum>
  <w:abstractNum w:abstractNumId="147">
    <w:nsid w:val="4D32AB86"/>
    <w:multiLevelType w:val="hybridMultilevel"/>
    <w:lvl w:ilvl="0">
      <w:lvlJc w:val="left"/>
      <w:lvlText w:val="%1."/>
      <w:numFmt w:val="decimal"/>
      <w:start w:val="1"/>
    </w:lvl>
  </w:abstractNum>
  <w:abstractNum w:abstractNumId="148">
    <w:nsid w:val="3F07ACC3"/>
    <w:multiLevelType w:val="hybridMultilevel"/>
    <w:lvl w:ilvl="0">
      <w:lvlJc w:val="left"/>
      <w:lvlText w:val="%1."/>
      <w:numFmt w:val="decimal"/>
      <w:start w:val="2"/>
    </w:lvl>
    <w:lvl w:ilvl="1">
      <w:lvlJc w:val="left"/>
      <w:lvlText w:val="(%2)"/>
      <w:numFmt w:val="lowerLetter"/>
      <w:start w:val="1"/>
    </w:lvl>
  </w:abstractNum>
  <w:abstractNum w:abstractNumId="149">
    <w:nsid w:val="6B47F63E"/>
    <w:multiLevelType w:val="hybridMultilevel"/>
    <w:lvl w:ilvl="0">
      <w:lvlJc w:val="left"/>
      <w:lvlText w:val="(%1)"/>
      <w:numFmt w:val="lowerLetter"/>
      <w:start w:val="2"/>
    </w:lvl>
  </w:abstractNum>
  <w:abstractNum w:abstractNumId="150">
    <w:nsid w:val="5CB44A05"/>
    <w:multiLevelType w:val="hybridMultilevel"/>
    <w:lvl w:ilvl="0">
      <w:lvlJc w:val="left"/>
      <w:lvlText w:val="%1."/>
      <w:numFmt w:val="decimal"/>
      <w:start w:val="4"/>
    </w:lvl>
    <w:lvl w:ilvl="1">
      <w:lvlJc w:val="left"/>
      <w:lvlText w:val="(%2)"/>
      <w:numFmt w:val="lowerLetter"/>
      <w:start w:val="1"/>
    </w:lvl>
  </w:abstractNum>
  <w:abstractNum w:abstractNumId="151">
    <w:nsid w:val="16CF80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2">
    <w:nsid w:val="1C695DE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3">
    <w:nsid w:val="3FCFAED9"/>
    <w:multiLevelType w:val="hybridMultilevel"/>
    <w:lvl w:ilvl="0">
      <w:lvlJc w:val="left"/>
      <w:lvlText w:val="(%1)"/>
      <w:numFmt w:val="lowerLetter"/>
      <w:start w:val="1"/>
    </w:lvl>
    <w:lvl w:ilvl="1">
      <w:lvlJc w:val="left"/>
      <w:lvlText w:val="(%2)"/>
      <w:numFmt w:val="lowerRoman"/>
      <w:start w:val="1"/>
    </w:lvl>
  </w:abstractNum>
  <w:abstractNum w:abstractNumId="154">
    <w:nsid w:val="F856867"/>
    <w:multiLevelType w:val="hybridMultilevel"/>
    <w:lvl w:ilvl="0">
      <w:lvlJc w:val="left"/>
      <w:lvlText w:val="%1."/>
      <w:numFmt w:val="decimal"/>
      <w:start w:val="1"/>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lowerLetter"/>
      <w:start w:val="2"/>
    </w:lvl>
  </w:abstractNum>
  <w:abstractNum w:abstractNumId="157">
    <w:nsid w:val="29934699"/>
    <w:multiLevelType w:val="hybridMultilevel"/>
    <w:lvl w:ilvl="0">
      <w:lvlJc w:val="left"/>
      <w:lvlText w:val="%1."/>
      <w:numFmt w:val="decimal"/>
      <w:start w:val="2"/>
    </w:lvl>
  </w:abstractNum>
  <w:abstractNum w:abstractNumId="158">
    <w:nsid w:val="77485850"/>
    <w:multiLevelType w:val="hybridMultilevel"/>
    <w:lvl w:ilvl="0">
      <w:lvlJc w:val="left"/>
      <w:lvlText w:val="(%1)"/>
      <w:numFmt w:val="lowerLetter"/>
      <w:start w:val="1"/>
    </w:lvl>
  </w:abstractNum>
  <w:abstractNum w:abstractNumId="159">
    <w:nsid w:val="744939A3"/>
    <w:multiLevelType w:val="hybridMultilevel"/>
    <w:lvl w:ilvl="0">
      <w:lvlJc w:val="left"/>
      <w:lvlText w:val="(%1)"/>
      <w:numFmt w:val="lowerLetter"/>
      <w:start w:val="2"/>
    </w:lvl>
  </w:abstractNum>
  <w:abstractNum w:abstractNumId="160">
    <w:nsid w:val="4FA0D2E3"/>
    <w:multiLevelType w:val="hybridMultilevel"/>
    <w:lvl w:ilvl="0">
      <w:lvlJc w:val="left"/>
      <w:lvlText w:val="(%1)"/>
      <w:numFmt w:val="lowerLetter"/>
      <w:start w:val="1"/>
    </w:lvl>
  </w:abstractNum>
  <w:abstractNum w:abstractNumId="161">
    <w:nsid w:val="6B1D2C14"/>
    <w:multiLevelType w:val="hybridMultilevel"/>
    <w:lvl w:ilvl="0">
      <w:lvlJc w:val="left"/>
      <w:lvlText w:val="%1."/>
      <w:numFmt w:val="decimal"/>
      <w:start w:val="1"/>
    </w:lvl>
  </w:abstractNum>
  <w:abstractNum w:abstractNumId="162">
    <w:nsid w:val="68B867D3"/>
    <w:multiLevelType w:val="hybridMultilevel"/>
    <w:lvl w:ilvl="0">
      <w:lvlJc w:val="left"/>
      <w:lvlText w:val="%1."/>
      <w:numFmt w:val="decimal"/>
      <w:start w:val="3"/>
    </w:lvl>
  </w:abstractNum>
  <w:abstractNum w:abstractNumId="163">
    <w:nsid w:val="3F7F5DD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4">
    <w:nsid w:val="2AE05A34"/>
    <w:multiLevelType w:val="hybridMultilevel"/>
    <w:lvl w:ilvl="0">
      <w:lvlJc w:val="left"/>
      <w:lvlText w:val="(%1)"/>
      <w:numFmt w:val="lowerRoman"/>
      <w:start w:val="2"/>
    </w:lvl>
  </w:abstractNum>
  <w:abstractNum w:abstractNumId="165">
    <w:nsid w:val="32794FF7"/>
    <w:multiLevelType w:val="hybridMultilevel"/>
    <w:lvl w:ilvl="0">
      <w:lvlJc w:val="left"/>
      <w:lvlText w:val="(%1)"/>
      <w:numFmt w:val="lowerLetter"/>
      <w:start w:val="2"/>
    </w:lvl>
  </w:abstractNum>
  <w:abstractNum w:abstractNumId="166">
    <w:nsid w:val="5454945E"/>
    <w:multiLevelType w:val="hybridMultilevel"/>
    <w:lvl w:ilvl="0">
      <w:lvlJc w:val="left"/>
      <w:lvlText w:val="%1"/>
      <w:numFmt w:val="decimal"/>
      <w:start w:val="1"/>
    </w:lvl>
    <w:lvl w:ilvl="1">
      <w:lvlJc w:val="left"/>
      <w:lvlText w:val="(%2)"/>
      <w:numFmt w:val="lowerLetter"/>
      <w:start w:val="8"/>
    </w:lvl>
  </w:abstractNum>
  <w:abstractNum w:abstractNumId="167">
    <w:nsid w:val="4DEFDFA0"/>
    <w:multiLevelType w:val="hybridMultilevel"/>
    <w:lvl w:ilvl="0">
      <w:lvlJc w:val="left"/>
      <w:lvlText w:val="%1."/>
      <w:numFmt w:val="decimal"/>
      <w:start w:val="3"/>
    </w:lvl>
    <w:lvl w:ilvl="1">
      <w:lvlJc w:val="left"/>
      <w:lvlText w:val="(%2)"/>
      <w:numFmt w:val="lowerLetter"/>
      <w:start w:val="1"/>
    </w:lvl>
  </w:abstractNum>
  <w:abstractNum w:abstractNumId="168">
    <w:nsid w:val="2123D5F2"/>
    <w:multiLevelType w:val="hybridMultilevel"/>
    <w:lvl w:ilvl="0">
      <w:lvlJc w:val="left"/>
      <w:lvlText w:val="%1."/>
      <w:numFmt w:val="decimal"/>
      <w:start w:val="6"/>
    </w:lvl>
  </w:abstractNum>
  <w:abstractNum w:abstractNumId="169">
    <w:nsid w:val="135B8110"/>
    <w:multiLevelType w:val="hybridMultilevel"/>
    <w:lvl w:ilvl="0">
      <w:lvlJc w:val="left"/>
      <w:lvlText w:val="%1."/>
      <w:numFmt w:val="decimal"/>
      <w:start w:val="8"/>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2019-12-08T01:46:41Z</dcterms:created>
  <dcterms:modified xsi:type="dcterms:W3CDTF">2019-12-08T01:46:41Z</dcterms:modified>
</cp:coreProperties>
</file>