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8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May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28" w:right="10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28"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28"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28"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28"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28"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28"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4.25% Senior Notes due 2023</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May 22, 2013, Wynn Las Vegas, LLC (the “Company”) and Wynn Las Vegas Capital Corp. (“Capital Corp.” and, together with the Company, the “Issuers”) issued $500.0 million aggregate principal amount of 4.25% Senior Notes due 2023 (the “2023 Notes”) pursuant to an Indenture, dated as of May 22, 2013 (the “2023 Indenture”), among the Issuers, the Guarantors (as defined below) and U.S. Bank National Association, as trustee (the “Trustee”).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2023 Notes will mature on May 30, 2023 and bear interest at the rate of 4.25%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and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2023 Notes are the Issuers’ senior unsecured obligations and rank pari passu in right of payment with the Issuers’ outstanding 7 7/8% First Mortgage Notes due 2017 (the “2017 Notes”), 7 7/8% First Mortgage Notes due 2020 (“7 7/8% 2020 Notes”), 7 3/4% First Mortgage Notes due 2020 (the “7 3/4% 2020 Notes”) and 5.375% First Mortgage Notes due 2022 (the “2022 Notes” and, together with the 2017 Notes, the 7 7/8% 2020 Notes and 7 3/4%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2023 Notes are jointly and severally guaranteed by all of the Issuers’ subsidiaries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foregoing description is not complete and is qualified in its entirety by the 2023 Indenture, which is filed herewith as Exhibit 4.1 and incorporated herein by this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Indenture for 7 7/8% First Mortgage Notes due 2017</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expiration of the Consent Solicitation (as defined in Item 8.01 below), on May 22, 2013, the Issuers entered into the Supplemental Indenture (the “Supplemental Indenture”) to the Indenture, dated as of October 19, 2009, among the Issuers, the guarantors named therein and the Trustee, under which the 2017 Notes were issued (the “2017 Indenture”). The Supplemental Indenture amended the 2017 Indenture to eliminate substantially all of the restrictive covenants and certain events of default from the 2017 Indenture.</w:t>
      </w:r>
    </w:p>
    <w:p>
      <w:pPr>
        <w:sectPr>
          <w:pgSz w:w="11900" w:h="16838" w:orient="portrait"/>
          <w:cols w:equalWidth="0" w:num="1">
            <w:col w:w="11420"/>
          </w:cols>
          <w:pgMar w:left="240" w:top="274" w:right="239" w:bottom="1440" w:gutter="0" w:footer="0" w:header="0"/>
        </w:sectPr>
      </w:pPr>
    </w:p>
    <w:bookmarkStart w:id="2" w:name="page3"/>
    <w:bookmarkEnd w:id="2"/>
    <w:p>
      <w:pPr>
        <w:ind w:right="6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is not complete and is qualified in its entirety by the Supplemental Indenture, which is filed herewith as Exhibit 4.2 and incorporated herein by this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set forth in Item 1.01 under the heading “Supplemental Indenture for 7 7/8% First Mortgage Notes due 2017”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22, 2013, Wynn Resorts, Limited announced the Company completed its previously announced cash tender offer (the “Tender Offer”) for any and all of the 2017 Notes and a solicitation of consents to certain proposed amendments to the 2017 Indenture (the “Consent Solicitation”). The Tender Offer and Consent Solicitation expired at midnight, New York City time, in the evening of May 21, 2013 (the “Expiration Time”), and the Issuers have received the requisite consents from holders of the 2017 Notes in connection with the Consent Solicitation to amend the 2017 Indenture. At the Expiration Time, valid tenders had been received with respect to approximately $274.7 million of the $500.0 million aggregate principal amount of 2017 Notes outstanding.</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has accepted for payment all 2017 Notes validly tendered prior to the Expiration Date. On May 22, 2013, tendering holders received the tender offer consideration in the amount of $1,071.45 for each $1,000 principal amount of 2017 Notes tendered.</w:t>
      </w:r>
    </w:p>
    <w:p>
      <w:pPr>
        <w:spacing w:after="0" w:line="132"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connection with the expiration of the Consent Solicitation, on May 22, 2013, the issuers entered into the Supplemental Indenture. The Supplemental Indenture became operative when the Company accepted for payment the 2017 Notes and the related consents tendered prior to the Expiration Time. The Supplemental Indenture amended the 2017 Indenture to eliminate substantially all of the restrictive covenants and certain events of default from the 2017 Indenture.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22, 2013, the Issuers also completed their previously announced offering of $500.0 million aggregate principal amount of 2023 Notes. The Company used a portion of the net proceeds of the 2023 Notes offering to purchase the 2017 Notes tendered in the Tender Offer. The Company also intends to satisfy and discharge the 2017 Indenture governing the 2017 Notes and use the remaining net proceeds from the 2023 Notes offering to redeem the 2017 Notes not tendered.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press release is attached hereto as Exhibit 99.1 to this Current Report on Form 8-K and is hereby incorporated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712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98"/>
              </w:rPr>
              <w:t>Indenture, dated May 22, 2013, among the Issuers, the Guarantors named therein and the Trustee.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86"/>
              </w:rPr>
              <w:t>Supplemental Indenture, dated May 22, 2013, among the Issuers, the guarantors named therein and the Trustee.</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Press release, dated May 22, 2013, of Wynn Resorts, Limited.</w:t>
            </w:r>
          </w:p>
        </w:tc>
      </w:tr>
    </w:tbl>
    <w:p>
      <w:pPr>
        <w:sectPr>
          <w:pgSz w:w="11900" w:h="16838" w:orient="portrait"/>
          <w:cols w:equalWidth="0" w:num="1">
            <w:col w:w="11360"/>
          </w:cols>
          <w:pgMar w:left="240" w:top="280"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780" w:type="dxa"/>
            <w:vAlign w:val="bottom"/>
          </w:tcPr>
          <w:p>
            <w:pPr>
              <w:ind w:left="4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0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780" w:type="dxa"/>
            <w:vAlign w:val="bottom"/>
          </w:tcPr>
          <w:p>
            <w:pPr>
              <w:ind w:left="4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1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7120" w:type="dxa"/>
            <w:vAlign w:val="bottom"/>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98"/>
              </w:rPr>
              <w:t>Indenture, dated May 22, 2013, among the Issuers, the Guarantors named therein and the Trustee.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w w:val="86"/>
              </w:rPr>
              <w:t>Supplemental Indenture, dated May 22, 2013, among the Issuers, the guarantors named therein and the Trustee.</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Press release, dated May 22, 2013, of Wynn Resorts, Limited.</w:t>
            </w:r>
          </w:p>
        </w:tc>
      </w:tr>
    </w:tbl>
    <w:p>
      <w:pPr>
        <w:sectPr>
          <w:pgSz w:w="11900" w:h="16838" w:orient="portrait"/>
          <w:cols w:equalWidth="0" w:num="1">
            <w:col w:w="10219"/>
          </w:cols>
          <w:pgMar w:left="240" w:top="274"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WYNN LAS VEGAS CAPITAL CORP.,</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obligors</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6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4.25%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U.S. BANK NATIONAL ASSOCIATION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105410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131445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19"/>
                <w:szCs w:val="19"/>
                <w:color w:val="auto"/>
              </w:rPr>
            </w:pPr>
          </w:p>
        </w:tc>
        <w:tc>
          <w:tcPr>
            <w:tcW w:w="8380" w:type="dxa"/>
            <w:vAlign w:val="bottom"/>
          </w:tcPr>
          <w:p>
            <w:pPr>
              <w:ind w:left="3760"/>
              <w:spacing w:after="0"/>
              <w:rPr>
                <w:sz w:val="20"/>
                <w:szCs w:val="20"/>
                <w:color w:val="auto"/>
              </w:rPr>
            </w:pPr>
            <w:r>
              <w:rPr>
                <w:rFonts w:ascii="Arial" w:cs="Arial" w:eastAsia="Arial" w:hAnsi="Arial"/>
                <w:sz w:val="18"/>
                <w:szCs w:val="18"/>
                <w:color w:val="auto"/>
              </w:rPr>
              <w:t>TABLE OF CONTENTS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060" w:type="dxa"/>
            <w:vAlign w:val="bottom"/>
          </w:tcPr>
          <w:p>
            <w:pPr>
              <w:spacing w:after="0"/>
              <w:rPr>
                <w:sz w:val="24"/>
                <w:szCs w:val="24"/>
                <w:color w:val="auto"/>
              </w:rPr>
            </w:pPr>
          </w:p>
        </w:tc>
        <w:tc>
          <w:tcPr>
            <w:tcW w:w="8380" w:type="dxa"/>
            <w:vAlign w:val="bottom"/>
            <w:vMerge w:val="restart"/>
          </w:tcPr>
          <w:p>
            <w:pPr>
              <w:jc w:val="center"/>
              <w:ind w:left="752"/>
              <w:spacing w:after="0"/>
              <w:rPr>
                <w:sz w:val="20"/>
                <w:szCs w:val="20"/>
                <w:color w:val="auto"/>
              </w:rPr>
            </w:pPr>
            <w:r>
              <w:rPr>
                <w:rFonts w:ascii="Arial" w:cs="Arial" w:eastAsia="Arial" w:hAnsi="Arial"/>
                <w:sz w:val="18"/>
                <w:szCs w:val="18"/>
                <w:color w:val="auto"/>
                <w:w w:val="93"/>
              </w:rPr>
              <w:t>ARTICLE 1.</w:t>
            </w:r>
          </w:p>
        </w:tc>
        <w:tc>
          <w:tcPr>
            <w:tcW w:w="188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838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3"/>
              </w:rPr>
              <w:t>DEFINITIONS AND INCORPORATION BY REFERENCE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180"/>
              <w:spacing w:after="0"/>
              <w:rPr>
                <w:sz w:val="20"/>
                <w:szCs w:val="20"/>
                <w:color w:val="auto"/>
              </w:rPr>
            </w:pPr>
            <w:r>
              <w:rPr>
                <w:rFonts w:ascii="Arial" w:cs="Arial" w:eastAsia="Arial" w:hAnsi="Arial"/>
                <w:sz w:val="18"/>
                <w:szCs w:val="18"/>
                <w:color w:val="auto"/>
              </w:rPr>
              <w:t>Other 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180"/>
              <w:spacing w:after="0"/>
              <w:rPr>
                <w:sz w:val="20"/>
                <w:szCs w:val="20"/>
                <w:color w:val="auto"/>
              </w:rPr>
            </w:pPr>
            <w:r>
              <w:rPr>
                <w:rFonts w:ascii="Arial" w:cs="Arial" w:eastAsia="Arial" w:hAnsi="Arial"/>
                <w:sz w:val="18"/>
                <w:szCs w:val="18"/>
                <w:color w:val="auto"/>
              </w:rPr>
              <w:t>Rules of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4"/>
                <w:szCs w:val="24"/>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3"/>
              </w:rPr>
              <w:t>ARTICLE 2.</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1"/>
              </w:rPr>
              <w:t>THE NOTES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Section 2.01</w:t>
            </w:r>
          </w:p>
        </w:tc>
        <w:tc>
          <w:tcPr>
            <w:tcW w:w="8380" w:type="dxa"/>
            <w:vAlign w:val="bottom"/>
          </w:tcPr>
          <w:p>
            <w:pPr>
              <w:ind w:left="180"/>
              <w:spacing w:after="0"/>
              <w:rPr>
                <w:sz w:val="20"/>
                <w:szCs w:val="20"/>
                <w:color w:val="auto"/>
              </w:rPr>
            </w:pPr>
            <w:r>
              <w:rPr>
                <w:rFonts w:ascii="Arial" w:cs="Arial" w:eastAsia="Arial" w:hAnsi="Arial"/>
                <w:sz w:val="18"/>
                <w:szCs w:val="18"/>
                <w:color w:val="auto"/>
              </w:rPr>
              <w:t>Form and Dating</w:t>
            </w: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180"/>
              <w:spacing w:after="0"/>
              <w:rPr>
                <w:sz w:val="20"/>
                <w:szCs w:val="20"/>
                <w:color w:val="auto"/>
              </w:rPr>
            </w:pPr>
            <w:r>
              <w:rPr>
                <w:rFonts w:ascii="Arial" w:cs="Arial" w:eastAsia="Arial" w:hAnsi="Arial"/>
                <w:sz w:val="18"/>
                <w:szCs w:val="18"/>
                <w:color w:val="auto"/>
              </w:rPr>
              <w:t>Execution and Authentication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2.03</w:t>
            </w:r>
          </w:p>
        </w:tc>
        <w:tc>
          <w:tcPr>
            <w:tcW w:w="8380" w:type="dxa"/>
            <w:vAlign w:val="bottom"/>
          </w:tcPr>
          <w:p>
            <w:pPr>
              <w:ind w:left="180"/>
              <w:spacing w:after="0"/>
              <w:rPr>
                <w:sz w:val="20"/>
                <w:szCs w:val="20"/>
                <w:color w:val="auto"/>
              </w:rPr>
            </w:pPr>
            <w:r>
              <w:rPr>
                <w:rFonts w:ascii="Arial" w:cs="Arial" w:eastAsia="Arial" w:hAnsi="Arial"/>
                <w:sz w:val="18"/>
                <w:szCs w:val="18"/>
                <w:color w:val="auto"/>
              </w:rPr>
              <w:t>Registrar and Paying Agent</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180"/>
              <w:spacing w:after="0"/>
              <w:rPr>
                <w:sz w:val="20"/>
                <w:szCs w:val="20"/>
                <w:color w:val="auto"/>
              </w:rPr>
            </w:pPr>
            <w:r>
              <w:rPr>
                <w:rFonts w:ascii="Arial" w:cs="Arial" w:eastAsia="Arial" w:hAnsi="Arial"/>
                <w:sz w:val="18"/>
                <w:szCs w:val="18"/>
                <w:color w:val="auto"/>
              </w:rPr>
              <w:t>Paying Agent to Hold Money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2.05</w:t>
            </w:r>
          </w:p>
        </w:tc>
        <w:tc>
          <w:tcPr>
            <w:tcW w:w="8380" w:type="dxa"/>
            <w:vAlign w:val="bottom"/>
          </w:tcPr>
          <w:p>
            <w:pPr>
              <w:ind w:left="180"/>
              <w:spacing w:after="0"/>
              <w:rPr>
                <w:sz w:val="20"/>
                <w:szCs w:val="20"/>
                <w:color w:val="auto"/>
              </w:rPr>
            </w:pPr>
            <w:r>
              <w:rPr>
                <w:rFonts w:ascii="Arial" w:cs="Arial" w:eastAsia="Arial" w:hAnsi="Arial"/>
                <w:sz w:val="18"/>
                <w:szCs w:val="18"/>
                <w:color w:val="auto"/>
              </w:rPr>
              <w:t>Holder Lists</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180"/>
              <w:spacing w:after="0"/>
              <w:rPr>
                <w:sz w:val="20"/>
                <w:szCs w:val="20"/>
                <w:color w:val="auto"/>
              </w:rPr>
            </w:pPr>
            <w:r>
              <w:rPr>
                <w:rFonts w:ascii="Arial" w:cs="Arial" w:eastAsia="Arial" w:hAnsi="Arial"/>
                <w:sz w:val="18"/>
                <w:szCs w:val="18"/>
                <w:color w:val="auto"/>
              </w:rPr>
              <w:t>Transfer and Exchange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2.07</w:t>
            </w:r>
          </w:p>
        </w:tc>
        <w:tc>
          <w:tcPr>
            <w:tcW w:w="8380" w:type="dxa"/>
            <w:vAlign w:val="bottom"/>
          </w:tcPr>
          <w:p>
            <w:pPr>
              <w:ind w:left="180"/>
              <w:spacing w:after="0"/>
              <w:rPr>
                <w:sz w:val="20"/>
                <w:szCs w:val="20"/>
                <w:color w:val="auto"/>
              </w:rPr>
            </w:pPr>
            <w:r>
              <w:rPr>
                <w:rFonts w:ascii="Arial" w:cs="Arial" w:eastAsia="Arial" w:hAnsi="Arial"/>
                <w:sz w:val="18"/>
                <w:szCs w:val="18"/>
                <w:color w:val="auto"/>
              </w:rPr>
              <w:t>Replacement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180"/>
              <w:spacing w:after="0"/>
              <w:rPr>
                <w:sz w:val="20"/>
                <w:szCs w:val="20"/>
                <w:color w:val="auto"/>
              </w:rPr>
            </w:pPr>
            <w:r>
              <w:rPr>
                <w:rFonts w:ascii="Arial" w:cs="Arial" w:eastAsia="Arial" w:hAnsi="Arial"/>
                <w:sz w:val="18"/>
                <w:szCs w:val="18"/>
                <w:color w:val="auto"/>
              </w:rPr>
              <w:t>Outstanding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2.09</w:t>
            </w:r>
          </w:p>
        </w:tc>
        <w:tc>
          <w:tcPr>
            <w:tcW w:w="8380" w:type="dxa"/>
            <w:vAlign w:val="bottom"/>
          </w:tcPr>
          <w:p>
            <w:pPr>
              <w:ind w:left="180"/>
              <w:spacing w:after="0"/>
              <w:rPr>
                <w:sz w:val="20"/>
                <w:szCs w:val="20"/>
                <w:color w:val="auto"/>
              </w:rPr>
            </w:pPr>
            <w:r>
              <w:rPr>
                <w:rFonts w:ascii="Arial" w:cs="Arial" w:eastAsia="Arial" w:hAnsi="Arial"/>
                <w:sz w:val="18"/>
                <w:szCs w:val="18"/>
                <w:color w:val="auto"/>
              </w:rPr>
              <w:t>Treasury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180"/>
              <w:spacing w:after="0"/>
              <w:rPr>
                <w:sz w:val="20"/>
                <w:szCs w:val="20"/>
                <w:color w:val="auto"/>
              </w:rPr>
            </w:pPr>
            <w:r>
              <w:rPr>
                <w:rFonts w:ascii="Arial" w:cs="Arial" w:eastAsia="Arial" w:hAnsi="Arial"/>
                <w:sz w:val="18"/>
                <w:szCs w:val="18"/>
                <w:color w:val="auto"/>
              </w:rPr>
              <w:t>Temporary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180"/>
              <w:spacing w:after="0"/>
              <w:rPr>
                <w:sz w:val="20"/>
                <w:szCs w:val="20"/>
                <w:color w:val="auto"/>
              </w:rPr>
            </w:pPr>
            <w:r>
              <w:rPr>
                <w:rFonts w:ascii="Arial" w:cs="Arial" w:eastAsia="Arial" w:hAnsi="Arial"/>
                <w:sz w:val="18"/>
                <w:szCs w:val="18"/>
                <w:color w:val="auto"/>
              </w:rPr>
              <w:t>Cancellation</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180"/>
              <w:spacing w:after="0"/>
              <w:rPr>
                <w:sz w:val="20"/>
                <w:szCs w:val="20"/>
                <w:color w:val="auto"/>
              </w:rPr>
            </w:pPr>
            <w:r>
              <w:rPr>
                <w:rFonts w:ascii="Arial" w:cs="Arial" w:eastAsia="Arial" w:hAnsi="Arial"/>
                <w:sz w:val="18"/>
                <w:szCs w:val="18"/>
                <w:color w:val="auto"/>
              </w:rPr>
              <w:t>Defaulted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180"/>
              <w:spacing w:after="0"/>
              <w:rPr>
                <w:sz w:val="20"/>
                <w:szCs w:val="20"/>
                <w:color w:val="auto"/>
              </w:rPr>
            </w:pPr>
            <w:r>
              <w:rPr>
                <w:rFonts w:ascii="Arial" w:cs="Arial" w:eastAsia="Arial" w:hAnsi="Arial"/>
                <w:sz w:val="18"/>
                <w:szCs w:val="18"/>
                <w:color w:val="auto"/>
              </w:rPr>
              <w:t>Issuance of Additional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4"/>
                <w:szCs w:val="24"/>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3"/>
              </w:rPr>
              <w:t>ARTICLE 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3"/>
              </w:rPr>
              <w:t>REDEMPTION AND PREPAYMENT</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180"/>
              <w:spacing w:after="0"/>
              <w:rPr>
                <w:sz w:val="20"/>
                <w:szCs w:val="20"/>
                <w:color w:val="auto"/>
              </w:rPr>
            </w:pPr>
            <w:r>
              <w:rPr>
                <w:rFonts w:ascii="Arial" w:cs="Arial" w:eastAsia="Arial" w:hAnsi="Arial"/>
                <w:sz w:val="18"/>
                <w:szCs w:val="18"/>
                <w:color w:val="auto"/>
              </w:rPr>
              <w:t>Notices to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180"/>
              <w:spacing w:after="0"/>
              <w:rPr>
                <w:sz w:val="20"/>
                <w:szCs w:val="20"/>
                <w:color w:val="auto"/>
              </w:rPr>
            </w:pPr>
            <w:r>
              <w:rPr>
                <w:rFonts w:ascii="Arial" w:cs="Arial" w:eastAsia="Arial" w:hAnsi="Arial"/>
                <w:sz w:val="18"/>
                <w:szCs w:val="18"/>
                <w:color w:val="auto"/>
              </w:rPr>
              <w:t>Selection of Notes to Be Redeemed or Purchased</w:t>
            </w: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3.03</w:t>
            </w:r>
          </w:p>
        </w:tc>
        <w:tc>
          <w:tcPr>
            <w:tcW w:w="838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180"/>
              <w:spacing w:after="0"/>
              <w:rPr>
                <w:sz w:val="20"/>
                <w:szCs w:val="20"/>
                <w:color w:val="auto"/>
              </w:rPr>
            </w:pPr>
            <w:r>
              <w:rPr>
                <w:rFonts w:ascii="Arial" w:cs="Arial" w:eastAsia="Arial" w:hAnsi="Arial"/>
                <w:sz w:val="18"/>
                <w:szCs w:val="18"/>
                <w:color w:val="auto"/>
              </w:rPr>
              <w:t>Effect of Notice of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3.05</w:t>
            </w:r>
          </w:p>
        </w:tc>
        <w:tc>
          <w:tcPr>
            <w:tcW w:w="8380" w:type="dxa"/>
            <w:vAlign w:val="bottom"/>
          </w:tcPr>
          <w:p>
            <w:pPr>
              <w:ind w:left="180"/>
              <w:spacing w:after="0"/>
              <w:rPr>
                <w:sz w:val="20"/>
                <w:szCs w:val="20"/>
                <w:color w:val="auto"/>
              </w:rPr>
            </w:pPr>
            <w:r>
              <w:rPr>
                <w:rFonts w:ascii="Arial" w:cs="Arial" w:eastAsia="Arial" w:hAnsi="Arial"/>
                <w:sz w:val="18"/>
                <w:szCs w:val="18"/>
                <w:color w:val="auto"/>
              </w:rPr>
              <w:t>Deposit of Redemption or Purchase Price</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180"/>
              <w:spacing w:after="0"/>
              <w:rPr>
                <w:sz w:val="20"/>
                <w:szCs w:val="20"/>
                <w:color w:val="auto"/>
              </w:rPr>
            </w:pPr>
            <w:r>
              <w:rPr>
                <w:rFonts w:ascii="Arial" w:cs="Arial" w:eastAsia="Arial" w:hAnsi="Arial"/>
                <w:sz w:val="18"/>
                <w:szCs w:val="18"/>
                <w:color w:val="auto"/>
              </w:rPr>
              <w:t>Notes Redeemed or Purchased in Part</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3.07</w:t>
            </w:r>
          </w:p>
        </w:tc>
        <w:tc>
          <w:tcPr>
            <w:tcW w:w="83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3.08</w:t>
            </w:r>
          </w:p>
        </w:tc>
        <w:tc>
          <w:tcPr>
            <w:tcW w:w="8380" w:type="dxa"/>
            <w:vAlign w:val="bottom"/>
          </w:tcPr>
          <w:p>
            <w:pPr>
              <w:ind w:left="180"/>
              <w:spacing w:after="0"/>
              <w:rPr>
                <w:sz w:val="20"/>
                <w:szCs w:val="20"/>
                <w:color w:val="auto"/>
              </w:rPr>
            </w:pPr>
            <w:r>
              <w:rPr>
                <w:rFonts w:ascii="Arial" w:cs="Arial" w:eastAsia="Arial" w:hAnsi="Arial"/>
                <w:sz w:val="18"/>
                <w:szCs w:val="18"/>
                <w:color w:val="auto"/>
              </w:rPr>
              <w:t>Mandatory Redemption</w:t>
            </w:r>
          </w:p>
        </w:tc>
        <w:tc>
          <w:tcPr>
            <w:tcW w:w="1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3.09</w:t>
            </w:r>
          </w:p>
        </w:tc>
        <w:tc>
          <w:tcPr>
            <w:tcW w:w="8380" w:type="dxa"/>
            <w:vAlign w:val="bottom"/>
          </w:tcPr>
          <w:p>
            <w:pPr>
              <w:ind w:left="180"/>
              <w:spacing w:after="0"/>
              <w:rPr>
                <w:sz w:val="20"/>
                <w:szCs w:val="20"/>
                <w:color w:val="auto"/>
              </w:rPr>
            </w:pPr>
            <w:r>
              <w:rPr>
                <w:rFonts w:ascii="Arial" w:cs="Arial" w:eastAsia="Arial" w:hAnsi="Arial"/>
                <w:sz w:val="18"/>
                <w:szCs w:val="18"/>
                <w:color w:val="auto"/>
              </w:rPr>
              <w:t>Mandatory Disposition or Redemption Pursuant to Gaming Laws</w:t>
            </w:r>
          </w:p>
        </w:tc>
        <w:tc>
          <w:tcPr>
            <w:tcW w:w="1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4"/>
                <w:szCs w:val="24"/>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3"/>
              </w:rPr>
              <w:t>ARTICLE 4.</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380" w:type="dxa"/>
            <w:vAlign w:val="bottom"/>
          </w:tcPr>
          <w:p>
            <w:pPr>
              <w:jc w:val="center"/>
              <w:ind w:left="752"/>
              <w:spacing w:after="0"/>
              <w:rPr>
                <w:sz w:val="20"/>
                <w:szCs w:val="20"/>
                <w:color w:val="auto"/>
              </w:rPr>
            </w:pPr>
            <w:r>
              <w:rPr>
                <w:rFonts w:ascii="Arial" w:cs="Arial" w:eastAsia="Arial" w:hAnsi="Arial"/>
                <w:sz w:val="18"/>
                <w:szCs w:val="18"/>
                <w:color w:val="auto"/>
                <w:w w:val="94"/>
              </w:rPr>
              <w:t>COVENANTS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180"/>
              <w:spacing w:after="0"/>
              <w:rPr>
                <w:sz w:val="20"/>
                <w:szCs w:val="20"/>
                <w:color w:val="auto"/>
              </w:rPr>
            </w:pPr>
            <w:r>
              <w:rPr>
                <w:rFonts w:ascii="Arial" w:cs="Arial" w:eastAsia="Arial" w:hAnsi="Arial"/>
                <w:sz w:val="18"/>
                <w:szCs w:val="18"/>
                <w:color w:val="auto"/>
              </w:rPr>
              <w:t>Payment of Notes</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4.02</w:t>
            </w:r>
          </w:p>
        </w:tc>
        <w:tc>
          <w:tcPr>
            <w:tcW w:w="838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180"/>
              <w:spacing w:after="0"/>
              <w:rPr>
                <w:sz w:val="20"/>
                <w:szCs w:val="20"/>
                <w:color w:val="auto"/>
              </w:rPr>
            </w:pPr>
            <w:r>
              <w:rPr>
                <w:rFonts w:ascii="Arial" w:cs="Arial" w:eastAsia="Arial" w:hAnsi="Arial"/>
                <w:sz w:val="18"/>
                <w:szCs w:val="18"/>
                <w:color w:val="auto"/>
              </w:rPr>
              <w:t>Reports</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4.04</w:t>
            </w:r>
          </w:p>
        </w:tc>
        <w:tc>
          <w:tcPr>
            <w:tcW w:w="8380" w:type="dxa"/>
            <w:vAlign w:val="bottom"/>
          </w:tcPr>
          <w:p>
            <w:pPr>
              <w:ind w:left="180"/>
              <w:spacing w:after="0"/>
              <w:rPr>
                <w:sz w:val="20"/>
                <w:szCs w:val="20"/>
                <w:color w:val="auto"/>
              </w:rPr>
            </w:pPr>
            <w:r>
              <w:rPr>
                <w:rFonts w:ascii="Arial" w:cs="Arial" w:eastAsia="Arial" w:hAnsi="Arial"/>
                <w:sz w:val="18"/>
                <w:szCs w:val="18"/>
                <w:color w:val="auto"/>
              </w:rPr>
              <w:t>Compliance Certificate</w:t>
            </w: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4.05</w:t>
            </w:r>
          </w:p>
        </w:tc>
        <w:tc>
          <w:tcPr>
            <w:tcW w:w="8500" w:type="dxa"/>
            <w:vAlign w:val="bottom"/>
          </w:tcPr>
          <w:p>
            <w:pPr>
              <w:ind w:left="120"/>
              <w:spacing w:after="0"/>
              <w:rPr>
                <w:sz w:val="20"/>
                <w:szCs w:val="20"/>
                <w:color w:val="auto"/>
              </w:rPr>
            </w:pPr>
            <w:r>
              <w:rPr>
                <w:rFonts w:ascii="Arial" w:cs="Arial" w:eastAsia="Arial" w:hAnsi="Arial"/>
                <w:sz w:val="18"/>
                <w:szCs w:val="18"/>
                <w:color w:val="auto"/>
              </w:rPr>
              <w:t>Taxes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4.06   Stay, Extension and Usury Laws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4.07   Limitation on Liens Securing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4.08   Limitation on Sale and Lease-Back Transactions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4.09   Exempted Liens and Sale and Lease-Back Transactions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4.10   Corporate and Organizational Existence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Section 4.11   Offer to Purchase Upon Change of Control</w:t>
            </w: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1000" w:type="dxa"/>
            <w:vAlign w:val="bottom"/>
          </w:tcPr>
          <w:p>
            <w:pPr>
              <w:spacing w:after="0"/>
              <w:rPr>
                <w:sz w:val="24"/>
                <w:szCs w:val="24"/>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3"/>
              </w:rPr>
              <w:t>ARTICLE 5.</w:t>
            </w:r>
          </w:p>
        </w:tc>
        <w:tc>
          <w:tcPr>
            <w:tcW w:w="18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87"/>
              </w:rPr>
              <w:t>SUCCESSORS</w:t>
            </w:r>
          </w:p>
        </w:tc>
        <w:tc>
          <w:tcPr>
            <w:tcW w:w="1820" w:type="dxa"/>
            <w:vAlign w:val="bottom"/>
          </w:tcPr>
          <w:p>
            <w:pPr>
              <w:spacing w:after="0"/>
              <w:rPr>
                <w:sz w:val="19"/>
                <w:szCs w:val="19"/>
                <w:color w:val="auto"/>
              </w:rPr>
            </w:pPr>
          </w:p>
        </w:tc>
      </w:tr>
      <w:tr>
        <w:trPr>
          <w:trHeight w:val="426"/>
        </w:trPr>
        <w:tc>
          <w:tcPr>
            <w:tcW w:w="950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000" w:type="dxa"/>
            <w:vAlign w:val="bottom"/>
          </w:tcPr>
          <w:p>
            <w:pPr>
              <w:spacing w:after="0"/>
              <w:rPr>
                <w:sz w:val="24"/>
                <w:szCs w:val="24"/>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3"/>
              </w:rPr>
              <w:t>ARTICLE 6.</w:t>
            </w:r>
          </w:p>
        </w:tc>
        <w:tc>
          <w:tcPr>
            <w:tcW w:w="18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8500" w:type="dxa"/>
            <w:vAlign w:val="bottom"/>
          </w:tcPr>
          <w:p>
            <w:pPr>
              <w:ind w:left="3400"/>
              <w:spacing w:after="0"/>
              <w:rPr>
                <w:sz w:val="20"/>
                <w:szCs w:val="20"/>
                <w:color w:val="auto"/>
              </w:rPr>
            </w:pPr>
            <w:r>
              <w:rPr>
                <w:rFonts w:ascii="Arial" w:cs="Arial" w:eastAsia="Arial" w:hAnsi="Arial"/>
                <w:sz w:val="18"/>
                <w:szCs w:val="18"/>
                <w:color w:val="auto"/>
              </w:rPr>
              <w:t>DEFAULTS AND REMEDIES</w:t>
            </w:r>
          </w:p>
        </w:tc>
        <w:tc>
          <w:tcPr>
            <w:tcW w:w="1820" w:type="dxa"/>
            <w:vAlign w:val="bottom"/>
          </w:tcPr>
          <w:p>
            <w:pPr>
              <w:spacing w:after="0"/>
              <w:rPr>
                <w:sz w:val="19"/>
                <w:szCs w:val="19"/>
                <w:color w:val="auto"/>
              </w:rPr>
            </w:pPr>
          </w:p>
        </w:tc>
      </w:tr>
      <w:tr>
        <w:trPr>
          <w:trHeight w:val="42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6.02</w:t>
            </w:r>
          </w:p>
        </w:tc>
        <w:tc>
          <w:tcPr>
            <w:tcW w:w="850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6.03</w:t>
            </w:r>
          </w:p>
        </w:tc>
        <w:tc>
          <w:tcPr>
            <w:tcW w:w="850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6.07   Rights of Holders of Notes to Receive Payment</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6.10</w:t>
            </w:r>
          </w:p>
        </w:tc>
        <w:tc>
          <w:tcPr>
            <w:tcW w:w="850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6"/>
        </w:trPr>
        <w:tc>
          <w:tcPr>
            <w:tcW w:w="1000" w:type="dxa"/>
            <w:vAlign w:val="bottom"/>
          </w:tcPr>
          <w:p>
            <w:pPr>
              <w:spacing w:after="0"/>
              <w:rPr>
                <w:sz w:val="24"/>
                <w:szCs w:val="24"/>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3"/>
              </w:rPr>
              <w:t>ARTICLE 7.</w:t>
            </w:r>
          </w:p>
        </w:tc>
        <w:tc>
          <w:tcPr>
            <w:tcW w:w="18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2"/>
              </w:rPr>
              <w:t>TRUSTEE</w:t>
            </w:r>
          </w:p>
        </w:tc>
        <w:tc>
          <w:tcPr>
            <w:tcW w:w="1820" w:type="dxa"/>
            <w:vAlign w:val="bottom"/>
          </w:tcPr>
          <w:p>
            <w:pPr>
              <w:spacing w:after="0"/>
              <w:rPr>
                <w:sz w:val="19"/>
                <w:szCs w:val="19"/>
                <w:color w:val="auto"/>
              </w:rPr>
            </w:pPr>
          </w:p>
        </w:tc>
      </w:tr>
      <w:tr>
        <w:trPr>
          <w:trHeight w:val="42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7.03   Individual Rights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7.04</w:t>
            </w:r>
          </w:p>
        </w:tc>
        <w:tc>
          <w:tcPr>
            <w:tcW w:w="850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7.05   Notice of Defaults</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7.06   Compensation and Indemnity</w:t>
            </w: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7.07   Replacement of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7.08   Successor Trustee by Merger, etc.</w:t>
            </w:r>
          </w:p>
        </w:tc>
        <w:tc>
          <w:tcPr>
            <w:tcW w:w="1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97"/>
              </w:rPr>
              <w:t>Section 7.09</w:t>
            </w:r>
          </w:p>
        </w:tc>
        <w:tc>
          <w:tcPr>
            <w:tcW w:w="850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26"/>
        </w:trPr>
        <w:tc>
          <w:tcPr>
            <w:tcW w:w="1000" w:type="dxa"/>
            <w:vAlign w:val="bottom"/>
          </w:tcPr>
          <w:p>
            <w:pPr>
              <w:spacing w:after="0"/>
              <w:rPr>
                <w:sz w:val="24"/>
                <w:szCs w:val="24"/>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3"/>
              </w:rPr>
              <w:t>ARTICLE 8.</w:t>
            </w:r>
          </w:p>
        </w:tc>
        <w:tc>
          <w:tcPr>
            <w:tcW w:w="18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8500" w:type="dxa"/>
            <w:vAlign w:val="bottom"/>
          </w:tcPr>
          <w:p>
            <w:pPr>
              <w:jc w:val="center"/>
              <w:ind w:left="752"/>
              <w:spacing w:after="0"/>
              <w:rPr>
                <w:sz w:val="20"/>
                <w:szCs w:val="20"/>
                <w:color w:val="auto"/>
              </w:rPr>
            </w:pPr>
            <w:r>
              <w:rPr>
                <w:rFonts w:ascii="Arial" w:cs="Arial" w:eastAsia="Arial" w:hAnsi="Arial"/>
                <w:sz w:val="18"/>
                <w:szCs w:val="18"/>
                <w:color w:val="auto"/>
                <w:w w:val="95"/>
              </w:rPr>
              <w:t>LEGAL DEFEASANCE AND COVENANT DEFEASANCE</w:t>
            </w:r>
          </w:p>
        </w:tc>
        <w:tc>
          <w:tcPr>
            <w:tcW w:w="1820" w:type="dxa"/>
            <w:vAlign w:val="bottom"/>
          </w:tcPr>
          <w:p>
            <w:pPr>
              <w:spacing w:after="0"/>
              <w:rPr>
                <w:sz w:val="19"/>
                <w:szCs w:val="19"/>
                <w:color w:val="auto"/>
              </w:rPr>
            </w:pPr>
          </w:p>
        </w:tc>
      </w:tr>
      <w:tr>
        <w:trPr>
          <w:trHeight w:val="426"/>
        </w:trPr>
        <w:tc>
          <w:tcPr>
            <w:tcW w:w="9500" w:type="dxa"/>
            <w:vAlign w:val="bottom"/>
            <w:gridSpan w:val="2"/>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8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97"/>
              </w:rPr>
              <w:t>Section 8.03</w:t>
            </w:r>
          </w:p>
        </w:tc>
        <w:tc>
          <w:tcPr>
            <w:tcW w:w="850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8.04</w:t>
            </w:r>
          </w:p>
        </w:tc>
        <w:tc>
          <w:tcPr>
            <w:tcW w:w="8540" w:type="dxa"/>
            <w:vAlign w:val="bottom"/>
          </w:tcPr>
          <w:p>
            <w:pPr>
              <w:ind w:left="140"/>
              <w:spacing w:after="0"/>
              <w:rPr>
                <w:sz w:val="20"/>
                <w:szCs w:val="20"/>
                <w:color w:val="auto"/>
              </w:rPr>
            </w:pPr>
            <w:r>
              <w:rPr>
                <w:rFonts w:ascii="Arial" w:cs="Arial" w:eastAsia="Arial" w:hAnsi="Arial"/>
                <w:sz w:val="18"/>
                <w:szCs w:val="18"/>
                <w:color w:val="auto"/>
              </w:rPr>
              <w:t>Conditions to Legal or Covenant Defeasance</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8.05</w:t>
            </w:r>
          </w:p>
        </w:tc>
        <w:tc>
          <w:tcPr>
            <w:tcW w:w="8540" w:type="dxa"/>
            <w:vAlign w:val="bottom"/>
          </w:tcPr>
          <w:p>
            <w:pPr>
              <w:ind w:left="14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8.06</w:t>
            </w:r>
          </w:p>
        </w:tc>
        <w:tc>
          <w:tcPr>
            <w:tcW w:w="8540" w:type="dxa"/>
            <w:vAlign w:val="bottom"/>
          </w:tcPr>
          <w:p>
            <w:pPr>
              <w:ind w:left="140"/>
              <w:spacing w:after="0"/>
              <w:rPr>
                <w:sz w:val="20"/>
                <w:szCs w:val="20"/>
                <w:color w:val="auto"/>
              </w:rPr>
            </w:pPr>
            <w:r>
              <w:rPr>
                <w:rFonts w:ascii="Arial" w:cs="Arial" w:eastAsia="Arial" w:hAnsi="Arial"/>
                <w:sz w:val="18"/>
                <w:szCs w:val="18"/>
                <w:color w:val="auto"/>
              </w:rPr>
              <w:t>Repayment to Issuers</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Section 8.07</w:t>
            </w:r>
          </w:p>
        </w:tc>
        <w:tc>
          <w:tcPr>
            <w:tcW w:w="854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26"/>
        </w:trPr>
        <w:tc>
          <w:tcPr>
            <w:tcW w:w="1100" w:type="dxa"/>
            <w:vAlign w:val="bottom"/>
          </w:tcPr>
          <w:p>
            <w:pPr>
              <w:spacing w:after="0"/>
              <w:rPr>
                <w:sz w:val="24"/>
                <w:szCs w:val="24"/>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3"/>
              </w:rPr>
              <w:t>ARTICLE 9.</w:t>
            </w:r>
          </w:p>
        </w:tc>
        <w:tc>
          <w:tcPr>
            <w:tcW w:w="16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5"/>
              </w:rPr>
              <w:t>AMENDMENT, SUPPLEMENT AND WAIVER</w:t>
            </w:r>
          </w:p>
        </w:tc>
        <w:tc>
          <w:tcPr>
            <w:tcW w:w="1680" w:type="dxa"/>
            <w:vAlign w:val="bottom"/>
          </w:tcPr>
          <w:p>
            <w:pPr>
              <w:spacing w:after="0"/>
              <w:rPr>
                <w:sz w:val="19"/>
                <w:szCs w:val="19"/>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540" w:type="dxa"/>
            <w:vAlign w:val="bottom"/>
          </w:tcPr>
          <w:p>
            <w:pPr>
              <w:ind w:left="140"/>
              <w:spacing w:after="0"/>
              <w:rPr>
                <w:sz w:val="20"/>
                <w:szCs w:val="20"/>
                <w:color w:val="auto"/>
              </w:rPr>
            </w:pPr>
            <w:r>
              <w:rPr>
                <w:rFonts w:ascii="Arial" w:cs="Arial" w:eastAsia="Arial" w:hAnsi="Arial"/>
                <w:sz w:val="18"/>
                <w:szCs w:val="18"/>
                <w:color w:val="auto"/>
              </w:rPr>
              <w:t>Without Consent of Holders of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540" w:type="dxa"/>
            <w:vAlign w:val="bottom"/>
          </w:tcPr>
          <w:p>
            <w:pPr>
              <w:ind w:left="140"/>
              <w:spacing w:after="0"/>
              <w:rPr>
                <w:sz w:val="20"/>
                <w:szCs w:val="20"/>
                <w:color w:val="auto"/>
              </w:rPr>
            </w:pPr>
            <w:r>
              <w:rPr>
                <w:rFonts w:ascii="Arial" w:cs="Arial" w:eastAsia="Arial" w:hAnsi="Arial"/>
                <w:sz w:val="18"/>
                <w:szCs w:val="18"/>
                <w:color w:val="auto"/>
              </w:rPr>
              <w:t>With Consent of Holders of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54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540" w:type="dxa"/>
            <w:vAlign w:val="bottom"/>
          </w:tcPr>
          <w:p>
            <w:pPr>
              <w:ind w:left="140"/>
              <w:spacing w:after="0"/>
              <w:rPr>
                <w:sz w:val="20"/>
                <w:szCs w:val="20"/>
                <w:color w:val="auto"/>
              </w:rPr>
            </w:pPr>
            <w:r>
              <w:rPr>
                <w:rFonts w:ascii="Arial" w:cs="Arial" w:eastAsia="Arial" w:hAnsi="Arial"/>
                <w:sz w:val="18"/>
                <w:szCs w:val="18"/>
                <w:color w:val="auto"/>
              </w:rPr>
              <w:t>Notation on or Exchange of Notes</w:t>
            </w:r>
          </w:p>
        </w:tc>
        <w:tc>
          <w:tcPr>
            <w:tcW w:w="1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540" w:type="dxa"/>
            <w:vAlign w:val="bottom"/>
          </w:tcPr>
          <w:p>
            <w:pPr>
              <w:ind w:left="140"/>
              <w:spacing w:after="0"/>
              <w:rPr>
                <w:sz w:val="20"/>
                <w:szCs w:val="20"/>
                <w:color w:val="auto"/>
              </w:rPr>
            </w:pPr>
            <w:r>
              <w:rPr>
                <w:rFonts w:ascii="Arial" w:cs="Arial" w:eastAsia="Arial" w:hAnsi="Arial"/>
                <w:sz w:val="18"/>
                <w:szCs w:val="18"/>
                <w:color w:val="auto"/>
              </w:rPr>
              <w:t>Trustee to Sign Amendments, etc.</w:t>
            </w: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26"/>
        </w:trPr>
        <w:tc>
          <w:tcPr>
            <w:tcW w:w="1100" w:type="dxa"/>
            <w:vAlign w:val="bottom"/>
          </w:tcPr>
          <w:p>
            <w:pPr>
              <w:spacing w:after="0"/>
              <w:rPr>
                <w:sz w:val="24"/>
                <w:szCs w:val="24"/>
                <w:color w:val="auto"/>
              </w:rPr>
            </w:pPr>
          </w:p>
        </w:tc>
        <w:tc>
          <w:tcPr>
            <w:tcW w:w="8540" w:type="dxa"/>
            <w:vAlign w:val="bottom"/>
          </w:tcPr>
          <w:p>
            <w:pPr>
              <w:jc w:val="center"/>
              <w:ind w:left="492"/>
              <w:spacing w:after="0"/>
              <w:rPr>
                <w:sz w:val="20"/>
                <w:szCs w:val="20"/>
                <w:color w:val="auto"/>
              </w:rPr>
            </w:pPr>
            <w:r>
              <w:rPr>
                <w:rFonts w:ascii="Arial" w:cs="Arial" w:eastAsia="Arial" w:hAnsi="Arial"/>
                <w:sz w:val="18"/>
                <w:szCs w:val="18"/>
                <w:color w:val="auto"/>
                <w:w w:val="94"/>
              </w:rPr>
              <w:t>ARTICLE 10.</w:t>
            </w:r>
          </w:p>
        </w:tc>
        <w:tc>
          <w:tcPr>
            <w:tcW w:w="16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6"/>
              </w:rPr>
              <w:t>COLLATERAL AND SECURITY</w:t>
            </w:r>
          </w:p>
        </w:tc>
        <w:tc>
          <w:tcPr>
            <w:tcW w:w="1680" w:type="dxa"/>
            <w:vAlign w:val="bottom"/>
          </w:tcPr>
          <w:p>
            <w:pPr>
              <w:spacing w:after="0"/>
              <w:rPr>
                <w:sz w:val="19"/>
                <w:szCs w:val="19"/>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w w:val="98"/>
              </w:rPr>
              <w:t>Section 10.01</w:t>
            </w:r>
          </w:p>
        </w:tc>
        <w:tc>
          <w:tcPr>
            <w:tcW w:w="8540" w:type="dxa"/>
            <w:vAlign w:val="bottom"/>
          </w:tcPr>
          <w:p>
            <w:pPr>
              <w:ind w:left="140"/>
              <w:spacing w:after="0"/>
              <w:rPr>
                <w:sz w:val="20"/>
                <w:szCs w:val="20"/>
                <w:color w:val="auto"/>
              </w:rPr>
            </w:pPr>
            <w:r>
              <w:rPr>
                <w:rFonts w:ascii="Arial" w:cs="Arial" w:eastAsia="Arial" w:hAnsi="Arial"/>
                <w:sz w:val="18"/>
                <w:szCs w:val="18"/>
                <w:color w:val="auto"/>
              </w:rPr>
              <w:t>Collateral Documents</w:t>
            </w: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8540" w:type="dxa"/>
            <w:vAlign w:val="bottom"/>
          </w:tcPr>
          <w:p>
            <w:pPr>
              <w:ind w:left="140"/>
              <w:spacing w:after="0"/>
              <w:rPr>
                <w:sz w:val="20"/>
                <w:szCs w:val="20"/>
                <w:color w:val="auto"/>
              </w:rPr>
            </w:pPr>
            <w:r>
              <w:rPr>
                <w:rFonts w:ascii="Arial" w:cs="Arial" w:eastAsia="Arial" w:hAnsi="Arial"/>
                <w:sz w:val="18"/>
                <w:szCs w:val="18"/>
                <w:color w:val="auto"/>
              </w:rPr>
              <w:t>Recording and Opinions</w:t>
            </w:r>
          </w:p>
        </w:tc>
        <w:tc>
          <w:tcPr>
            <w:tcW w:w="1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10.03</w:t>
            </w:r>
          </w:p>
        </w:tc>
        <w:tc>
          <w:tcPr>
            <w:tcW w:w="8540" w:type="dxa"/>
            <w:vAlign w:val="bottom"/>
          </w:tcPr>
          <w:p>
            <w:pPr>
              <w:ind w:left="140"/>
              <w:spacing w:after="0"/>
              <w:rPr>
                <w:sz w:val="20"/>
                <w:szCs w:val="20"/>
                <w:color w:val="auto"/>
              </w:rPr>
            </w:pPr>
            <w:r>
              <w:rPr>
                <w:rFonts w:ascii="Arial" w:cs="Arial" w:eastAsia="Arial" w:hAnsi="Arial"/>
                <w:sz w:val="18"/>
                <w:szCs w:val="18"/>
                <w:color w:val="auto"/>
              </w:rPr>
              <w:t>Release of Collateral</w:t>
            </w:r>
          </w:p>
        </w:tc>
        <w:tc>
          <w:tcPr>
            <w:tcW w:w="16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8540" w:type="dxa"/>
            <w:vAlign w:val="bottom"/>
          </w:tcPr>
          <w:p>
            <w:pPr>
              <w:ind w:left="140"/>
              <w:spacing w:after="0"/>
              <w:rPr>
                <w:sz w:val="20"/>
                <w:szCs w:val="20"/>
                <w:color w:val="auto"/>
              </w:rPr>
            </w:pPr>
            <w:r>
              <w:rPr>
                <w:rFonts w:ascii="Arial" w:cs="Arial" w:eastAsia="Arial" w:hAnsi="Arial"/>
                <w:sz w:val="18"/>
                <w:szCs w:val="18"/>
                <w:color w:val="auto"/>
              </w:rPr>
              <w:t>Authorization of Actions to Be Taken by the Trustee Under the Collateral Documents</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10.05</w:t>
            </w:r>
          </w:p>
        </w:tc>
        <w:tc>
          <w:tcPr>
            <w:tcW w:w="8540" w:type="dxa"/>
            <w:vAlign w:val="bottom"/>
          </w:tcPr>
          <w:p>
            <w:pPr>
              <w:ind w:left="140"/>
              <w:spacing w:after="0"/>
              <w:rPr>
                <w:sz w:val="20"/>
                <w:szCs w:val="20"/>
                <w:color w:val="auto"/>
              </w:rPr>
            </w:pPr>
            <w:r>
              <w:rPr>
                <w:rFonts w:ascii="Arial" w:cs="Arial" w:eastAsia="Arial" w:hAnsi="Arial"/>
                <w:sz w:val="18"/>
                <w:szCs w:val="18"/>
                <w:color w:val="auto"/>
              </w:rPr>
              <w:t>Authorization of Receipt of Funds by the Trustee Under the Collateral Documents</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10.06</w:t>
            </w:r>
          </w:p>
        </w:tc>
        <w:tc>
          <w:tcPr>
            <w:tcW w:w="8540" w:type="dxa"/>
            <w:vAlign w:val="bottom"/>
          </w:tcPr>
          <w:p>
            <w:pPr>
              <w:ind w:left="140"/>
              <w:spacing w:after="0"/>
              <w:rPr>
                <w:sz w:val="20"/>
                <w:szCs w:val="20"/>
                <w:color w:val="auto"/>
              </w:rPr>
            </w:pPr>
            <w:r>
              <w:rPr>
                <w:rFonts w:ascii="Arial" w:cs="Arial" w:eastAsia="Arial" w:hAnsi="Arial"/>
                <w:sz w:val="18"/>
                <w:szCs w:val="18"/>
                <w:color w:val="auto"/>
              </w:rPr>
              <w:t>Rights in the Pledged Collateral</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10.07</w:t>
            </w:r>
          </w:p>
        </w:tc>
        <w:tc>
          <w:tcPr>
            <w:tcW w:w="8540" w:type="dxa"/>
            <w:vAlign w:val="bottom"/>
          </w:tcPr>
          <w:p>
            <w:pPr>
              <w:ind w:left="140"/>
              <w:spacing w:after="0"/>
              <w:rPr>
                <w:sz w:val="20"/>
                <w:szCs w:val="20"/>
                <w:color w:val="auto"/>
              </w:rPr>
            </w:pPr>
            <w:r>
              <w:rPr>
                <w:rFonts w:ascii="Arial" w:cs="Arial" w:eastAsia="Arial" w:hAnsi="Arial"/>
                <w:sz w:val="18"/>
                <w:szCs w:val="18"/>
                <w:color w:val="auto"/>
              </w:rPr>
              <w:t>Termination of Security 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26"/>
        </w:trPr>
        <w:tc>
          <w:tcPr>
            <w:tcW w:w="1100" w:type="dxa"/>
            <w:vAlign w:val="bottom"/>
          </w:tcPr>
          <w:p>
            <w:pPr>
              <w:spacing w:after="0"/>
              <w:rPr>
                <w:sz w:val="24"/>
                <w:szCs w:val="24"/>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2"/>
              </w:rPr>
              <w:t>ARTICLE 11.</w:t>
            </w:r>
          </w:p>
        </w:tc>
        <w:tc>
          <w:tcPr>
            <w:tcW w:w="16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40" w:type="dxa"/>
            <w:vAlign w:val="bottom"/>
          </w:tcPr>
          <w:p>
            <w:pPr>
              <w:jc w:val="center"/>
              <w:ind w:left="492"/>
              <w:spacing w:after="0"/>
              <w:rPr>
                <w:sz w:val="20"/>
                <w:szCs w:val="20"/>
                <w:color w:val="auto"/>
              </w:rPr>
            </w:pPr>
            <w:r>
              <w:rPr>
                <w:rFonts w:ascii="Arial" w:cs="Arial" w:eastAsia="Arial" w:hAnsi="Arial"/>
                <w:sz w:val="18"/>
                <w:szCs w:val="18"/>
                <w:color w:val="auto"/>
                <w:w w:val="93"/>
              </w:rPr>
              <w:t>NOTE GUARANTEES</w:t>
            </w:r>
          </w:p>
        </w:tc>
        <w:tc>
          <w:tcPr>
            <w:tcW w:w="1680" w:type="dxa"/>
            <w:vAlign w:val="bottom"/>
          </w:tcPr>
          <w:p>
            <w:pPr>
              <w:spacing w:after="0"/>
              <w:rPr>
                <w:sz w:val="19"/>
                <w:szCs w:val="19"/>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8540" w:type="dxa"/>
            <w:vAlign w:val="bottom"/>
          </w:tcPr>
          <w:p>
            <w:pPr>
              <w:ind w:left="140"/>
              <w:spacing w:after="0"/>
              <w:rPr>
                <w:sz w:val="20"/>
                <w:szCs w:val="20"/>
                <w:color w:val="auto"/>
              </w:rPr>
            </w:pPr>
            <w:r>
              <w:rPr>
                <w:rFonts w:ascii="Arial" w:cs="Arial" w:eastAsia="Arial" w:hAnsi="Arial"/>
                <w:sz w:val="18"/>
                <w:szCs w:val="18"/>
                <w:color w:val="auto"/>
              </w:rPr>
              <w:t>Note Guarantee</w:t>
            </w: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8540" w:type="dxa"/>
            <w:vAlign w:val="bottom"/>
          </w:tcPr>
          <w:p>
            <w:pPr>
              <w:ind w:left="140"/>
              <w:spacing w:after="0"/>
              <w:rPr>
                <w:sz w:val="20"/>
                <w:szCs w:val="20"/>
                <w:color w:val="auto"/>
              </w:rPr>
            </w:pPr>
            <w:r>
              <w:rPr>
                <w:rFonts w:ascii="Arial" w:cs="Arial" w:eastAsia="Arial" w:hAnsi="Arial"/>
                <w:sz w:val="18"/>
                <w:szCs w:val="18"/>
                <w:color w:val="auto"/>
              </w:rPr>
              <w:t>Limitation on Guarantor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8540" w:type="dxa"/>
            <w:vAlign w:val="bottom"/>
          </w:tcPr>
          <w:p>
            <w:pPr>
              <w:ind w:left="140"/>
              <w:spacing w:after="0"/>
              <w:rPr>
                <w:sz w:val="20"/>
                <w:szCs w:val="20"/>
                <w:color w:val="auto"/>
              </w:rPr>
            </w:pPr>
            <w:r>
              <w:rPr>
                <w:rFonts w:ascii="Arial" w:cs="Arial" w:eastAsia="Arial" w:hAnsi="Arial"/>
                <w:sz w:val="18"/>
                <w:szCs w:val="18"/>
                <w:color w:val="auto"/>
              </w:rPr>
              <w:t>Execution and Delivery of Note Guarantee</w:t>
            </w:r>
          </w:p>
        </w:tc>
        <w:tc>
          <w:tcPr>
            <w:tcW w:w="1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8540" w:type="dxa"/>
            <w:vAlign w:val="bottom"/>
          </w:tcPr>
          <w:p>
            <w:pPr>
              <w:ind w:left="140"/>
              <w:spacing w:after="0"/>
              <w:rPr>
                <w:sz w:val="20"/>
                <w:szCs w:val="20"/>
                <w:color w:val="auto"/>
              </w:rPr>
            </w:pPr>
            <w:r>
              <w:rPr>
                <w:rFonts w:ascii="Arial" w:cs="Arial" w:eastAsia="Arial" w:hAnsi="Arial"/>
                <w:sz w:val="18"/>
                <w:szCs w:val="18"/>
                <w:color w:val="auto"/>
              </w:rPr>
              <w:t>Guarantors May Consolidate, etc., on Certain Terms</w:t>
            </w:r>
          </w:p>
        </w:tc>
        <w:tc>
          <w:tcPr>
            <w:tcW w:w="1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11.05</w:t>
            </w:r>
          </w:p>
        </w:tc>
        <w:tc>
          <w:tcPr>
            <w:tcW w:w="8540" w:type="dxa"/>
            <w:vAlign w:val="bottom"/>
          </w:tcPr>
          <w:p>
            <w:pPr>
              <w:ind w:left="140"/>
              <w:spacing w:after="0"/>
              <w:rPr>
                <w:sz w:val="20"/>
                <w:szCs w:val="20"/>
                <w:color w:val="auto"/>
              </w:rPr>
            </w:pPr>
            <w:r>
              <w:rPr>
                <w:rFonts w:ascii="Arial" w:cs="Arial" w:eastAsia="Arial" w:hAnsi="Arial"/>
                <w:sz w:val="18"/>
                <w:szCs w:val="18"/>
                <w:color w:val="auto"/>
              </w:rPr>
              <w:t>Release of Guarantees</w:t>
            </w: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11.06</w:t>
            </w:r>
          </w:p>
        </w:tc>
        <w:tc>
          <w:tcPr>
            <w:tcW w:w="8540" w:type="dxa"/>
            <w:vAlign w:val="bottom"/>
          </w:tcPr>
          <w:p>
            <w:pPr>
              <w:ind w:left="140"/>
              <w:spacing w:after="0"/>
              <w:rPr>
                <w:sz w:val="20"/>
                <w:szCs w:val="20"/>
                <w:color w:val="auto"/>
              </w:rPr>
            </w:pPr>
            <w:r>
              <w:rPr>
                <w:rFonts w:ascii="Arial" w:cs="Arial" w:eastAsia="Arial" w:hAnsi="Arial"/>
                <w:sz w:val="18"/>
                <w:szCs w:val="18"/>
                <w:color w:val="auto"/>
              </w:rPr>
              <w:t>Additional Note Guarantees</w:t>
            </w: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26"/>
        </w:trPr>
        <w:tc>
          <w:tcPr>
            <w:tcW w:w="1100" w:type="dxa"/>
            <w:vAlign w:val="bottom"/>
          </w:tcPr>
          <w:p>
            <w:pPr>
              <w:spacing w:after="0"/>
              <w:rPr>
                <w:sz w:val="24"/>
                <w:szCs w:val="24"/>
                <w:color w:val="auto"/>
              </w:rPr>
            </w:pPr>
          </w:p>
        </w:tc>
        <w:tc>
          <w:tcPr>
            <w:tcW w:w="8540" w:type="dxa"/>
            <w:vAlign w:val="bottom"/>
          </w:tcPr>
          <w:p>
            <w:pPr>
              <w:jc w:val="center"/>
              <w:ind w:left="492"/>
              <w:spacing w:after="0"/>
              <w:rPr>
                <w:sz w:val="20"/>
                <w:szCs w:val="20"/>
                <w:color w:val="auto"/>
              </w:rPr>
            </w:pPr>
            <w:r>
              <w:rPr>
                <w:rFonts w:ascii="Arial" w:cs="Arial" w:eastAsia="Arial" w:hAnsi="Arial"/>
                <w:sz w:val="18"/>
                <w:szCs w:val="18"/>
                <w:color w:val="auto"/>
                <w:w w:val="94"/>
              </w:rPr>
              <w:t>ARTICLE 12.</w:t>
            </w:r>
          </w:p>
        </w:tc>
        <w:tc>
          <w:tcPr>
            <w:tcW w:w="16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4"/>
              </w:rPr>
              <w:t>SATISFACTION AND DISCHARGE</w:t>
            </w:r>
          </w:p>
        </w:tc>
        <w:tc>
          <w:tcPr>
            <w:tcW w:w="1680" w:type="dxa"/>
            <w:vAlign w:val="bottom"/>
          </w:tcPr>
          <w:p>
            <w:pPr>
              <w:spacing w:after="0"/>
              <w:rPr>
                <w:sz w:val="19"/>
                <w:szCs w:val="19"/>
                <w:color w:val="auto"/>
              </w:rPr>
            </w:pPr>
          </w:p>
        </w:tc>
      </w:tr>
      <w:tr>
        <w:trPr>
          <w:trHeight w:val="426"/>
        </w:trPr>
        <w:tc>
          <w:tcPr>
            <w:tcW w:w="1100" w:type="dxa"/>
            <w:vAlign w:val="bottom"/>
          </w:tcPr>
          <w:p>
            <w:pPr>
              <w:spacing w:after="0"/>
              <w:rPr>
                <w:sz w:val="20"/>
                <w:szCs w:val="20"/>
                <w:color w:val="auto"/>
              </w:rPr>
            </w:pPr>
            <w:r>
              <w:rPr>
                <w:rFonts w:ascii="Arial" w:cs="Arial" w:eastAsia="Arial" w:hAnsi="Arial"/>
                <w:sz w:val="18"/>
                <w:szCs w:val="18"/>
                <w:color w:val="auto"/>
                <w:w w:val="98"/>
              </w:rPr>
              <w:t>Section 12.01</w:t>
            </w:r>
          </w:p>
        </w:tc>
        <w:tc>
          <w:tcPr>
            <w:tcW w:w="8540" w:type="dxa"/>
            <w:vAlign w:val="bottom"/>
          </w:tcPr>
          <w:p>
            <w:pPr>
              <w:ind w:left="140"/>
              <w:spacing w:after="0"/>
              <w:rPr>
                <w:sz w:val="20"/>
                <w:szCs w:val="20"/>
                <w:color w:val="auto"/>
              </w:rPr>
            </w:pPr>
            <w:r>
              <w:rPr>
                <w:rFonts w:ascii="Arial" w:cs="Arial" w:eastAsia="Arial" w:hAnsi="Arial"/>
                <w:sz w:val="18"/>
                <w:szCs w:val="18"/>
                <w:color w:val="auto"/>
              </w:rPr>
              <w:t>Satisfaction and Discharge</w:t>
            </w: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12.02</w:t>
            </w:r>
          </w:p>
        </w:tc>
        <w:tc>
          <w:tcPr>
            <w:tcW w:w="854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16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26"/>
        </w:trPr>
        <w:tc>
          <w:tcPr>
            <w:tcW w:w="1100" w:type="dxa"/>
            <w:vAlign w:val="bottom"/>
          </w:tcPr>
          <w:p>
            <w:pPr>
              <w:spacing w:after="0"/>
              <w:rPr>
                <w:sz w:val="24"/>
                <w:szCs w:val="24"/>
                <w:color w:val="auto"/>
              </w:rPr>
            </w:pPr>
          </w:p>
        </w:tc>
        <w:tc>
          <w:tcPr>
            <w:tcW w:w="8540" w:type="dxa"/>
            <w:vAlign w:val="bottom"/>
          </w:tcPr>
          <w:p>
            <w:pPr>
              <w:jc w:val="center"/>
              <w:ind w:left="492"/>
              <w:spacing w:after="0"/>
              <w:rPr>
                <w:sz w:val="20"/>
                <w:szCs w:val="20"/>
                <w:color w:val="auto"/>
              </w:rPr>
            </w:pPr>
            <w:r>
              <w:rPr>
                <w:rFonts w:ascii="Arial" w:cs="Arial" w:eastAsia="Arial" w:hAnsi="Arial"/>
                <w:sz w:val="18"/>
                <w:szCs w:val="18"/>
                <w:color w:val="auto"/>
                <w:w w:val="94"/>
              </w:rPr>
              <w:t>ARTICLE 13.</w:t>
            </w:r>
          </w:p>
        </w:tc>
        <w:tc>
          <w:tcPr>
            <w:tcW w:w="16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8540" w:type="dxa"/>
            <w:vAlign w:val="bottom"/>
          </w:tcPr>
          <w:p>
            <w:pPr>
              <w:jc w:val="center"/>
              <w:ind w:left="512"/>
              <w:spacing w:after="0"/>
              <w:rPr>
                <w:sz w:val="20"/>
                <w:szCs w:val="20"/>
                <w:color w:val="auto"/>
              </w:rPr>
            </w:pPr>
            <w:r>
              <w:rPr>
                <w:rFonts w:ascii="Arial" w:cs="Arial" w:eastAsia="Arial" w:hAnsi="Arial"/>
                <w:sz w:val="18"/>
                <w:szCs w:val="18"/>
                <w:color w:val="auto"/>
                <w:w w:val="98"/>
              </w:rPr>
              <w:t>JOINT AND SEVERAL LIABILITY</w:t>
            </w:r>
          </w:p>
        </w:tc>
        <w:tc>
          <w:tcPr>
            <w:tcW w:w="1680" w:type="dxa"/>
            <w:vAlign w:val="bottom"/>
          </w:tcPr>
          <w:p>
            <w:pPr>
              <w:spacing w:after="0"/>
              <w:rPr>
                <w:sz w:val="19"/>
                <w:szCs w:val="19"/>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w w:val="98"/>
              </w:rPr>
              <w:t>Section 13.01</w:t>
            </w:r>
          </w:p>
        </w:tc>
        <w:tc>
          <w:tcPr>
            <w:tcW w:w="8540" w:type="dxa"/>
            <w:vAlign w:val="bottom"/>
          </w:tcPr>
          <w:p>
            <w:pPr>
              <w:ind w:left="140"/>
              <w:spacing w:after="0"/>
              <w:rPr>
                <w:sz w:val="20"/>
                <w:szCs w:val="20"/>
                <w:color w:val="auto"/>
              </w:rPr>
            </w:pPr>
            <w:r>
              <w:rPr>
                <w:rFonts w:ascii="Arial" w:cs="Arial" w:eastAsia="Arial" w:hAnsi="Arial"/>
                <w:sz w:val="18"/>
                <w:szCs w:val="18"/>
                <w:color w:val="auto"/>
              </w:rPr>
              <w:t>Joint and Several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65"/>
        </w:trPr>
        <w:tc>
          <w:tcPr>
            <w:tcW w:w="1100" w:type="dxa"/>
            <w:vAlign w:val="bottom"/>
          </w:tcPr>
          <w:p>
            <w:pPr>
              <w:spacing w:after="0"/>
              <w:rPr>
                <w:sz w:val="24"/>
                <w:szCs w:val="24"/>
                <w:color w:val="auto"/>
              </w:rPr>
            </w:pPr>
          </w:p>
        </w:tc>
        <w:tc>
          <w:tcPr>
            <w:tcW w:w="8540" w:type="dxa"/>
            <w:vAlign w:val="bottom"/>
          </w:tcPr>
          <w:p>
            <w:pPr>
              <w:ind w:left="4540"/>
              <w:spacing w:after="0"/>
              <w:rPr>
                <w:sz w:val="20"/>
                <w:szCs w:val="20"/>
                <w:color w:val="auto"/>
              </w:rPr>
            </w:pPr>
            <w:r>
              <w:rPr>
                <w:rFonts w:ascii="Arial" w:cs="Arial" w:eastAsia="Arial" w:hAnsi="Arial"/>
                <w:sz w:val="18"/>
                <w:szCs w:val="18"/>
                <w:color w:val="auto"/>
              </w:rPr>
              <w:t>iii</w:t>
            </w:r>
          </w:p>
        </w:tc>
        <w:tc>
          <w:tcPr>
            <w:tcW w:w="1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14.01</w:t>
            </w:r>
          </w:p>
        </w:tc>
        <w:tc>
          <w:tcPr>
            <w:tcW w:w="7760" w:type="dxa"/>
            <w:vAlign w:val="bottom"/>
          </w:tcPr>
          <w:p>
            <w:pPr>
              <w:ind w:left="14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14.02</w:t>
            </w:r>
          </w:p>
        </w:tc>
        <w:tc>
          <w:tcPr>
            <w:tcW w:w="776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14.03</w:t>
            </w:r>
          </w:p>
        </w:tc>
        <w:tc>
          <w:tcPr>
            <w:tcW w:w="776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14.04</w:t>
            </w:r>
          </w:p>
        </w:tc>
        <w:tc>
          <w:tcPr>
            <w:tcW w:w="776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2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14.05</w:t>
            </w:r>
          </w:p>
        </w:tc>
        <w:tc>
          <w:tcPr>
            <w:tcW w:w="776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and Equity 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14.06</w:t>
            </w:r>
          </w:p>
        </w:tc>
        <w:tc>
          <w:tcPr>
            <w:tcW w:w="776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14.07</w:t>
            </w:r>
          </w:p>
        </w:tc>
        <w:tc>
          <w:tcPr>
            <w:tcW w:w="776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14.08</w:t>
            </w:r>
          </w:p>
        </w:tc>
        <w:tc>
          <w:tcPr>
            <w:tcW w:w="776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14.09</w:t>
            </w:r>
          </w:p>
        </w:tc>
        <w:tc>
          <w:tcPr>
            <w:tcW w:w="77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14.10</w:t>
            </w:r>
          </w:p>
        </w:tc>
        <w:tc>
          <w:tcPr>
            <w:tcW w:w="7760" w:type="dxa"/>
            <w:vAlign w:val="bottom"/>
          </w:tcPr>
          <w:p>
            <w:pPr>
              <w:ind w:left="140"/>
              <w:spacing w:after="0"/>
              <w:rPr>
                <w:sz w:val="20"/>
                <w:szCs w:val="20"/>
                <w:color w:val="auto"/>
              </w:rPr>
            </w:pPr>
            <w:r>
              <w:rPr>
                <w:rFonts w:ascii="Arial" w:cs="Arial" w:eastAsia="Arial" w:hAnsi="Arial"/>
                <w:sz w:val="18"/>
                <w:szCs w:val="18"/>
                <w:color w:val="auto"/>
              </w:rPr>
              <w:t>Counterpart Originals</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w w:val="98"/>
              </w:rPr>
              <w:t>Section 14.11</w:t>
            </w:r>
          </w:p>
        </w:tc>
        <w:tc>
          <w:tcPr>
            <w:tcW w:w="776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24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11" w:name="page12"/>
    <w:bookmarkEnd w:id="11"/>
    <w:p>
      <w:pPr>
        <w:ind w:left="5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A-1</w:t>
      </w:r>
      <w:r>
        <w:rPr>
          <w:sz w:val="20"/>
          <w:szCs w:val="20"/>
          <w:color w:val="auto"/>
        </w:rPr>
        <w:tab/>
      </w:r>
      <w:r>
        <w:rPr>
          <w:rFonts w:ascii="Arial" w:cs="Arial" w:eastAsia="Arial" w:hAnsi="Arial"/>
          <w:sz w:val="16"/>
          <w:szCs w:val="16"/>
          <w:color w:val="auto"/>
        </w:rPr>
        <w:t>FORM OF NOTE</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A-2</w:t>
      </w:r>
      <w:r>
        <w:rPr>
          <w:sz w:val="20"/>
          <w:szCs w:val="20"/>
          <w:color w:val="auto"/>
        </w:rPr>
        <w:tab/>
      </w:r>
      <w:r>
        <w:rPr>
          <w:rFonts w:ascii="Arial" w:cs="Arial" w:eastAsia="Arial" w:hAnsi="Arial"/>
          <w:sz w:val="16"/>
          <w:szCs w:val="16"/>
          <w:color w:val="auto"/>
        </w:rPr>
        <w:t>FORM OF REGULATION S TEMPORARY GLOBAL NOTE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CERTIFICATE OF TRANSFER</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CERTIFICATE OF EXCHANGE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CERTIFICATE OF ACQUIRING INSTITUTIONAL ACCREDITED INVESTOR</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GUARANTEE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SUPPLEMENTAL INDENTURE</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COLLATERAL DOCUMENTS</w:t>
      </w:r>
    </w:p>
    <w:p>
      <w:pPr>
        <w:sectPr>
          <w:pgSz w:w="11900" w:h="16838" w:orient="portrait"/>
          <w:cols w:equalWidth="0" w:num="1">
            <w:col w:w="10219"/>
          </w:cols>
          <w:pgMar w:left="240" w:top="280" w:right="1440" w:bottom="1440" w:gutter="0" w:footer="0" w:header="0"/>
        </w:sectPr>
      </w:pPr>
    </w:p>
    <w:bookmarkStart w:id="12" w:name="page13"/>
    <w:bookmarkEnd w:id="12"/>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May 22, 2013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and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as joint and several obligors, and Kevyn, LLC, a Nevada limited liability company, Las Vegas Jet,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18"/>
          <w:szCs w:val="18"/>
          <w:i w:val="1"/>
          <w:iCs w:val="1"/>
          <w:u w:val="single" w:color="auto"/>
          <w:color w:val="auto"/>
        </w:rPr>
        <w:t>Initial Guarantors</w:t>
      </w:r>
      <w:r>
        <w:rPr>
          <w:rFonts w:ascii="Arial" w:cs="Arial" w:eastAsia="Arial" w:hAnsi="Arial"/>
          <w:sz w:val="18"/>
          <w:szCs w:val="18"/>
          <w:color w:val="auto"/>
        </w:rPr>
        <w:t>”)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Issuers, the Initial Guarantors and the Trustee agree as follows for the benefit of each other and for the equal and ratable benefit of the Holders (as defined) of the 4.25% Senior Notes due 2023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2020 of the Issuers that have been issued on the date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of the Issuers that have been issued on the date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2017 of the Issuers that have been issued on the date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Notes</w:t>
      </w:r>
      <w:r>
        <w:rPr>
          <w:rFonts w:ascii="Arial" w:cs="Arial" w:eastAsia="Arial" w:hAnsi="Arial"/>
          <w:sz w:val="18"/>
          <w:szCs w:val="18"/>
          <w:color w:val="auto"/>
        </w:rPr>
        <w:t>” means the 5.375% First Mortgage Notes due 2022 of the Issuers that have been issued on the date of this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Additional Notes (other than the Initial Notes) issued under this Indenture in accordance with Section 2.13 hereof, as part of the same series as the Initial Notes. Any Additional Notes shall vote on all matters as one class with the Initial Notes being issued on the date hereof, including, without limitation, waivers, amendments and redemptions.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w:t>
      </w:r>
    </w:p>
    <w:p>
      <w:pPr>
        <w:spacing w:after="0" w:line="90" w:lineRule="exact"/>
        <w:rPr>
          <w:sz w:val="20"/>
          <w:szCs w:val="20"/>
          <w:color w:val="auto"/>
        </w:rPr>
      </w:pPr>
    </w:p>
    <w:p>
      <w:pPr>
        <w:ind w:right="600" w:firstLine="921"/>
        <w:spacing w:after="0" w:line="268" w:lineRule="auto"/>
        <w:tabs>
          <w:tab w:leader="none" w:pos="116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yield, under the heading which represents the average for the immediately preceding week, appearing in the most recently published statistical release designated “H.15(519)” or any successor publication which is published weekly by the Board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80" w:right="339" w:bottom="1440" w:gutter="0" w:footer="0" w:header="0"/>
        </w:sectPr>
      </w:pPr>
    </w:p>
    <w:bookmarkStart w:id="13" w:name="page14"/>
    <w:bookmarkEnd w:id="1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32" w:lineRule="exact"/>
        <w:rPr>
          <w:sz w:val="20"/>
          <w:szCs w:val="20"/>
          <w:color w:val="auto"/>
        </w:rPr>
      </w:pPr>
    </w:p>
    <w:p>
      <w:pPr>
        <w:ind w:right="100" w:firstLine="921"/>
        <w:spacing w:after="0" w:line="306" w:lineRule="auto"/>
        <w:tabs>
          <w:tab w:leader="none" w:pos="1162"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 principal amount) equal to the Comparable Treasury Price for such redemption date.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Adjusted Treasury Rate shall be calculated on the third Business Day preceding the redemption date or, in the case of a satisfaction and discharge or a defeasance, on the third Business Day prior to the date on which Wynn Las Vegas deposits the amount required under this Indenture most nearly equal to the period from the redemption date to the maturity date.</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additional paying agent.</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 w:name="page15"/>
    <w:bookmarkEnd w:id="14"/>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sz w:val="20"/>
          <w:szCs w:val="20"/>
          <w:color w:val="auto"/>
        </w:rPr>
      </w:pPr>
    </w:p>
    <w:p>
      <w:pPr>
        <w:ind w:right="520" w:firstLine="921"/>
        <w:spacing w:after="0" w:line="268"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case of an association or business entity, any and all shares, interests, participations, rights or other equivalents (however designated)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corporate stock;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 w:name="page16"/>
    <w:bookmarkEnd w:id="15"/>
    <w:p>
      <w:pPr>
        <w:ind w:left="-20" w:right="420" w:firstLine="921"/>
        <w:spacing w:after="0" w:line="268" w:lineRule="auto"/>
        <w:tabs>
          <w:tab w:leader="none" w:pos="114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20" w:firstLine="921"/>
        <w:spacing w:after="0" w:line="259" w:lineRule="auto"/>
        <w:tabs>
          <w:tab w:leader="none" w:pos="114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20" w:right="220" w:firstLine="921"/>
        <w:spacing w:after="0" w:line="259"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Issuers and the Guarantors, taken as a whole, to any “person” (as that term is used in Section 13(d)(3) of the Exchange Act), other than to the Principal or a Related Party of the Principal;</w:t>
      </w:r>
    </w:p>
    <w:p>
      <w:pPr>
        <w:spacing w:after="0" w:line="59" w:lineRule="exact"/>
        <w:rPr>
          <w:rFonts w:ascii="Arial" w:cs="Arial" w:eastAsia="Arial" w:hAnsi="Arial"/>
          <w:sz w:val="18"/>
          <w:szCs w:val="18"/>
          <w:color w:val="auto"/>
        </w:rPr>
      </w:pPr>
    </w:p>
    <w:p>
      <w:pPr>
        <w:ind w:left="1140" w:hanging="239"/>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40" w:hanging="239"/>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20" w:right="200" w:firstLine="1492"/>
        <w:spacing w:after="0" w:line="332" w:lineRule="auto"/>
        <w:tabs>
          <w:tab w:leader="none" w:pos="1702"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 or</w:t>
      </w:r>
    </w:p>
    <w:p>
      <w:pPr>
        <w:spacing w:after="0" w:line="4" w:lineRule="exact"/>
        <w:rPr>
          <w:rFonts w:ascii="Arial" w:cs="Arial" w:eastAsia="Arial" w:hAnsi="Arial"/>
          <w:sz w:val="16"/>
          <w:szCs w:val="16"/>
          <w:color w:val="auto"/>
        </w:rPr>
      </w:pPr>
    </w:p>
    <w:p>
      <w:pPr>
        <w:ind w:left="-20" w:right="400" w:firstLine="1492"/>
        <w:spacing w:after="0" w:line="259" w:lineRule="auto"/>
        <w:tabs>
          <w:tab w:leader="none" w:pos="171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“person” (as defined in clause (1) above),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59" w:lineRule="exact"/>
        <w:rPr>
          <w:rFonts w:ascii="Arial" w:cs="Arial" w:eastAsia="Arial" w:hAnsi="Arial"/>
          <w:sz w:val="18"/>
          <w:szCs w:val="18"/>
          <w:color w:val="auto"/>
        </w:rPr>
      </w:pPr>
    </w:p>
    <w:p>
      <w:pPr>
        <w:ind w:left="1140" w:hanging="239"/>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40" w:hanging="239"/>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20" w:right="80" w:firstLine="921"/>
        <w:spacing w:after="0" w:line="254"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of the surviving or transferee Person constituting a majority of the outstanding shares of such Voting Stock of such surviving or transferee Person (immediately after giving effect to such issuance);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an event constituting a “change of control” under the indenture governing the 2017 Notes to the extent any of the 2017 Notes are then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84" w:lineRule="exact"/>
        <w:rPr>
          <w:sz w:val="20"/>
          <w:szCs w:val="20"/>
          <w:color w:val="auto"/>
        </w:rPr>
      </w:pPr>
    </w:p>
    <w:p>
      <w:pPr>
        <w:ind w:right="24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then outstanding;</w:t>
      </w:r>
    </w:p>
    <w:p>
      <w:pPr>
        <w:spacing w:after="0" w:line="50"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then outstanding; or</w:t>
      </w:r>
    </w:p>
    <w:p>
      <w:pPr>
        <w:spacing w:after="0" w:line="50" w:lineRule="exact"/>
        <w:rPr>
          <w:rFonts w:ascii="Arial" w:cs="Arial" w:eastAsia="Arial" w:hAnsi="Arial"/>
          <w:sz w:val="18"/>
          <w:szCs w:val="18"/>
          <w:color w:val="auto"/>
        </w:rPr>
      </w:pPr>
    </w:p>
    <w:p>
      <w:pPr>
        <w:ind w:left="1260" w:hanging="339"/>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event constituting a “change of control” under the indenture governing the 2022 Notes to the extent any of the 2022 Notes are then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shall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Ratings Event.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means Clearstream Banking, S.A.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May 22,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has the meaning given to such term in the Pledge Agreement.</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shall mean Deutsche Bank Trust Company Americas, in its capacity as collateral agent under the Pledge Agreement and the Intercreditor Agreement, and its successors and assigns in such capacity.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Pledge Agreement;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Intercreditor Agreement;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instruments or filings that evidence, perfect or acknowledge the security interest of the Collateral Agent in the Collateral,</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this Indenture and the Collateral Documents.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Arial" w:cs="Arial" w:eastAsia="Arial" w:hAnsi="Arial"/>
          <w:sz w:val="16"/>
          <w:szCs w:val="16"/>
          <w:i w:val="1"/>
          <w:iCs w:val="1"/>
          <w:color w:val="auto"/>
        </w:rPr>
        <w:t>Remaining Life</w:t>
      </w:r>
      <w:r>
        <w:rPr>
          <w:rFonts w:ascii="Arial" w:cs="Arial" w:eastAsia="Arial" w:hAnsi="Arial"/>
          <w:sz w:val="16"/>
          <w:szCs w:val="16"/>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 w:name="page18"/>
    <w:bookmarkEnd w:id="17"/>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hereof; or</w:t>
      </w:r>
    </w:p>
    <w:p>
      <w:pPr>
        <w:spacing w:after="0" w:line="90"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14.01 hereof or such other address as to which the Trustee may give notice to the Issuers.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2.06 hereof,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except that such Note shall not bear the Global Note Legend and shall not have the “Schedule of Exchanges of Interest in the Global Note” attached thereto.</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Officer</w:t>
      </w:r>
      <w:r>
        <w:rPr>
          <w:rFonts w:ascii="Arial" w:cs="Arial" w:eastAsia="Arial" w:hAnsi="Arial"/>
          <w:sz w:val="16"/>
          <w:szCs w:val="16"/>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Discharge</w:t>
      </w:r>
      <w:r>
        <w:rPr>
          <w:rFonts w:ascii="Arial" w:cs="Arial" w:eastAsia="Arial" w:hAnsi="Arial"/>
          <w:sz w:val="18"/>
          <w:szCs w:val="18"/>
          <w:color w:val="auto"/>
        </w:rPr>
        <w:t>” has the meaning given in the Intercreditor Agreement.</w:t>
      </w:r>
    </w:p>
    <w:p>
      <w:pPr>
        <w:spacing w:after="0" w:line="171"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Domestic Subsidiary</w:t>
      </w:r>
      <w:r>
        <w:rPr>
          <w:rFonts w:ascii="Arial" w:cs="Arial" w:eastAsia="Arial" w:hAnsi="Arial"/>
          <w:sz w:val="15"/>
          <w:szCs w:val="15"/>
          <w:color w:val="auto"/>
        </w:rPr>
        <w:t>” means any Subsidiary of Wynn Las Vegas (other than Wynn Capital) that was formed under the laws of the United States or any state of the United States or the District of Columbia or that guarantees or otherwise provides direct credit support for any Indebtedness of Wynn Las Vegas.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Existing Notes</w:t>
      </w:r>
      <w:r>
        <w:rPr>
          <w:rFonts w:ascii="Arial" w:cs="Arial" w:eastAsia="Arial" w:hAnsi="Arial"/>
          <w:sz w:val="18"/>
          <w:szCs w:val="18"/>
          <w:color w:val="auto"/>
        </w:rPr>
        <w:t xml:space="preserve">” means the 2017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and the 2022 Notes.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any Subsidiary of Wynn Las Vegas, other than Wynn Capital, that is designated by the Board of Directors of Wynn Capital as an Excluded Subsidiary pursuant to a resolution of the Board of Directors (and any Subsidiary of each such Excluded Subsidiary), but only to the extent that such Subsidiary of Wynn Las Vegas does not, directly or indirectly, guarantee or otherwise provide direct credit support for any Indebtedness of Wynn Las Vegas and is not subject to any covenants in, or Liens securing, the Existing Notes; provided that if any Excluded Subsidiary directly or indirectly, guarantees or otherwise provides direct credit support for any Indebtedness of Wynn Las Vegas or becomes subject to the covenants in, or Liens securing, the Existing Notes, such Excluded Subsidiary will thereafter not be an Excluded Subsidiary.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 as operator of the Euroclear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$25.0 million or (2) the Board of Directors of Wynn Capital, in the event of any value greater than $25.0 million (in each case, unless otherwise provided in this Indenture).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means all Indebtedness of Wynn Las Vegas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hereof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Guarantors.</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Guarantors is, or may be, at any time subject.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9" w:name="page20"/>
    <w:bookmarkEnd w:id="19"/>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this Indenture or at any time thereafter to own, lease, operate or otherwise conduct the gaming business of Wynn Las Vegas or any of the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Note Legend</w:t>
      </w:r>
      <w:r>
        <w:rPr>
          <w:rFonts w:ascii="Arial" w:cs="Arial" w:eastAsia="Arial" w:hAnsi="Arial"/>
          <w:sz w:val="16"/>
          <w:szCs w:val="16"/>
          <w:color w:val="auto"/>
        </w:rPr>
        <w:t>” means the legend set forth in Section 2.06(f)(2), which is required to be placed on all Global Notes issued under this Indenture.</w:t>
      </w:r>
    </w:p>
    <w:p>
      <w:pPr>
        <w:spacing w:after="0" w:line="19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Notes</w:t>
      </w:r>
      <w:r>
        <w:rPr>
          <w:rFonts w:ascii="Arial" w:cs="Arial" w:eastAsia="Arial" w:hAnsi="Arial"/>
          <w:sz w:val="16"/>
          <w:szCs w:val="16"/>
          <w:color w:val="auto"/>
        </w:rPr>
        <w:t xml:space="preserve">” means each of the global Notes issued in accordance with Section 2.01 and substantially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39"/>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3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the Domestic Subsidiaries, other than Immaterial Subsidiaries and Excluded Subsidiaries, and</w:t>
      </w:r>
    </w:p>
    <w:p>
      <w:pPr>
        <w:spacing w:after="0" w:line="90" w:lineRule="exact"/>
        <w:rPr>
          <w:sz w:val="20"/>
          <w:szCs w:val="20"/>
          <w:color w:val="auto"/>
        </w:rPr>
      </w:pPr>
    </w:p>
    <w:p>
      <w:pPr>
        <w:jc w:val="center"/>
        <w:ind w:left="5680" w:right="820" w:hanging="4759"/>
        <w:spacing w:after="0" w:line="440" w:lineRule="auto"/>
        <w:tabs>
          <w:tab w:leader="none" w:pos="11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this Indenture, 8</w:t>
      </w:r>
    </w:p>
    <w:p>
      <w:pPr>
        <w:sectPr>
          <w:pgSz w:w="11900" w:h="16838" w:orient="portrait"/>
          <w:cols w:equalWidth="0" w:num="1">
            <w:col w:w="11420"/>
          </w:cols>
          <w:pgMar w:left="240" w:top="280" w:right="239" w:bottom="1440" w:gutter="0" w:footer="0" w:header="0"/>
        </w:sectPr>
      </w:pPr>
    </w:p>
    <w:bookmarkStart w:id="20" w:name="page21"/>
    <w:bookmarkEnd w:id="2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interest rate swap agreements (whether from fixed to floating or from floating to fixed), interest rate cap agreements and interest rate collar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84" w:lineRule="exact"/>
        <w:rPr>
          <w:sz w:val="20"/>
          <w:szCs w:val="20"/>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 Only registered holders shall have any rights under this Indenture.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Subsidiary whose total assets, as of that date, are less than $500,000 and whose total revenues for the most recent 12-month period do not exceed $500,000; provided that a Subsidiary shall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1" w:name="page22"/>
    <w:bookmarkEnd w:id="2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90"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right="240" w:firstLine="1492"/>
        <w:spacing w:after="0" w:line="268" w:lineRule="auto"/>
        <w:tabs>
          <w:tab w:leader="none" w:pos="172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740" w:hanging="248"/>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90" w:lineRule="exact"/>
        <w:rPr>
          <w:sz w:val="20"/>
          <w:szCs w:val="20"/>
          <w:color w:val="auto"/>
        </w:rPr>
      </w:pPr>
    </w:p>
    <w:p>
      <w:pPr>
        <w:ind w:left="460" w:right="140" w:firstLine="438"/>
        <w:spacing w:after="0" w:line="332" w:lineRule="auto"/>
        <w:rPr>
          <w:sz w:val="20"/>
          <w:szCs w:val="20"/>
          <w:color w:val="auto"/>
        </w:rPr>
      </w:pPr>
      <w:r>
        <w:rPr>
          <w:rFonts w:ascii="Arial" w:cs="Arial" w:eastAsia="Arial" w:hAnsi="Arial"/>
          <w:sz w:val="16"/>
          <w:szCs w:val="16"/>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Wynn Las Vegas.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Notes</w:t>
      </w:r>
      <w:r>
        <w:rPr>
          <w:rFonts w:ascii="Arial" w:cs="Arial" w:eastAsia="Arial" w:hAnsi="Arial"/>
          <w:sz w:val="16"/>
          <w:szCs w:val="16"/>
          <w:color w:val="auto"/>
        </w:rPr>
        <w:t>” means the first $500,000,000 aggregate principal amount of Notes issued under this Indenture on the date of this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Securities Inc. and J.P. Morgan Securities LLC.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22" w:name="page23"/>
    <w:bookmarkEnd w:id="2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are not also QIBs.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Las Vegas, as applicable.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has the meaning given to such term in the Pledge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Venture</w:t>
      </w:r>
      <w:r>
        <w:rPr>
          <w:rFonts w:ascii="Arial" w:cs="Arial" w:eastAsia="Arial" w:hAnsi="Arial"/>
          <w:sz w:val="18"/>
          <w:szCs w:val="18"/>
          <w:color w:val="auto"/>
        </w:rPr>
        <w:t>” means any partnership, corporation or other entity, in which up to and including 50% of the partnership interests, outstanding Voting Stock or other Equity Interests is owned, directly or indirectly, by Wynn Las Vegas and/or one or more of its Subsidiaries.</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Legal Holiday</w:t>
      </w:r>
      <w:r>
        <w:rPr>
          <w:rFonts w:ascii="Arial" w:cs="Arial" w:eastAsia="Arial" w:hAnsi="Arial"/>
          <w:sz w:val="16"/>
          <w:szCs w:val="16"/>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shall not be considered a Lien for purposes of this Indenture.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this Indenture and the Notes, executed pursuant to the provisions of this Indenture.</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85"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 corporation, a Designated Officer of such corporation;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 partnership, a Designated Officer of the general partner of such partnership; and</w:t>
      </w:r>
    </w:p>
    <w:p>
      <w:pPr>
        <w:spacing w:after="0" w:line="90" w:lineRule="exact"/>
        <w:rPr>
          <w:rFonts w:ascii="Arial" w:cs="Arial" w:eastAsia="Arial" w:hAnsi="Arial"/>
          <w:sz w:val="18"/>
          <w:szCs w:val="18"/>
          <w:color w:val="auto"/>
        </w:rPr>
      </w:pPr>
    </w:p>
    <w:p>
      <w:pPr>
        <w:ind w:right="340" w:firstLine="921"/>
        <w:spacing w:after="0" w:line="332"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with respect to any Person, a certificate signed on behalf of such Person by:</w:t>
      </w:r>
    </w:p>
    <w:p>
      <w:pPr>
        <w:spacing w:after="0" w:line="90"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 corporation, two Designated Officers of such corporation;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 partnership, two Designated Officers of the general partner of such partnership; and</w:t>
      </w:r>
    </w:p>
    <w:p>
      <w:pPr>
        <w:spacing w:after="0" w:line="90"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that meets the requirement of Section 14.05 hereof.</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Opinion of Counsel</w:t>
      </w:r>
      <w:r>
        <w:rPr>
          <w:rFonts w:ascii="Arial" w:cs="Arial" w:eastAsia="Arial" w:hAnsi="Arial"/>
          <w:sz w:val="16"/>
          <w:szCs w:val="16"/>
          <w:color w:val="auto"/>
        </w:rPr>
        <w:t>” means an opinion from legal counsel who is reasonably acceptable to the Trustee, that meets the requirements of Section 14.05 hereof. The counsel may be an employee of or counsel to Wynn Las Vegas, any Guarantor, as the case may be, or the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or any of the Guarantors becoming a subchapter “C” corporation under the Code, so long as, in connection with such transaction:</w:t>
      </w:r>
    </w:p>
    <w:p>
      <w:pPr>
        <w:spacing w:after="0" w:line="51" w:lineRule="exact"/>
        <w:rPr>
          <w:sz w:val="20"/>
          <w:szCs w:val="20"/>
          <w:color w:val="auto"/>
        </w:rPr>
      </w:pPr>
    </w:p>
    <w:p>
      <w:pPr>
        <w:ind w:right="80" w:firstLine="921"/>
        <w:spacing w:after="0" w:line="306"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4" w:name="page25"/>
    <w:bookmarkEnd w:id="24"/>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right="40" w:firstLine="8"/>
        <w:spacing w:after="0" w:line="255"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Indenture, the Notes, the Note Guarantees by the Guarantors and the Pledge Agreement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1160" w:hanging="239"/>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firstLine="921"/>
        <w:spacing w:after="0" w:line="268"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right="80" w:firstLine="921"/>
        <w:spacing w:after="0" w:line="259"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59"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(7) have been satisfied.</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shall not be considered a Person for purposes of this Indenture.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w:t>
      </w:r>
      <w:r>
        <w:rPr>
          <w:rFonts w:ascii="Arial" w:cs="Arial" w:eastAsia="Arial" w:hAnsi="Arial"/>
          <w:sz w:val="18"/>
          <w:szCs w:val="18"/>
          <w:color w:val="auto"/>
        </w:rPr>
        <w:t>” means the Pledge Agreement, dated as of the date of this Indenture, made by Wynn Las Vegas and Wynn Resorts Holdings in favor of Deutsche Bank Trust Company Americas, as collateral agent, to secure the obligations under this Indenture and the Notes, as amended, amended and restated, supplemented or otherwise modified from time to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5" w:name="page26"/>
    <w:bookmarkEnd w:id="25"/>
    <w:p>
      <w:pPr>
        <w:ind w:right="8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real estate or other physical facility or depreciable asset or securities the net book value of which on the date of determination exceeds the greater of $25.0 million and 2.0% of the Total Assets.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2.06(g)(1) hereof to be placed on all Notes issued under this Indenture except where otherwise permitted by the provisions of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(a) each of Moody’s and S&amp;P; and (b) if either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Capital’s Board of Directors) as a replacement agency for Moody’s or S&amp;P, or each of them, as the case may be.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Wynn Las Vegas to affect a Change of Control.</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Ratings Event</w:t>
      </w:r>
      <w:r>
        <w:rPr>
          <w:rFonts w:ascii="Arial" w:cs="Arial" w:eastAsia="Arial" w:hAnsi="Arial"/>
          <w:sz w:val="16"/>
          <w:szCs w:val="16"/>
          <w:color w:val="auto"/>
        </w:rPr>
        <w:t>” means the occurrence of the events described in (1) or (2) of this definition on, or within 60 days after the earlier of, (i) the occurrence of a Change of Control or (ii) public notice of the occurrence of a Change of Control or the intention by the Company to effect a Change of Control (which period shall be extended so long as the rating of the notes is under publicly announced consideration for a possible downgrade by any of the Rating Agencies):</w:t>
      </w:r>
    </w:p>
    <w:p>
      <w:pPr>
        <w:spacing w:after="0" w:line="26" w:lineRule="exact"/>
        <w:rPr>
          <w:sz w:val="20"/>
          <w:szCs w:val="20"/>
          <w:color w:val="auto"/>
        </w:rPr>
      </w:pPr>
    </w:p>
    <w:p>
      <w:pPr>
        <w:ind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50" w:lineRule="exact"/>
        <w:rPr>
          <w:rFonts w:ascii="Arial" w:cs="Arial" w:eastAsia="Arial" w:hAnsi="Arial"/>
          <w:sz w:val="18"/>
          <w:szCs w:val="18"/>
          <w:color w:val="auto"/>
        </w:rPr>
      </w:pPr>
    </w:p>
    <w:p>
      <w:pPr>
        <w:ind w:right="38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any primary U.S. Government securities dealer in New York City selected by Wynn Las Vegas.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 Comparable Treasury Issue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6" w:name="page27"/>
    <w:bookmarkEnd w:id="2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Note</w:t>
      </w:r>
      <w:r>
        <w:rPr>
          <w:rFonts w:ascii="Arial" w:cs="Arial" w:eastAsia="Arial" w:hAnsi="Arial"/>
          <w:sz w:val="18"/>
          <w:szCs w:val="18"/>
          <w:color w:val="auto"/>
        </w:rPr>
        <w:t>” means a Regulation S Temporary Global Note or Regulation S Permanent Global Note, as appropriate.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Regulation S Permanent Global Note</w:t>
      </w:r>
      <w:r>
        <w:rPr>
          <w:rFonts w:ascii="Arial" w:cs="Arial" w:eastAsia="Arial" w:hAnsi="Arial"/>
          <w:sz w:val="16"/>
          <w:szCs w:val="16"/>
          <w:color w:val="auto"/>
        </w:rPr>
        <w:t xml:space="preserve">” means a permanent Global Note in the form of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Temporary Global Note</w:t>
      </w:r>
      <w:r>
        <w:rPr>
          <w:rFonts w:ascii="Arial" w:cs="Arial" w:eastAsia="Arial" w:hAnsi="Arial"/>
          <w:sz w:val="18"/>
          <w:szCs w:val="18"/>
          <w:color w:val="auto"/>
        </w:rPr>
        <w:t xml:space="preserve">” means a temporary Global Note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any controlling stockholder, 80% (or more) owned Subsidiary, or immediate family member or former spouse (in the case of an individual)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Principal; or</w:t>
      </w:r>
    </w:p>
    <w:p>
      <w:pPr>
        <w:spacing w:after="0" w:line="84" w:lineRule="exact"/>
        <w:rPr>
          <w:sz w:val="20"/>
          <w:szCs w:val="20"/>
          <w:color w:val="auto"/>
        </w:rPr>
      </w:pPr>
    </w:p>
    <w:p>
      <w:pPr>
        <w:jc w:val="both"/>
        <w:ind w:right="540" w:firstLine="921"/>
        <w:spacing w:after="0" w:line="259"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has the meaning set forth in the Pledge Agreement.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right="100" w:firstLine="921"/>
        <w:spacing w:after="0" w:line="298"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50" w:lineRule="exact"/>
        <w:rPr>
          <w:rFonts w:ascii="Arial" w:cs="Arial" w:eastAsia="Arial" w:hAnsi="Arial"/>
          <w:sz w:val="18"/>
          <w:szCs w:val="18"/>
          <w:color w:val="auto"/>
        </w:rPr>
      </w:pPr>
    </w:p>
    <w:p>
      <w:pPr>
        <w:ind w:right="54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at any date, the total assets of Wynn Las Vegas and the Guarantors at such date, determined on a consolidated basis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8" w:name="page29"/>
    <w:bookmarkEnd w:id="2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28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4600" w:type="dxa"/>
            <w:vAlign w:val="bottom"/>
            <w:gridSpan w:val="3"/>
          </w:tcPr>
          <w:p>
            <w:pPr>
              <w:jc w:val="center"/>
              <w:ind w:left="3733"/>
              <w:spacing w:after="0" w:line="148" w:lineRule="exact"/>
              <w:rPr>
                <w:sz w:val="20"/>
                <w:szCs w:val="20"/>
                <w:color w:val="auto"/>
              </w:rPr>
            </w:pPr>
            <w:r>
              <w:rPr>
                <w:rFonts w:ascii="Arial" w:cs="Arial" w:eastAsia="Arial" w:hAnsi="Arial"/>
                <w:sz w:val="14"/>
                <w:szCs w:val="14"/>
                <w:b w:val="1"/>
                <w:bCs w:val="1"/>
                <w:color w:val="auto"/>
                <w:w w:val="86"/>
              </w:rPr>
              <w:t>in Section</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“Authentication Order”</w:t>
            </w:r>
          </w:p>
        </w:tc>
        <w:tc>
          <w:tcPr>
            <w:tcW w:w="39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“Beneficiary”</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Offer”</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 Date”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“DTC”</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“incur”</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“Legal Defeasance”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“Note Obligations”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“Purchase Date”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“Reference Period”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tcPr>
          <w:p>
            <w:pPr>
              <w:jc w:val="right"/>
              <w:ind w:right="3053"/>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1.03 </w:t>
      </w:r>
      <w:r>
        <w:rPr>
          <w:rFonts w:ascii="Arial" w:cs="Arial" w:eastAsia="Arial" w:hAnsi="Arial"/>
          <w:sz w:val="18"/>
          <w:szCs w:val="18"/>
          <w:i w:val="1"/>
          <w:iCs w:val="1"/>
          <w:color w:val="auto"/>
        </w:rPr>
        <w:t>Rules of Construction.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90"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90" w:lineRule="exact"/>
        <w:rPr>
          <w:sz w:val="20"/>
          <w:szCs w:val="20"/>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90" w:lineRule="exact"/>
        <w:rPr>
          <w:rFonts w:ascii="Arial" w:cs="Arial" w:eastAsia="Arial" w:hAnsi="Arial"/>
          <w:sz w:val="18"/>
          <w:szCs w:val="18"/>
          <w:color w:val="auto"/>
        </w:rPr>
      </w:pPr>
    </w:p>
    <w:p>
      <w:pPr>
        <w:ind w:right="560" w:firstLine="921"/>
        <w:spacing w:after="0" w:line="268"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shall be deemed to include substitute, replacement of successor sections or rules adopted by the SEC from time to time;</w:t>
      </w:r>
    </w:p>
    <w:p>
      <w:pPr>
        <w:spacing w:after="0" w:line="50"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any statute, law, rule or regulation shall be deemed to refer to the same as from time to time amended and in effect and to any successor statute, law, rule or regulation;</w:t>
      </w:r>
    </w:p>
    <w:p>
      <w:pPr>
        <w:spacing w:after="0" w:line="50" w:lineRule="exact"/>
        <w:rPr>
          <w:rFonts w:ascii="Arial" w:cs="Arial" w:eastAsia="Arial" w:hAnsi="Arial"/>
          <w:sz w:val="18"/>
          <w:szCs w:val="18"/>
          <w:color w:val="auto"/>
        </w:rPr>
      </w:pPr>
    </w:p>
    <w:p>
      <w:pPr>
        <w:ind w:right="300" w:firstLine="921"/>
        <w:spacing w:after="0" w:line="259" w:lineRule="auto"/>
        <w:tabs>
          <w:tab w:leader="none" w:pos="1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any contract, agreement or instrument shall mean the same as amended, modified, supplemented or amended and restated from time to time, in each case, in accordance with any applicable restrictions contained therein, in this Indenture, the Pledge Agreement or the Intercreditor Agreement, as the case may be; and</w:t>
      </w:r>
    </w:p>
    <w:p>
      <w:pPr>
        <w:spacing w:after="0" w:line="59" w:lineRule="exact"/>
        <w:rPr>
          <w:rFonts w:ascii="Arial" w:cs="Arial" w:eastAsia="Arial" w:hAnsi="Arial"/>
          <w:sz w:val="18"/>
          <w:szCs w:val="18"/>
          <w:color w:val="auto"/>
        </w:rPr>
      </w:pPr>
    </w:p>
    <w:p>
      <w:pPr>
        <w:ind w:right="240" w:firstLine="921"/>
        <w:spacing w:after="0" w:line="268" w:lineRule="auto"/>
        <w:tabs>
          <w:tab w:leader="none" w:pos="12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consummation by the Issuers on the date of this Indenture of the transactions described in the Issuers’ Offering Memorandum, dated as of May 15, 2013, relating to the offering of the Initial Notes, shall be deemed to occur concurrently.</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90" w:lineRule="exact"/>
        <w:rPr>
          <w:sz w:val="20"/>
          <w:szCs w:val="20"/>
          <w:color w:val="auto"/>
        </w:rPr>
      </w:pPr>
    </w:p>
    <w:p>
      <w:pPr>
        <w:ind w:firstLine="464"/>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shall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Exhibits A-1</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A-2</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shall be dated the date of its authentication. The Notes shall be in denominations of $2,000 or an integral multiple of $1,000 in excess of $2,000.</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0" w:name="page31"/>
    <w:bookmarkEnd w:id="30"/>
    <w:p>
      <w:pPr>
        <w:ind w:firstLine="464"/>
        <w:spacing w:after="0" w:line="308" w:lineRule="auto"/>
        <w:tabs>
          <w:tab w:leader="none" w:pos="705"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Notes</w:t>
      </w:r>
      <w:r>
        <w:rPr>
          <w:rFonts w:ascii="Arial" w:cs="Arial" w:eastAsia="Arial" w:hAnsi="Arial"/>
          <w:sz w:val="15"/>
          <w:szCs w:val="15"/>
          <w:color w:val="auto"/>
        </w:rPr>
        <w:t>. Notes issued in global form shall be substantially in the form of</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Exhibits A-1</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A-2</w:t>
      </w:r>
      <w:r>
        <w:rPr>
          <w:rFonts w:ascii="Arial" w:cs="Arial" w:eastAsia="Arial" w:hAnsi="Arial"/>
          <w:sz w:val="15"/>
          <w:szCs w:val="15"/>
          <w:i w:val="1"/>
          <w:iCs w:val="1"/>
          <w:color w:val="auto"/>
        </w:rPr>
        <w:t xml:space="preserve"> </w:t>
      </w:r>
      <w:r>
        <w:rPr>
          <w:rFonts w:ascii="Arial" w:cs="Arial" w:eastAsia="Arial" w:hAnsi="Arial"/>
          <w:sz w:val="15"/>
          <w:szCs w:val="15"/>
          <w:color w:val="auto"/>
        </w:rPr>
        <w:t>attached hereto (including the Global Note Legend</w:t>
      </w:r>
      <w:r>
        <w:rPr>
          <w:rFonts w:ascii="Arial" w:cs="Arial" w:eastAsia="Arial" w:hAnsi="Arial"/>
          <w:sz w:val="15"/>
          <w:szCs w:val="15"/>
          <w:i w:val="1"/>
          <w:iCs w:val="1"/>
          <w:color w:val="auto"/>
        </w:rPr>
        <w:t xml:space="preserve"> </w:t>
      </w:r>
      <w:r>
        <w:rPr>
          <w:rFonts w:ascii="Arial" w:cs="Arial" w:eastAsia="Arial" w:hAnsi="Arial"/>
          <w:sz w:val="15"/>
          <w:szCs w:val="15"/>
          <w:color w:val="auto"/>
        </w:rPr>
        <w:t>thereon and the “</w:t>
      </w:r>
      <w:r>
        <w:rPr>
          <w:rFonts w:ascii="Arial" w:cs="Arial" w:eastAsia="Arial" w:hAnsi="Arial"/>
          <w:sz w:val="15"/>
          <w:szCs w:val="15"/>
          <w:i w:val="1"/>
          <w:iCs w:val="1"/>
          <w:color w:val="auto"/>
        </w:rPr>
        <w:t>Schedule of Exchanges of Interests in the Global Note</w:t>
      </w:r>
      <w:r>
        <w:rPr>
          <w:rFonts w:ascii="Arial" w:cs="Arial" w:eastAsia="Arial" w:hAnsi="Arial"/>
          <w:sz w:val="15"/>
          <w:szCs w:val="15"/>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5"/>
          <w:szCs w:val="15"/>
          <w:u w:val="single" w:color="auto"/>
          <w:color w:val="auto"/>
        </w:rPr>
        <w:t>Exhibit A-1</w:t>
      </w:r>
      <w:r>
        <w:rPr>
          <w:rFonts w:ascii="Arial" w:cs="Arial" w:eastAsia="Arial" w:hAnsi="Arial"/>
          <w:sz w:val="15"/>
          <w:szCs w:val="15"/>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09" w:lineRule="exact"/>
        <w:rPr>
          <w:rFonts w:ascii="Arial" w:cs="Arial" w:eastAsia="Arial" w:hAnsi="Arial"/>
          <w:sz w:val="15"/>
          <w:szCs w:val="15"/>
          <w:color w:val="auto"/>
        </w:rPr>
      </w:pPr>
    </w:p>
    <w:p>
      <w:pPr>
        <w:ind w:right="40" w:firstLine="464"/>
        <w:spacing w:after="0" w:line="255"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Temporary Global Notes</w:t>
      </w:r>
      <w:r>
        <w:rPr>
          <w:rFonts w:ascii="Arial" w:cs="Arial" w:eastAsia="Arial" w:hAnsi="Arial"/>
          <w:sz w:val="18"/>
          <w:szCs w:val="18"/>
          <w:color w:val="auto"/>
        </w:rPr>
        <w:t>. Notes offered and sold in reliance on Regulation S shall be issued initially in the form of the Regulation S Temporary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61"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Officers’ Certificate from each of the Issuers.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1" w:name="page32"/>
    <w:bookmarkEnd w:id="31"/>
    <w:p>
      <w:pPr>
        <w:jc w:val="both"/>
        <w:ind w:right="60" w:firstLine="464"/>
        <w:spacing w:after="0" w:line="256"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Euroclear and Clearstream Procedures Applicable</w:t>
      </w:r>
      <w:r>
        <w:rPr>
          <w:rFonts w:ascii="Arial" w:cs="Arial" w:eastAsia="Arial" w:hAnsi="Arial"/>
          <w:sz w:val="18"/>
          <w:szCs w:val="18"/>
          <w:color w:val="auto"/>
        </w:rPr>
        <w:t>. The provisions of the “Operating Procedures of the Euroclear System” and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Designated Officer on behalf of each of Wynn Las Vegas and Wynn Capital must sign the Notes for the Issuers by manual or facsimile signature.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 valid.</w:t>
      </w:r>
    </w:p>
    <w:p>
      <w:pPr>
        <w:spacing w:after="0" w:line="19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Note shall not be valid until authenticated by the manual signature of the Trustee. The signature shall be conclusive evidence that the Note has been authenticated under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Trustee shall, upon receipt of a written order of the Issuers signed by a Designated Officer of each of Wynn Las Vegas and Wynn Capital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Authentication Order</w:t>
      </w:r>
      <w:r>
        <w:rPr>
          <w:rFonts w:ascii="Arial" w:cs="Arial" w:eastAsia="Arial" w:hAnsi="Arial"/>
          <w:sz w:val="16"/>
          <w:szCs w:val="16"/>
          <w:color w:val="auto"/>
        </w:rPr>
        <w:t>”), authenticate Notes for original issue that may be validly issued under this Indenture, including any Additional Notes (including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issued in substitution for outstanding Notes to reflect any name change of either Issuer, by succession permitted hereunder or otherwise).</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and Paying Agent.</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Issuers shall maintain an office or agency where Notes may be presented for registration of transfer or for exchange (“</w:t>
      </w:r>
      <w:r>
        <w:rPr>
          <w:rFonts w:ascii="Arial" w:cs="Arial" w:eastAsia="Arial" w:hAnsi="Arial"/>
          <w:sz w:val="16"/>
          <w:szCs w:val="16"/>
          <w:i w:val="1"/>
          <w:iCs w:val="1"/>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u w:val="single" w:color="auto"/>
          <w:color w:val="auto"/>
        </w:rPr>
        <w:t>Paying Agent</w:t>
      </w:r>
      <w:r>
        <w:rPr>
          <w:rFonts w:ascii="Arial" w:cs="Arial" w:eastAsia="Arial" w:hAnsi="Arial"/>
          <w:sz w:val="16"/>
          <w:szCs w:val="16"/>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initially appoint The Depository Trust Company (“</w:t>
      </w:r>
      <w:r>
        <w:rPr>
          <w:rFonts w:ascii="Arial" w:cs="Arial" w:eastAsia="Arial" w:hAnsi="Arial"/>
          <w:sz w:val="18"/>
          <w:szCs w:val="18"/>
          <w:i w:val="1"/>
          <w:iCs w:val="1"/>
          <w:u w:val="single" w:color="auto"/>
          <w:color w:val="auto"/>
        </w:rPr>
        <w:t>DTC</w:t>
      </w:r>
      <w:r>
        <w:rPr>
          <w:rFonts w:ascii="Arial" w:cs="Arial" w:eastAsia="Arial" w:hAnsi="Arial"/>
          <w:sz w:val="18"/>
          <w:szCs w:val="18"/>
          <w:color w:val="auto"/>
        </w:rPr>
        <w:t>”) to act as Depositary with respect to the Global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initially appoint the Trustee to act as the Registrar and Paying Agent and to act as Custodian with respect to the Global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firstLine="464"/>
        <w:spacing w:after="0" w:line="306"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as a whole except by the Depositary to a nominee of the Depositary, by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3" w:name="page34"/>
    <w:bookmarkEnd w:id="33"/>
    <w:p>
      <w:pPr>
        <w:ind w:left="460" w:right="220" w:firstLine="443"/>
        <w:spacing w:after="0" w:line="332" w:lineRule="auto"/>
        <w:tabs>
          <w:tab w:leader="none" w:pos="1147"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16" w:lineRule="exact"/>
        <w:rPr>
          <w:sz w:val="20"/>
          <w:szCs w:val="20"/>
          <w:color w:val="auto"/>
        </w:rPr>
      </w:pPr>
    </w:p>
    <w:p>
      <w:pPr>
        <w:ind w:right="140" w:firstLine="464"/>
        <w:spacing w:after="0" w:line="255"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61" w:lineRule="exact"/>
        <w:rPr>
          <w:rFonts w:ascii="Arial" w:cs="Arial" w:eastAsia="Arial" w:hAnsi="Arial"/>
          <w:sz w:val="18"/>
          <w:szCs w:val="18"/>
          <w:color w:val="auto"/>
        </w:rPr>
      </w:pPr>
    </w:p>
    <w:p>
      <w:pPr>
        <w:ind w:left="460" w:right="240" w:firstLine="443"/>
        <w:spacing w:after="0" w:line="291" w:lineRule="auto"/>
        <w:tabs>
          <w:tab w:leader="none" w:pos="1147"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Note</w:t>
      </w:r>
      <w:r>
        <w:rPr>
          <w:rFonts w:ascii="Arial" w:cs="Arial" w:eastAsia="Arial" w:hAnsi="Arial"/>
          <w:sz w:val="16"/>
          <w:szCs w:val="16"/>
          <w:color w:val="auto"/>
        </w:rPr>
        <w:t>. Beneficial interests in any Restricted Global Note may be transferred to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39" w:lineRule="exact"/>
        <w:rPr>
          <w:rFonts w:ascii="Arial" w:cs="Arial" w:eastAsia="Arial" w:hAnsi="Arial"/>
          <w:sz w:val="16"/>
          <w:szCs w:val="16"/>
          <w:color w:val="auto"/>
        </w:rPr>
      </w:pPr>
    </w:p>
    <w:p>
      <w:pPr>
        <w:ind w:left="460" w:right="140" w:firstLine="443"/>
        <w:spacing w:after="0" w:line="332" w:lineRule="auto"/>
        <w:tabs>
          <w:tab w:leader="none" w:pos="1147"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All Other Transfers and Exchanges of Beneficial Interests in Global Notes</w:t>
      </w:r>
      <w:r>
        <w:rPr>
          <w:rFonts w:ascii="Arial" w:cs="Arial" w:eastAsia="Arial" w:hAnsi="Arial"/>
          <w:sz w:val="16"/>
          <w:szCs w:val="16"/>
          <w:color w:val="auto"/>
        </w:rPr>
        <w:t>. In connection with all transfers and exchanges of beneficial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subject to Section 2.06(b)(1) above, the transferor of such beneficial interest must deliver to the Registrar either:</w:t>
      </w:r>
    </w:p>
    <w:p>
      <w:pPr>
        <w:spacing w:after="0" w:line="4" w:lineRule="exact"/>
        <w:rPr>
          <w:rFonts w:ascii="Arial" w:cs="Arial" w:eastAsia="Arial" w:hAnsi="Arial"/>
          <w:sz w:val="16"/>
          <w:szCs w:val="16"/>
          <w:color w:val="auto"/>
        </w:rPr>
      </w:pPr>
    </w:p>
    <w:p>
      <w:pPr>
        <w:ind w:left="1780" w:hanging="288"/>
        <w:spacing w:after="0"/>
        <w:tabs>
          <w:tab w:leader="none" w:pos="17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both:</w:t>
      </w:r>
    </w:p>
    <w:p>
      <w:pPr>
        <w:spacing w:after="0" w:line="90" w:lineRule="exact"/>
        <w:rPr>
          <w:rFonts w:ascii="Arial" w:cs="Arial" w:eastAsia="Arial" w:hAnsi="Arial"/>
          <w:sz w:val="18"/>
          <w:szCs w:val="18"/>
          <w:color w:val="auto"/>
        </w:rPr>
      </w:pPr>
    </w:p>
    <w:p>
      <w:pPr>
        <w:ind w:right="60" w:firstLine="1948"/>
        <w:spacing w:after="0" w:line="259" w:lineRule="auto"/>
        <w:tabs>
          <w:tab w:leader="none" w:pos="2150" w:val="left"/>
        </w:tabs>
        <w:numPr>
          <w:ilvl w:val="3"/>
          <w:numId w:val="3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4" w:name="page35"/>
    <w:bookmarkEnd w:id="34"/>
    <w:p>
      <w:pPr>
        <w:ind w:left="2200" w:hanging="252"/>
        <w:spacing w:after="0"/>
        <w:tabs>
          <w:tab w:leader="none" w:pos="2200"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given in accordance with the Applicable Procedures containing information regarding the Participant account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credited with such increase; or</w:t>
      </w:r>
    </w:p>
    <w:p>
      <w:pPr>
        <w:spacing w:after="0" w:line="83" w:lineRule="exact"/>
        <w:rPr>
          <w:rFonts w:ascii="Arial" w:cs="Arial" w:eastAsia="Arial" w:hAnsi="Arial"/>
          <w:sz w:val="16"/>
          <w:szCs w:val="16"/>
          <w:color w:val="auto"/>
        </w:rPr>
      </w:pPr>
    </w:p>
    <w:p>
      <w:pPr>
        <w:ind w:left="1760" w:hanging="268"/>
        <w:spacing w:after="0"/>
        <w:tabs>
          <w:tab w:leader="none" w:pos="1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90" w:lineRule="exact"/>
        <w:rPr>
          <w:rFonts w:ascii="Arial" w:cs="Arial" w:eastAsia="Arial" w:hAnsi="Arial"/>
          <w:sz w:val="18"/>
          <w:szCs w:val="18"/>
          <w:color w:val="auto"/>
        </w:rPr>
      </w:pPr>
    </w:p>
    <w:p>
      <w:pPr>
        <w:ind w:right="100" w:firstLine="1948"/>
        <w:spacing w:after="0" w:line="332" w:lineRule="auto"/>
        <w:tabs>
          <w:tab w:leader="none" w:pos="21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4" w:lineRule="exact"/>
        <w:rPr>
          <w:rFonts w:ascii="Arial" w:cs="Arial" w:eastAsia="Arial" w:hAnsi="Arial"/>
          <w:sz w:val="16"/>
          <w:szCs w:val="16"/>
          <w:color w:val="auto"/>
        </w:rPr>
      </w:pPr>
    </w:p>
    <w:p>
      <w:pPr>
        <w:ind w:right="100" w:firstLine="1948"/>
        <w:spacing w:after="0" w:line="268" w:lineRule="auto"/>
        <w:tabs>
          <w:tab w:leader="none" w:pos="21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shall Definitive Notes be issued upon the transfer or exchange of beneficial interests in the Regulation S Temporary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 prior to (A) the expiration of the Restricted Period and (B) the receipt by the Registrar of any certificates required pursuant to Rule 903 under the Securities Act.</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4" w:lineRule="exact"/>
        <w:rPr>
          <w:sz w:val="20"/>
          <w:szCs w:val="20"/>
          <w:color w:val="auto"/>
        </w:rPr>
      </w:pPr>
    </w:p>
    <w:p>
      <w:pPr>
        <w:jc w:val="both"/>
        <w:ind w:left="460" w:right="220" w:firstLine="443"/>
        <w:spacing w:after="0" w:line="259"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to Another Restricted Global Note</w:t>
      </w:r>
      <w:r>
        <w:rPr>
          <w:rFonts w:ascii="Arial" w:cs="Arial" w:eastAsia="Arial" w:hAnsi="Arial"/>
          <w:sz w:val="18"/>
          <w:szCs w:val="18"/>
          <w:color w:val="auto"/>
        </w:rPr>
        <w:t>. A beneficial interest in any Restricted Global Note may be transferred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59" w:lineRule="exact"/>
        <w:rPr>
          <w:rFonts w:ascii="Arial" w:cs="Arial" w:eastAsia="Arial" w:hAnsi="Arial"/>
          <w:sz w:val="18"/>
          <w:szCs w:val="18"/>
          <w:color w:val="auto"/>
        </w:rPr>
      </w:pPr>
    </w:p>
    <w:p>
      <w:pPr>
        <w:ind w:right="520" w:firstLine="1492"/>
        <w:spacing w:after="0" w:line="268" w:lineRule="auto"/>
        <w:tabs>
          <w:tab w:leader="none" w:pos="17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50" w:lineRule="exact"/>
        <w:rPr>
          <w:rFonts w:ascii="Arial" w:cs="Arial" w:eastAsia="Arial" w:hAnsi="Arial"/>
          <w:sz w:val="18"/>
          <w:szCs w:val="18"/>
          <w:color w:val="auto"/>
        </w:rPr>
      </w:pPr>
    </w:p>
    <w:p>
      <w:pPr>
        <w:ind w:right="200" w:firstLine="1492"/>
        <w:spacing w:after="0" w:line="332" w:lineRule="auto"/>
        <w:tabs>
          <w:tab w:leader="none" w:pos="17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 and</w:t>
      </w:r>
    </w:p>
    <w:p>
      <w:pPr>
        <w:spacing w:after="0" w:line="4" w:lineRule="exact"/>
        <w:rPr>
          <w:rFonts w:ascii="Arial" w:cs="Arial" w:eastAsia="Arial" w:hAnsi="Arial"/>
          <w:sz w:val="16"/>
          <w:szCs w:val="16"/>
          <w:color w:val="auto"/>
        </w:rPr>
      </w:pPr>
    </w:p>
    <w:p>
      <w:pPr>
        <w:ind w:right="680" w:firstLine="1492"/>
        <w:spacing w:after="0" w:line="332" w:lineRule="auto"/>
        <w:tabs>
          <w:tab w:leader="none" w:pos="17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the transferee shall take delivery in the form of a beneficial interest in the IAI Global Note,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35" w:name="page36"/>
    <w:bookmarkEnd w:id="35"/>
    <w:p>
      <w:pPr>
        <w:jc w:val="both"/>
        <w:ind w:left="460" w:right="220" w:firstLine="443"/>
        <w:spacing w:after="0" w:line="298"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and Exchange of Beneficial Interests in a Restricted Global Note for Beneficial Interests in an Unrestricted Global Note</w:t>
      </w:r>
      <w:r>
        <w:rPr>
          <w:rFonts w:ascii="Arial" w:cs="Arial" w:eastAsia="Arial" w:hAnsi="Arial"/>
          <w:sz w:val="16"/>
          <w:szCs w:val="16"/>
          <w:color w:val="auto"/>
        </w:rPr>
        <w:t>. A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31" w:lineRule="exact"/>
        <w:rPr>
          <w:rFonts w:ascii="Arial" w:cs="Arial" w:eastAsia="Arial" w:hAnsi="Arial"/>
          <w:sz w:val="16"/>
          <w:szCs w:val="16"/>
          <w:color w:val="auto"/>
        </w:rPr>
      </w:pPr>
    </w:p>
    <w:p>
      <w:pPr>
        <w:ind w:right="80" w:firstLine="1492"/>
        <w:spacing w:after="0" w:line="332" w:lineRule="auto"/>
        <w:tabs>
          <w:tab w:leader="none" w:pos="1771"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(1)(a) thereof; or</w:t>
      </w:r>
    </w:p>
    <w:p>
      <w:pPr>
        <w:spacing w:after="0" w:line="4" w:lineRule="exact"/>
        <w:rPr>
          <w:rFonts w:ascii="Arial" w:cs="Arial" w:eastAsia="Arial" w:hAnsi="Arial"/>
          <w:sz w:val="16"/>
          <w:szCs w:val="16"/>
          <w:color w:val="auto"/>
        </w:rPr>
      </w:pPr>
    </w:p>
    <w:p>
      <w:pPr>
        <w:ind w:firstLine="1492"/>
        <w:spacing w:after="0" w:line="259" w:lineRule="auto"/>
        <w:tabs>
          <w:tab w:leader="none" w:pos="176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59"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32"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Beneficial Interests in Restricted Global Notes to Restricted Definitive Notes</w:t>
      </w:r>
      <w:r>
        <w:rPr>
          <w:rFonts w:ascii="Arial" w:cs="Arial" w:eastAsia="Arial" w:hAnsi="Arial"/>
          <w:sz w:val="16"/>
          <w:szCs w:val="16"/>
          <w:color w:val="auto"/>
        </w:rPr>
        <w:t>. If any holder of a beneficial interest in a Restricted Global Note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25" w:lineRule="exact"/>
        <w:rPr>
          <w:rFonts w:ascii="Arial" w:cs="Arial" w:eastAsia="Arial" w:hAnsi="Arial"/>
          <w:sz w:val="16"/>
          <w:szCs w:val="16"/>
          <w:color w:val="auto"/>
        </w:rPr>
      </w:pPr>
    </w:p>
    <w:p>
      <w:pPr>
        <w:ind w:right="620" w:firstLine="1492"/>
        <w:spacing w:after="0" w:line="332" w:lineRule="auto"/>
        <w:tabs>
          <w:tab w:leader="none" w:pos="1771" w:val="left"/>
        </w:tabs>
        <w:numPr>
          <w:ilvl w:val="2"/>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(2)(a) thereof;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6" w:name="page37"/>
    <w:bookmarkEnd w:id="36"/>
    <w:p>
      <w:pPr>
        <w:ind w:right="320" w:firstLine="1492"/>
        <w:spacing w:after="0" w:line="268" w:lineRule="auto"/>
        <w:tabs>
          <w:tab w:leader="none" w:pos="176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50" w:lineRule="exact"/>
        <w:rPr>
          <w:rFonts w:ascii="Arial" w:cs="Arial" w:eastAsia="Arial" w:hAnsi="Arial"/>
          <w:sz w:val="18"/>
          <w:szCs w:val="18"/>
          <w:color w:val="auto"/>
        </w:rPr>
      </w:pPr>
    </w:p>
    <w:p>
      <w:pPr>
        <w:ind w:firstLine="1492"/>
        <w:spacing w:after="0" w:line="268" w:lineRule="auto"/>
        <w:tabs>
          <w:tab w:leader="none" w:pos="17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50" w:lineRule="exact"/>
        <w:rPr>
          <w:rFonts w:ascii="Arial" w:cs="Arial" w:eastAsia="Arial" w:hAnsi="Arial"/>
          <w:sz w:val="18"/>
          <w:szCs w:val="18"/>
          <w:color w:val="auto"/>
        </w:rPr>
      </w:pPr>
    </w:p>
    <w:p>
      <w:pPr>
        <w:ind w:right="520" w:firstLine="1492"/>
        <w:spacing w:after="0" w:line="332" w:lineRule="auto"/>
        <w:tabs>
          <w:tab w:leader="none" w:pos="17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4" w:lineRule="exact"/>
        <w:rPr>
          <w:rFonts w:ascii="Arial" w:cs="Arial" w:eastAsia="Arial" w:hAnsi="Arial"/>
          <w:sz w:val="16"/>
          <w:szCs w:val="16"/>
          <w:color w:val="auto"/>
        </w:rPr>
      </w:pPr>
    </w:p>
    <w:p>
      <w:pPr>
        <w:ind w:firstLine="1492"/>
        <w:spacing w:after="0" w:line="259" w:lineRule="auto"/>
        <w:tabs>
          <w:tab w:leader="none" w:pos="17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 or</w:t>
      </w:r>
    </w:p>
    <w:p>
      <w:pPr>
        <w:spacing w:after="0" w:line="59" w:lineRule="exact"/>
        <w:rPr>
          <w:rFonts w:ascii="Arial" w:cs="Arial" w:eastAsia="Arial" w:hAnsi="Arial"/>
          <w:sz w:val="18"/>
          <w:szCs w:val="18"/>
          <w:color w:val="auto"/>
        </w:rPr>
      </w:pPr>
    </w:p>
    <w:p>
      <w:pPr>
        <w:ind w:right="240" w:firstLine="1492"/>
        <w:spacing w:after="0" w:line="268" w:lineRule="auto"/>
        <w:tabs>
          <w:tab w:leader="none" w:pos="17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37" w:lineRule="exact"/>
        <w:rPr>
          <w:sz w:val="20"/>
          <w:szCs w:val="20"/>
          <w:color w:val="auto"/>
        </w:rPr>
      </w:pPr>
    </w:p>
    <w:p>
      <w:pPr>
        <w:ind w:left="460" w:right="140" w:firstLine="443"/>
        <w:spacing w:after="0" w:line="255"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Regulation S Temporary Global Note to Definitive Notes. </w:t>
      </w:r>
      <w:r>
        <w:rPr>
          <w:rFonts w:ascii="Arial" w:cs="Arial" w:eastAsia="Arial" w:hAnsi="Arial"/>
          <w:sz w:val="18"/>
          <w:szCs w:val="18"/>
          <w:color w:val="auto"/>
        </w:rPr>
        <w:t>Notwithstanding Sections 2.06(c)(1)(A) and (C) hereof,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7" w:name="page38"/>
    <w:bookmarkEnd w:id="37"/>
    <w:p>
      <w:pPr>
        <w:ind w:left="460" w:right="100" w:firstLine="443"/>
        <w:spacing w:after="0" w:line="259"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Interests in Restricted Global Notes to Unrestricted Definitive Notes</w:t>
      </w:r>
      <w:r>
        <w:rPr>
          <w:rFonts w:ascii="Arial" w:cs="Arial" w:eastAsia="Arial" w:hAnsi="Arial"/>
          <w:sz w:val="18"/>
          <w:szCs w:val="18"/>
          <w:color w:val="auto"/>
        </w:rPr>
        <w:t>. A holder of a beneficial interest in a Restricted Global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40" w:lineRule="exact"/>
        <w:rPr>
          <w:rFonts w:ascii="Arial" w:cs="Arial" w:eastAsia="Arial" w:hAnsi="Arial"/>
          <w:sz w:val="18"/>
          <w:szCs w:val="18"/>
          <w:color w:val="auto"/>
        </w:rPr>
      </w:pPr>
    </w:p>
    <w:p>
      <w:pPr>
        <w:ind w:firstLine="1948"/>
        <w:spacing w:after="0" w:line="268" w:lineRule="auto"/>
        <w:tabs>
          <w:tab w:leader="none" w:pos="21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(1)(b) thereof; or</w:t>
      </w:r>
    </w:p>
    <w:p>
      <w:pPr>
        <w:spacing w:after="0" w:line="131" w:lineRule="exact"/>
        <w:rPr>
          <w:rFonts w:ascii="Arial" w:cs="Arial" w:eastAsia="Arial" w:hAnsi="Arial"/>
          <w:sz w:val="18"/>
          <w:szCs w:val="18"/>
          <w:color w:val="auto"/>
        </w:rPr>
      </w:pPr>
    </w:p>
    <w:p>
      <w:pPr>
        <w:ind w:right="280" w:firstLine="1948"/>
        <w:spacing w:after="0" w:line="259" w:lineRule="auto"/>
        <w:tabs>
          <w:tab w:leader="none" w:pos="21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59"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6" w:lineRule="exact"/>
        <w:rPr>
          <w:sz w:val="20"/>
          <w:szCs w:val="20"/>
          <w:color w:val="auto"/>
        </w:rPr>
      </w:pPr>
    </w:p>
    <w:p>
      <w:pPr>
        <w:ind w:left="460" w:right="100" w:firstLine="443"/>
        <w:spacing w:after="0" w:line="288" w:lineRule="auto"/>
        <w:tabs>
          <w:tab w:leader="none" w:pos="1147"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Beneficial Interests in Unrestricted Global Notes to Unrestricted Definitive Notes</w:t>
      </w:r>
      <w:r>
        <w:rPr>
          <w:rFonts w:ascii="Arial" w:cs="Arial" w:eastAsia="Arial" w:hAnsi="Arial"/>
          <w:sz w:val="16"/>
          <w:szCs w:val="16"/>
          <w:color w:val="auto"/>
        </w:rPr>
        <w:t>. If any holder of a beneficial interest in an Unrestricted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p>
    <w:p>
      <w:pPr>
        <w:spacing w:after="0" w:line="90" w:lineRule="exact"/>
        <w:rPr>
          <w:rFonts w:ascii="Arial" w:cs="Arial" w:eastAsia="Arial" w:hAnsi="Arial"/>
          <w:sz w:val="18"/>
          <w:szCs w:val="18"/>
          <w:color w:val="auto"/>
        </w:rPr>
      </w:pPr>
    </w:p>
    <w:p>
      <w:pPr>
        <w:ind w:left="460" w:right="80" w:firstLine="443"/>
        <w:spacing w:after="0" w:line="306" w:lineRule="auto"/>
        <w:tabs>
          <w:tab w:leader="none" w:pos="1147"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Beneficial Interests in Restricted Global Notes. </w:t>
      </w:r>
      <w:r>
        <w:rPr>
          <w:rFonts w:ascii="Arial" w:cs="Arial" w:eastAsia="Arial" w:hAnsi="Arial"/>
          <w:sz w:val="16"/>
          <w:szCs w:val="16"/>
          <w:color w:val="auto"/>
        </w:rPr>
        <w:t>If any Holder of a Restricted Definitive Note proposes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8" w:name="page39"/>
    <w:bookmarkEnd w:id="38"/>
    <w:p>
      <w:pPr>
        <w:ind w:right="60" w:firstLine="1492"/>
        <w:spacing w:after="0" w:line="268"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Holder of such Restricted Definitive Note proposes to exchange such Note for a beneficial interest in a 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(2)(b) thereof;</w:t>
      </w:r>
    </w:p>
    <w:p>
      <w:pPr>
        <w:spacing w:after="0" w:line="50" w:lineRule="exact"/>
        <w:rPr>
          <w:rFonts w:ascii="Arial" w:cs="Arial" w:eastAsia="Arial" w:hAnsi="Arial"/>
          <w:sz w:val="18"/>
          <w:szCs w:val="18"/>
          <w:color w:val="auto"/>
        </w:rPr>
      </w:pPr>
    </w:p>
    <w:p>
      <w:pPr>
        <w:ind w:right="340" w:firstLine="1492"/>
        <w:spacing w:after="0" w:line="268" w:lineRule="auto"/>
        <w:tabs>
          <w:tab w:leader="none" w:pos="17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50" w:lineRule="exact"/>
        <w:rPr>
          <w:rFonts w:ascii="Arial" w:cs="Arial" w:eastAsia="Arial" w:hAnsi="Arial"/>
          <w:sz w:val="18"/>
          <w:szCs w:val="18"/>
          <w:color w:val="auto"/>
        </w:rPr>
      </w:pPr>
    </w:p>
    <w:p>
      <w:pPr>
        <w:ind w:right="140" w:firstLine="1492"/>
        <w:spacing w:after="0" w:line="268" w:lineRule="auto"/>
        <w:tabs>
          <w:tab w:leader="none" w:pos="17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w:t>
      </w:r>
    </w:p>
    <w:p>
      <w:pPr>
        <w:spacing w:after="0" w:line="50" w:lineRule="exact"/>
        <w:rPr>
          <w:rFonts w:ascii="Arial" w:cs="Arial" w:eastAsia="Arial" w:hAnsi="Arial"/>
          <w:sz w:val="18"/>
          <w:szCs w:val="18"/>
          <w:color w:val="auto"/>
        </w:rPr>
      </w:pPr>
    </w:p>
    <w:p>
      <w:pPr>
        <w:ind w:firstLine="1492"/>
        <w:spacing w:after="0" w:line="332" w:lineRule="auto"/>
        <w:tabs>
          <w:tab w:leader="none" w:pos="17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(3)(a) thereof;</w:t>
      </w:r>
    </w:p>
    <w:p>
      <w:pPr>
        <w:spacing w:after="0" w:line="4" w:lineRule="exact"/>
        <w:rPr>
          <w:rFonts w:ascii="Arial" w:cs="Arial" w:eastAsia="Arial" w:hAnsi="Arial"/>
          <w:sz w:val="16"/>
          <w:szCs w:val="16"/>
          <w:color w:val="auto"/>
        </w:rPr>
      </w:pPr>
    </w:p>
    <w:p>
      <w:pPr>
        <w:ind w:right="280" w:firstLine="1492"/>
        <w:spacing w:after="0" w:line="306" w:lineRule="auto"/>
        <w:tabs>
          <w:tab w:leader="none" w:pos="17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 or</w:t>
      </w:r>
    </w:p>
    <w:p>
      <w:pPr>
        <w:spacing w:after="0" w:line="25" w:lineRule="exact"/>
        <w:rPr>
          <w:rFonts w:ascii="Arial" w:cs="Arial" w:eastAsia="Arial" w:hAnsi="Arial"/>
          <w:sz w:val="16"/>
          <w:szCs w:val="16"/>
          <w:color w:val="auto"/>
        </w:rPr>
      </w:pPr>
    </w:p>
    <w:p>
      <w:pPr>
        <w:ind w:right="280" w:firstLine="1492"/>
        <w:spacing w:after="0" w:line="268" w:lineRule="auto"/>
        <w:tabs>
          <w:tab w:leader="none" w:pos="17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Issuers or any of their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4" w:lineRule="exact"/>
        <w:rPr>
          <w:sz w:val="20"/>
          <w:szCs w:val="20"/>
          <w:color w:val="auto"/>
        </w:rPr>
      </w:pPr>
    </w:p>
    <w:p>
      <w:pPr>
        <w:ind w:left="460" w:right="20" w:firstLine="443"/>
        <w:spacing w:after="0" w:line="259"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Unrestricted Global Notes. </w:t>
      </w:r>
      <w:r>
        <w:rPr>
          <w:rFonts w:ascii="Arial" w:cs="Arial" w:eastAsia="Arial" w:hAnsi="Arial"/>
          <w:sz w:val="18"/>
          <w:szCs w:val="18"/>
          <w:color w:val="auto"/>
        </w:rPr>
        <w:t>A Holder of a Restricted Definitive Note may exchange such</w:t>
      </w:r>
      <w:r>
        <w:rPr>
          <w:rFonts w:ascii="Arial" w:cs="Arial" w:eastAsia="Arial" w:hAnsi="Arial"/>
          <w:sz w:val="18"/>
          <w:szCs w:val="18"/>
          <w:i w:val="1"/>
          <w:iCs w:val="1"/>
          <w:color w:val="auto"/>
        </w:rPr>
        <w:t xml:space="preserve"> </w:t>
      </w:r>
      <w:r>
        <w:rPr>
          <w:rFonts w:ascii="Arial" w:cs="Arial" w:eastAsia="Arial" w:hAnsi="Arial"/>
          <w:sz w:val="18"/>
          <w:szCs w:val="18"/>
          <w:color w:val="auto"/>
        </w:rPr>
        <w:t>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59" w:lineRule="exact"/>
        <w:rPr>
          <w:rFonts w:ascii="Arial" w:cs="Arial" w:eastAsia="Arial" w:hAnsi="Arial"/>
          <w:sz w:val="18"/>
          <w:szCs w:val="18"/>
          <w:color w:val="auto"/>
        </w:rPr>
      </w:pPr>
    </w:p>
    <w:p>
      <w:pPr>
        <w:ind w:right="400" w:firstLine="1492"/>
        <w:spacing w:after="0" w:line="268" w:lineRule="auto"/>
        <w:tabs>
          <w:tab w:leader="none" w:pos="17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(1)(c) thereof; or</w:t>
      </w:r>
    </w:p>
    <w:p>
      <w:pPr>
        <w:spacing w:after="0" w:line="50" w:lineRule="exact"/>
        <w:rPr>
          <w:rFonts w:ascii="Arial" w:cs="Arial" w:eastAsia="Arial" w:hAnsi="Arial"/>
          <w:sz w:val="18"/>
          <w:szCs w:val="18"/>
          <w:color w:val="auto"/>
        </w:rPr>
      </w:pPr>
    </w:p>
    <w:p>
      <w:pPr>
        <w:ind w:right="20" w:firstLine="1492"/>
        <w:spacing w:after="0" w:line="332" w:lineRule="auto"/>
        <w:tabs>
          <w:tab w:leader="none" w:pos="17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80" w:right="359" w:bottom="1440" w:gutter="0" w:footer="0" w:header="0"/>
        </w:sectPr>
      </w:pPr>
    </w:p>
    <w:bookmarkStart w:id="39" w:name="page40"/>
    <w:bookmarkEnd w:id="39"/>
    <w:p>
      <w:pPr>
        <w:ind w:left="78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6" w:lineRule="exact"/>
        <w:rPr>
          <w:sz w:val="20"/>
          <w:szCs w:val="20"/>
          <w:color w:val="auto"/>
        </w:rPr>
      </w:pPr>
    </w:p>
    <w:p>
      <w:pPr>
        <w:ind w:left="320" w:firstLine="438"/>
        <w:spacing w:after="0" w:line="268" w:lineRule="auto"/>
        <w:rPr>
          <w:sz w:val="20"/>
          <w:szCs w:val="20"/>
          <w:color w:val="auto"/>
        </w:rPr>
      </w:pPr>
      <w:r>
        <w:rPr>
          <w:rFonts w:ascii="Arial" w:cs="Arial" w:eastAsia="Arial" w:hAnsi="Arial"/>
          <w:sz w:val="18"/>
          <w:szCs w:val="18"/>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51" w:lineRule="exact"/>
        <w:rPr>
          <w:sz w:val="20"/>
          <w:szCs w:val="20"/>
          <w:color w:val="auto"/>
        </w:rPr>
      </w:pPr>
    </w:p>
    <w:p>
      <w:pPr>
        <w:ind w:left="320" w:right="20" w:firstLine="443"/>
        <w:spacing w:after="0" w:line="298" w:lineRule="auto"/>
        <w:tabs>
          <w:tab w:leader="none" w:pos="1007"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Unrestricted Definitive Notes to Beneficial Interests in Unrestricted Global Notes. </w:t>
      </w:r>
      <w:r>
        <w:rPr>
          <w:rFonts w:ascii="Arial" w:cs="Arial" w:eastAsia="Arial" w:hAnsi="Arial"/>
          <w:sz w:val="16"/>
          <w:szCs w:val="16"/>
          <w:color w:val="auto"/>
        </w:rPr>
        <w:t>A Holder of an Unrestricted Definitive Note may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32" w:lineRule="exact"/>
        <w:rPr>
          <w:sz w:val="20"/>
          <w:szCs w:val="20"/>
          <w:color w:val="auto"/>
        </w:rPr>
      </w:pPr>
    </w:p>
    <w:p>
      <w:pPr>
        <w:jc w:val="both"/>
        <w:ind w:left="320" w:firstLine="438"/>
        <w:spacing w:after="0" w:line="256"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left="-140" w:right="60" w:firstLine="464"/>
        <w:spacing w:after="0" w:line="294" w:lineRule="auto"/>
        <w:tabs>
          <w:tab w:leader="none" w:pos="55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Definitive Notes for Definitive Notes. </w:t>
      </w:r>
      <w:r>
        <w:rPr>
          <w:rFonts w:ascii="Arial" w:cs="Arial" w:eastAsia="Arial" w:hAnsi="Arial"/>
          <w:sz w:val="16"/>
          <w:szCs w:val="16"/>
          <w:color w:val="auto"/>
        </w:rPr>
        <w:t>Upon request by a Holder of Definitive Notes and such Holder’s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34" w:lineRule="exact"/>
        <w:rPr>
          <w:rFonts w:ascii="Arial" w:cs="Arial" w:eastAsia="Arial" w:hAnsi="Arial"/>
          <w:sz w:val="16"/>
          <w:szCs w:val="16"/>
          <w:color w:val="auto"/>
        </w:rPr>
      </w:pPr>
    </w:p>
    <w:p>
      <w:pPr>
        <w:ind w:left="320" w:right="200" w:firstLine="443"/>
        <w:spacing w:after="0" w:line="332" w:lineRule="auto"/>
        <w:tabs>
          <w:tab w:leader="none" w:pos="1007"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take delivery thereof in the form of a Restricted Definitive Note if the Registrar receives the following:</w:t>
      </w:r>
    </w:p>
    <w:p>
      <w:pPr>
        <w:spacing w:after="0" w:line="4" w:lineRule="exact"/>
        <w:rPr>
          <w:rFonts w:ascii="Arial" w:cs="Arial" w:eastAsia="Arial" w:hAnsi="Arial"/>
          <w:sz w:val="16"/>
          <w:szCs w:val="16"/>
          <w:color w:val="auto"/>
        </w:rPr>
      </w:pPr>
    </w:p>
    <w:p>
      <w:pPr>
        <w:ind w:left="-140" w:right="480" w:firstLine="1492"/>
        <w:spacing w:after="0" w:line="268" w:lineRule="auto"/>
        <w:tabs>
          <w:tab w:leader="none" w:pos="1631"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50" w:lineRule="exact"/>
        <w:rPr>
          <w:rFonts w:ascii="Arial" w:cs="Arial" w:eastAsia="Arial" w:hAnsi="Arial"/>
          <w:sz w:val="18"/>
          <w:szCs w:val="18"/>
          <w:color w:val="auto"/>
        </w:rPr>
      </w:pPr>
    </w:p>
    <w:p>
      <w:pPr>
        <w:ind w:left="-140" w:right="280" w:firstLine="1492"/>
        <w:spacing w:after="0" w:line="268" w:lineRule="auto"/>
        <w:tabs>
          <w:tab w:leader="none" w:pos="1621"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shall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80" w:top="280" w:right="379" w:bottom="1440" w:gutter="0" w:footer="0" w:header="0"/>
        </w:sectPr>
      </w:pPr>
    </w:p>
    <w:bookmarkStart w:id="40" w:name="page41"/>
    <w:bookmarkEnd w:id="40"/>
    <w:p>
      <w:pPr>
        <w:ind w:right="40" w:firstLine="1492"/>
        <w:spacing w:after="0" w:line="259" w:lineRule="auto"/>
        <w:tabs>
          <w:tab w:leader="none" w:pos="1761"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transfer shall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 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Definitive Note or transferred to a Person or Persons who take delivery thereof in the form of an Unrestricted Definitive Note if the Registrar receives the following:</w:t>
      </w:r>
    </w:p>
    <w:p>
      <w:pPr>
        <w:spacing w:after="0" w:line="140" w:lineRule="exact"/>
        <w:rPr>
          <w:rFonts w:ascii="Arial" w:cs="Arial" w:eastAsia="Arial" w:hAnsi="Arial"/>
          <w:sz w:val="18"/>
          <w:szCs w:val="18"/>
          <w:color w:val="auto"/>
        </w:rPr>
      </w:pPr>
    </w:p>
    <w:p>
      <w:pPr>
        <w:ind w:firstLine="1492"/>
        <w:spacing w:after="0" w:line="268" w:lineRule="auto"/>
        <w:tabs>
          <w:tab w:leader="none" w:pos="17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(1)(d) thereof; or</w:t>
      </w:r>
    </w:p>
    <w:p>
      <w:pPr>
        <w:spacing w:after="0" w:line="131" w:lineRule="exact"/>
        <w:rPr>
          <w:rFonts w:ascii="Arial" w:cs="Arial" w:eastAsia="Arial" w:hAnsi="Arial"/>
          <w:sz w:val="18"/>
          <w:szCs w:val="18"/>
          <w:color w:val="auto"/>
        </w:rPr>
      </w:pPr>
    </w:p>
    <w:p>
      <w:pPr>
        <w:ind w:right="80" w:firstLine="1492"/>
        <w:spacing w:after="0" w:line="332" w:lineRule="auto"/>
        <w:tabs>
          <w:tab w:leader="none" w:pos="1761"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(4) thereof;</w:t>
      </w:r>
    </w:p>
    <w:p>
      <w:pPr>
        <w:spacing w:after="0" w:line="4"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color w:val="auto"/>
        </w:rPr>
        <w:t>and if the Registrar so requests ,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9" w:lineRule="exact"/>
        <w:rPr>
          <w:sz w:val="20"/>
          <w:szCs w:val="20"/>
          <w:color w:val="auto"/>
        </w:rPr>
      </w:pPr>
    </w:p>
    <w:p>
      <w:pPr>
        <w:ind w:left="460" w:right="160" w:firstLine="443"/>
        <w:spacing w:after="0" w:line="259"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40"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the applicable provisions of this Indenture.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2"/>
          <w:numId w:val="51"/>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p>
    <w:p>
      <w:pPr>
        <w:spacing w:after="0" w:line="90" w:lineRule="exact"/>
        <w:rPr>
          <w:rFonts w:ascii="Arial" w:cs="Arial" w:eastAsia="Arial" w:hAnsi="Arial"/>
          <w:sz w:val="18"/>
          <w:szCs w:val="18"/>
          <w:color w:val="auto"/>
        </w:rPr>
      </w:pPr>
    </w:p>
    <w:p>
      <w:pPr>
        <w:ind w:right="140" w:firstLine="1492"/>
        <w:spacing w:after="0" w:line="268" w:lineRule="auto"/>
        <w:tabs>
          <w:tab w:leader="none" w:pos="1771" w:val="left"/>
        </w:tabs>
        <w:numPr>
          <w:ilvl w:val="3"/>
          <w:numId w:val="51"/>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41" w:name="page42"/>
    <w:bookmarkEnd w:id="4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w:t>
      </w:r>
      <w:r>
        <w:rPr>
          <w:rFonts w:ascii="Arial" w:cs="Arial" w:eastAsia="Arial" w:hAnsi="Arial"/>
          <w:sz w:val="16"/>
          <w:szCs w:val="16"/>
          <w:b w:val="1"/>
          <w:bCs w:val="1"/>
          <w:color w:val="auto"/>
        </w:rPr>
        <w:t>IN THE CASE OF RULE 144A NOTES:</w:t>
      </w:r>
      <w:r>
        <w:rPr>
          <w:rFonts w:ascii="Arial" w:cs="Arial" w:eastAsia="Arial" w:hAnsi="Arial"/>
          <w:sz w:val="16"/>
          <w:szCs w:val="16"/>
          <w:color w:val="auto"/>
        </w:rPr>
        <w:t xml:space="preserve"> ON WHICH THE COMPANY INSTRUCTS THE TRUSTEE THAT THIS RESTRICTIVE LEGEND SHALL BE DEEMED REMOVED (WHICH INSTRUCTION IS EXPECTED TO BE GIVEN ON OR ABOUT THE ONE-YEAR ANNIVERSARY OF THE ISSUANCE OF THIS NOTE)] [</w:t>
      </w:r>
      <w:r>
        <w:rPr>
          <w:rFonts w:ascii="Arial" w:cs="Arial" w:eastAsia="Arial" w:hAnsi="Arial"/>
          <w:sz w:val="16"/>
          <w:szCs w:val="16"/>
          <w:b w:val="1"/>
          <w:bCs w:val="1"/>
          <w:color w:val="auto"/>
        </w:rPr>
        <w:t>IN THE CASE OF</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 S NOTES</w:t>
      </w:r>
      <w:r>
        <w:rPr>
          <w:rFonts w:ascii="Arial" w:cs="Arial" w:eastAsia="Arial" w:hAnsi="Arial"/>
          <w:sz w:val="16"/>
          <w:szCs w:val="16"/>
          <w:color w:val="auto"/>
        </w:rPr>
        <w:t>: 40 DAYS AFTER THE LATER OF THE ORIGINAL ISSUE DATE HEREOF AND THE LAST DATE ON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AFFILIATE OF THE COMPANY WAS THE OWNER OF THIS NOTE (OR ANY PREDECESSOR OF SUCH NOTE)], RESELL OR OTHERWISE TRANSFER THIS NOTE EXCEPT (A) TO THE COMPANY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OR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261" w:lineRule="exact"/>
        <w:rPr>
          <w:sz w:val="20"/>
          <w:szCs w:val="20"/>
          <w:color w:val="auto"/>
        </w:rPr>
      </w:pPr>
    </w:p>
    <w:p>
      <w:pPr>
        <w:ind w:right="20" w:firstLine="1492"/>
        <w:spacing w:after="0" w:line="332" w:lineRule="auto"/>
        <w:tabs>
          <w:tab w:leader="none" w:pos="17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(c)(3), (c)(4), (d)(2), (d)(3), (e)(2) or (e)(3) of this Section 2.06 (and all Notes issued in exchange therefor or substitution thereof) shall not bear the Private Placement Legend.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42" w:name="page43"/>
    <w:bookmarkEnd w:id="4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w:t>
      </w:r>
      <w:r>
        <w:rPr>
          <w:rFonts w:ascii="Arial" w:cs="Arial" w:eastAsia="Arial" w:hAnsi="Arial"/>
          <w:sz w:val="18"/>
          <w:szCs w:val="18"/>
          <w:i w:val="1"/>
          <w:iCs w:val="1"/>
          <w:color w:val="auto"/>
        </w:rPr>
        <w:t>Global Note Legend.</w:t>
      </w:r>
      <w:r>
        <w:rPr>
          <w:rFonts w:ascii="Arial" w:cs="Arial" w:eastAsia="Arial" w:hAnsi="Arial"/>
          <w:sz w:val="18"/>
          <w:szCs w:val="18"/>
          <w:color w:val="auto"/>
        </w:rPr>
        <w:t xml:space="preserve"> Each Global Note shall bear a legend in substantially the following form:</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5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i w:val="1"/>
          <w:iCs w:val="1"/>
          <w:color w:val="auto"/>
        </w:rPr>
        <w:t>Regulation S Temporary Global Note Legend.</w:t>
      </w:r>
      <w:r>
        <w:rPr>
          <w:rFonts w:ascii="Arial" w:cs="Arial" w:eastAsia="Arial" w:hAnsi="Arial"/>
          <w:sz w:val="16"/>
          <w:szCs w:val="16"/>
          <w:color w:val="auto"/>
        </w:rPr>
        <w:t xml:space="preserve"> The Regulation S Temporary Global Note shall bear a Legend in substantially the following form:</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43" w:lineRule="exact"/>
        <w:rPr>
          <w:sz w:val="20"/>
          <w:szCs w:val="20"/>
          <w:color w:val="auto"/>
        </w:rPr>
      </w:pPr>
    </w:p>
    <w:p>
      <w:pPr>
        <w:ind w:right="20" w:firstLine="464"/>
        <w:spacing w:after="0" w:line="294"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and/or Adjustment of Global Notes. </w:t>
      </w:r>
      <w:r>
        <w:rPr>
          <w:rFonts w:ascii="Arial" w:cs="Arial" w:eastAsia="Arial" w:hAnsi="Arial"/>
          <w:sz w:val="16"/>
          <w:szCs w:val="16"/>
          <w:color w:val="auto"/>
        </w:rPr>
        <w:t>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3" w:name="page44"/>
    <w:bookmarkEnd w:id="4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07" w:lineRule="exact"/>
        <w:rPr>
          <w:sz w:val="20"/>
          <w:szCs w:val="20"/>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50" w:lineRule="exact"/>
        <w:rPr>
          <w:rFonts w:ascii="Arial" w:cs="Arial" w:eastAsia="Arial" w:hAnsi="Arial"/>
          <w:sz w:val="18"/>
          <w:szCs w:val="18"/>
          <w:color w:val="auto"/>
        </w:rPr>
      </w:pPr>
    </w:p>
    <w:p>
      <w:pPr>
        <w:ind w:left="460" w:right="40" w:firstLine="443"/>
        <w:spacing w:after="0" w:line="306" w:lineRule="auto"/>
        <w:tabs>
          <w:tab w:leader="none" w:pos="1147"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25"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any Note selected for redemption in whole or in part, except the unredeemed portion of any Note being redeemed in part.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Neither the Registrar nor the Issuers shall be required:</w:t>
      </w:r>
    </w:p>
    <w:p>
      <w:pPr>
        <w:spacing w:after="0" w:line="90" w:lineRule="exact"/>
        <w:rPr>
          <w:rFonts w:ascii="Arial" w:cs="Arial" w:eastAsia="Arial" w:hAnsi="Arial"/>
          <w:sz w:val="18"/>
          <w:szCs w:val="18"/>
          <w:color w:val="auto"/>
        </w:rPr>
      </w:pPr>
    </w:p>
    <w:p>
      <w:pPr>
        <w:ind w:right="40" w:firstLine="1492"/>
        <w:spacing w:after="0" w:line="332" w:lineRule="auto"/>
        <w:tabs>
          <w:tab w:leader="none" w:pos="1771"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4" w:lineRule="exact"/>
        <w:rPr>
          <w:rFonts w:ascii="Arial" w:cs="Arial" w:eastAsia="Arial" w:hAnsi="Arial"/>
          <w:sz w:val="16"/>
          <w:szCs w:val="16"/>
          <w:color w:val="auto"/>
        </w:rPr>
      </w:pPr>
    </w:p>
    <w:p>
      <w:pPr>
        <w:ind w:right="300" w:firstLine="1492"/>
        <w:spacing w:after="0" w:line="268" w:lineRule="auto"/>
        <w:tabs>
          <w:tab w:leader="none" w:pos="1761"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50" w:lineRule="exact"/>
        <w:rPr>
          <w:rFonts w:ascii="Arial" w:cs="Arial" w:eastAsia="Arial" w:hAnsi="Arial"/>
          <w:sz w:val="18"/>
          <w:szCs w:val="18"/>
          <w:color w:val="auto"/>
        </w:rPr>
      </w:pPr>
    </w:p>
    <w:p>
      <w:pPr>
        <w:ind w:left="1760" w:hanging="268"/>
        <w:spacing w:after="0"/>
        <w:tabs>
          <w:tab w:leader="none" w:pos="17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9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1"/>
          <w:numId w:val="54"/>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44" w:name="page45"/>
    <w:bookmarkEnd w:id="44"/>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authenticate Global Notes and Definitive Notes in accordance with the provisions of Section 2.02 hereof.</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certifications and certificates required to be submitted to the Registrar pursuant to this Section 2.06 to effect a registration of transfer or exchange may be submitted by facsimile.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Replacement Notes.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Every replacement Note is an additional obligation of the Issuers and shall be entitled to all of the benefits of this Indenture equally and proportionately with all other Notes duly issued 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19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2.09 </w:t>
      </w:r>
      <w:r>
        <w:rPr>
          <w:rFonts w:ascii="Arial" w:cs="Arial" w:eastAsia="Arial" w:hAnsi="Arial"/>
          <w:sz w:val="18"/>
          <w:szCs w:val="18"/>
          <w:i w:val="1"/>
          <w:iCs w:val="1"/>
          <w:color w:val="auto"/>
        </w:rPr>
        <w:t>Treasury Notes.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The Issuers may not issue new Notes to replace Notes that they have paid or that have been delivered to the Trustee for cancellation.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Issuance of Additional Notes.</w:t>
      </w:r>
    </w:p>
    <w:p>
      <w:pPr>
        <w:spacing w:after="0" w:line="90"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6" w:name="page47"/>
    <w:bookmarkEnd w:id="4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this Indenture, other than with respect to the date of issuance, the initial date from which interest shall accrue on such Additional Notes and issue price. Without the consent of any Holder of Notes, the Issuers will be entitled to make any amendments to this Indenture, the Note Guarantees, the Pledge Agreement or the Intercreditor Agreement as they reasonably determine appropriate in good faith to facilitate the issuance of such Additional Notes.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51" w:lineRule="exact"/>
        <w:rPr>
          <w:sz w:val="20"/>
          <w:szCs w:val="20"/>
          <w:color w:val="auto"/>
        </w:rPr>
      </w:pPr>
    </w:p>
    <w:p>
      <w:pPr>
        <w:ind w:left="700" w:hanging="23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90" w:lineRule="exact"/>
        <w:rPr>
          <w:rFonts w:ascii="Arial" w:cs="Arial" w:eastAsia="Arial" w:hAnsi="Arial"/>
          <w:sz w:val="18"/>
          <w:szCs w:val="18"/>
          <w:color w:val="auto"/>
        </w:rPr>
      </w:pPr>
    </w:p>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51" w:lineRule="exact"/>
        <w:rPr>
          <w:sz w:val="20"/>
          <w:szCs w:val="20"/>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shall select Notes for redemption or purchase as follows:</w:t>
      </w:r>
    </w:p>
    <w:p>
      <w:pPr>
        <w:spacing w:after="0" w:line="51" w:lineRule="exact"/>
        <w:rPr>
          <w:sz w:val="20"/>
          <w:szCs w:val="20"/>
          <w:color w:val="auto"/>
        </w:rPr>
      </w:pPr>
    </w:p>
    <w:p>
      <w:pPr>
        <w:ind w:right="160" w:firstLine="464"/>
        <w:spacing w:after="0" w:line="268"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50" w:lineRule="exact"/>
        <w:rPr>
          <w:rFonts w:ascii="Arial" w:cs="Arial" w:eastAsia="Arial" w:hAnsi="Arial"/>
          <w:sz w:val="18"/>
          <w:szCs w:val="18"/>
          <w:color w:val="auto"/>
        </w:rPr>
      </w:pPr>
    </w:p>
    <w:p>
      <w:pPr>
        <w:ind w:right="78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Notes are not listed on any national securities exchange, on a pro rata basis, by lot or by such method as the Trustee shall deem fair and appropriate.</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7" w:name="page48"/>
    <w:bookmarkEnd w:id="47"/>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least 30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90" w:lineRule="exact"/>
        <w:rPr>
          <w:sz w:val="20"/>
          <w:szCs w:val="20"/>
          <w:color w:val="auto"/>
        </w:rPr>
      </w:pPr>
    </w:p>
    <w:p>
      <w:pPr>
        <w:ind w:left="700" w:hanging="23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jc w:val="both"/>
        <w:ind w:right="660" w:firstLine="464"/>
        <w:spacing w:after="0" w:line="357" w:lineRule="auto"/>
        <w:tabs>
          <w:tab w:leader="none" w:pos="695" w:val="left"/>
        </w:tabs>
        <w:numPr>
          <w:ilvl w:val="0"/>
          <w:numId w:val="59"/>
        </w:numPr>
        <w:rPr>
          <w:rFonts w:ascii="Arial" w:cs="Arial" w:eastAsia="Arial" w:hAnsi="Arial"/>
          <w:sz w:val="15"/>
          <w:szCs w:val="15"/>
          <w:color w:val="auto"/>
        </w:rPr>
      </w:pPr>
      <w:r>
        <w:rPr>
          <w:rFonts w:ascii="Arial" w:cs="Arial" w:eastAsia="Arial" w:hAnsi="Arial"/>
          <w:sz w:val="15"/>
          <w:szCs w:val="15"/>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that, unless the Issuers default in making such redemption payment, interest on Notes called for redemption ceases to accrue on and after the redemption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83" w:lineRule="exact"/>
        <w:rPr>
          <w:rFonts w:ascii="Arial" w:cs="Arial" w:eastAsia="Arial" w:hAnsi="Arial"/>
          <w:sz w:val="15"/>
          <w:szCs w:val="15"/>
          <w:color w:val="auto"/>
        </w:rPr>
      </w:pPr>
    </w:p>
    <w:p>
      <w:pPr>
        <w:ind w:left="720" w:hanging="256"/>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 and</w:t>
      </w:r>
    </w:p>
    <w:p>
      <w:pPr>
        <w:spacing w:after="0" w:line="113" w:lineRule="exact"/>
        <w:rPr>
          <w:rFonts w:ascii="Arial" w:cs="Arial" w:eastAsia="Arial" w:hAnsi="Arial"/>
          <w:sz w:val="16"/>
          <w:szCs w:val="16"/>
          <w:color w:val="auto"/>
        </w:rPr>
      </w:pPr>
    </w:p>
    <w:p>
      <w:pPr>
        <w:ind w:left="720" w:hanging="256"/>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8" w:name="page49"/>
    <w:bookmarkEnd w:id="48"/>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Notes Redeemed or Purchased in Part.</w:t>
      </w:r>
    </w:p>
    <w:p>
      <w:pPr>
        <w:spacing w:after="0" w:line="90" w:lineRule="exact"/>
        <w:rPr>
          <w:sz w:val="20"/>
          <w:szCs w:val="20"/>
          <w:color w:val="auto"/>
        </w:rPr>
      </w:pPr>
    </w:p>
    <w:p>
      <w:pPr>
        <w:jc w:val="center"/>
        <w:spacing w:after="0" w:line="370" w:lineRule="auto"/>
        <w:rPr>
          <w:sz w:val="20"/>
          <w:szCs w:val="20"/>
          <w:color w:val="auto"/>
        </w:rPr>
      </w:pPr>
      <w:r>
        <w:rPr>
          <w:rFonts w:ascii="Arial" w:cs="Arial" w:eastAsia="Arial" w:hAnsi="Arial"/>
          <w:sz w:val="15"/>
          <w:szCs w:val="15"/>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redeemable at the Issuers’ election, in whole or in part at any time prior to their Stated Maturity.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49" w:name="page50"/>
    <w:bookmarkEnd w:id="49"/>
    <w:p>
      <w:pPr>
        <w:ind w:left="700" w:hanging="23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redemption price for the Notes that are redeemed before February 28, 2023 will be equal to the greater of:</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90" w:lineRule="exact"/>
        <w:rPr>
          <w:rFonts w:ascii="Arial" w:cs="Arial" w:eastAsia="Arial" w:hAnsi="Arial"/>
          <w:sz w:val="18"/>
          <w:szCs w:val="18"/>
          <w:color w:val="auto"/>
        </w:rPr>
      </w:pPr>
    </w:p>
    <w:p>
      <w:pPr>
        <w:ind w:left="460" w:right="40" w:firstLine="443"/>
        <w:spacing w:after="0" w:line="335" w:lineRule="auto"/>
        <w:tabs>
          <w:tab w:leader="none" w:pos="1147" w:val="left"/>
        </w:tabs>
        <w:numPr>
          <w:ilvl w:val="1"/>
          <w:numId w:val="60"/>
        </w:numPr>
        <w:rPr>
          <w:rFonts w:ascii="Arial" w:cs="Arial" w:eastAsia="Arial" w:hAnsi="Arial"/>
          <w:sz w:val="15"/>
          <w:szCs w:val="15"/>
          <w:color w:val="auto"/>
        </w:rPr>
      </w:pPr>
      <w:r>
        <w:rPr>
          <w:rFonts w:ascii="Arial" w:cs="Arial" w:eastAsia="Arial" w:hAnsi="Arial"/>
          <w:sz w:val="15"/>
          <w:szCs w:val="15"/>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of the above cases, accrued and unpaid interest to the date of redemption on the Notes to be redeemed.</w:t>
      </w:r>
    </w:p>
    <w:p>
      <w:pPr>
        <w:spacing w:after="0" w:line="90" w:lineRule="exact"/>
        <w:rPr>
          <w:sz w:val="20"/>
          <w:szCs w:val="20"/>
          <w:color w:val="auto"/>
        </w:rPr>
      </w:pPr>
    </w:p>
    <w:p>
      <w:pPr>
        <w:ind w:firstLine="464"/>
        <w:spacing w:after="0" w:line="332"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redemption price for Notes that are redeemed on or after February 28, 2023 (the date that is three months prior to the maturity date) will be equal to the sum of 100% of their principal amount, plus accrued and unpaid interest to the date of redemption on the Notes to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Section 3.09 below, the Issuers are not required to make mandatory redemption or sinking fund payments with respect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Mandatory Disposition or Redemption Pursuant to Gaming Laws.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143"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require the Holder or Beneficial Owner to dispose of its Notes within 30 days (or such lesser period as required by the Gaming Authority) following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earlier of:</w:t>
      </w:r>
    </w:p>
    <w:p>
      <w:pPr>
        <w:spacing w:after="0" w:line="83"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shall not be licensed, qualified or found suitable by the Gaming Authority;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50" w:name="page51"/>
    <w:bookmarkEnd w:id="50"/>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price required by applicable law or by order of any Gaming Authority;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780" w:hanging="288"/>
        <w:spacing w:after="0"/>
        <w:tabs>
          <w:tab w:leader="none" w:pos="1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ind w:left="1760" w:hanging="268"/>
        <w:spacing w:after="0"/>
        <w:tabs>
          <w:tab w:leader="none" w:pos="1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each case, together with accrued and unpaid interest,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Immediately upon a determination by a Gaming Authority that a Holder or Beneficial Owner of Notes shall not be licensed, qualified or found suitable,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or Beneficial Owner shall not have any further rights with respect to the Notes to:</w:t>
      </w:r>
    </w:p>
    <w:p>
      <w:pPr>
        <w:spacing w:after="0" w:line="84" w:lineRule="exact"/>
        <w:rPr>
          <w:sz w:val="20"/>
          <w:szCs w:val="20"/>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right="560"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i w:val="1"/>
          <w:iCs w:val="1"/>
          <w:color w:val="auto"/>
        </w:rPr>
        <w:t>Maintenance of Office or Agency.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Issuers hereby designate the Corporate Trust Office of the Trustee as one such office or agency of the Issuers in accordance with Section 2.03 hereof.</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So long as any notes are outstanding, Wynn Las Vegas shall furnish to the Trustee:</w:t>
      </w:r>
    </w:p>
    <w:p>
      <w:pPr>
        <w:spacing w:after="0" w:line="90" w:lineRule="exact"/>
        <w:rPr>
          <w:sz w:val="20"/>
          <w:szCs w:val="20"/>
          <w:color w:val="auto"/>
        </w:rPr>
      </w:pPr>
    </w:p>
    <w:p>
      <w:pPr>
        <w:ind w:firstLine="464"/>
        <w:spacing w:after="0" w:line="294"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within 90 days after the end of each fiscal year beginning with the fiscal year ended December 31, 2013, annual reports of Wynn Las Vegas containing substantially all of the information that would have been required to be contained in an Annual Report on Form 10-K under the Exchange Act if Wynn Las Vegas had been a reporting company under the Exchange Act (but only to the extent similar information is included in the Issuers’ Offering Memorandum, dated as of May 15, 2013, relating to the offering of the Initial Notes), including (i) “Management’s Discussion and Analysis of Financial Condition and Results of Operations” and (ii) audited financial statements prepared in accordance with GAAP;</w:t>
      </w:r>
    </w:p>
    <w:p>
      <w:pPr>
        <w:spacing w:after="0" w:line="34"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beginning with the fiscal quarter ended June 30, 2013, quarterly reports of Wynn Las Vegas containing substantially all of the information that would have been required to be contained in a Quarterly Report on Form 10-Q under the Exchange Act if Wynn Las Vegas had been a reporting company under the Exchange Act (but only to the extent similar information is provided in the Issuers’ Offering Memorandum, dated as of May 15, 2013, relating to the offering of the Initial Notes), including (i) “Management’ Discussion and Analysis of Financial Condition and Results of Operations” and (ii) unaudited quarterly financial statements prepared in accordance with GAAP and reviewed pursuant to Statement on Auditing Standards No. 100 (or any successor provision); and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52" w:name="page53"/>
    <w:bookmarkEnd w:id="52"/>
    <w:p>
      <w:pPr>
        <w:ind w:left="-60" w:right="60" w:firstLine="464"/>
        <w:spacing w:after="0" w:line="288" w:lineRule="auto"/>
        <w:tabs>
          <w:tab w:leader="none" w:pos="635"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10 business days after the occurrence of each event that would have been required to be reported in a Current Report on Form 8-K under the Exchange Act if Wynn Las Vegas had been a reporting company under the Exchange Act, current reports containing substantially all of the information that would have been required to be contained in a Current Report on Form 8-K under the Exchange Act if Wynn Las Vegas had been a reporting company under the Exchange Act; provided, however, that no such current report will be required to be furnished if Wynn Las Vegas determines in its good faith judgment that such event is not material to noteholders or the business, assets, operations, financial positions or prospects of Wynn Las Vegas and the Guarantors, taken as a whole; provided further, however, that such reports (i) will not be required to comply with Section 302 or Section 404 of the Sarbanes-Oxley Act of 2002, or related Items 307 and 308 of Regulation S-K promulgated by the SEC, or Item 10(e) of Regulation S-K (with respect to any non-GAAP financial measures contained therein) and (ii) will not be required to contain the separate financial information for Guarantors contemplated by Rule 3-10 of Regulation S-X promulgated by the SEC.</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 So long as any notes are outstanding, Wynn Las Vegas shall also:</w:t>
      </w:r>
    </w:p>
    <w:p>
      <w:pPr>
        <w:spacing w:after="0" w:line="90" w:lineRule="exact"/>
        <w:rPr>
          <w:sz w:val="20"/>
          <w:szCs w:val="20"/>
          <w:color w:val="auto"/>
        </w:rPr>
      </w:pPr>
    </w:p>
    <w:p>
      <w:pPr>
        <w:ind w:left="-60" w:right="40" w:firstLine="464"/>
        <w:spacing w:after="0" w:line="256"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Las Vegas to obtain copies of such reports;</w:t>
      </w:r>
    </w:p>
    <w:p>
      <w:pPr>
        <w:spacing w:after="0" w:line="62" w:lineRule="exact"/>
        <w:rPr>
          <w:rFonts w:ascii="Arial" w:cs="Arial" w:eastAsia="Arial" w:hAnsi="Arial"/>
          <w:sz w:val="18"/>
          <w:szCs w:val="18"/>
          <w:color w:val="auto"/>
        </w:rPr>
      </w:pPr>
    </w:p>
    <w:p>
      <w:pPr>
        <w:ind w:left="-60" w:right="520" w:firstLine="464"/>
        <w:spacing w:after="0" w:line="268" w:lineRule="auto"/>
        <w:tabs>
          <w:tab w:leader="none" w:pos="6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50" w:lineRule="exact"/>
        <w:rPr>
          <w:rFonts w:ascii="Arial" w:cs="Arial" w:eastAsia="Arial" w:hAnsi="Arial"/>
          <w:sz w:val="18"/>
          <w:szCs w:val="18"/>
          <w:color w:val="auto"/>
        </w:rPr>
      </w:pPr>
    </w:p>
    <w:p>
      <w:pPr>
        <w:jc w:val="both"/>
        <w:ind w:left="-60" w:right="120" w:firstLine="464"/>
        <w:spacing w:after="0" w:line="256"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Wynn Las Vegas to obtain such information; and</w:t>
      </w:r>
    </w:p>
    <w:p>
      <w:pPr>
        <w:spacing w:after="0" w:line="62" w:lineRule="exact"/>
        <w:rPr>
          <w:rFonts w:ascii="Arial" w:cs="Arial" w:eastAsia="Arial" w:hAnsi="Arial"/>
          <w:sz w:val="18"/>
          <w:szCs w:val="18"/>
          <w:color w:val="auto"/>
        </w:rPr>
      </w:pPr>
    </w:p>
    <w:p>
      <w:pPr>
        <w:ind w:left="-60" w:right="220" w:firstLine="464"/>
        <w:spacing w:after="0" w:line="268" w:lineRule="auto"/>
        <w:tabs>
          <w:tab w:leader="none" w:pos="6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spacing w:after="0" w:line="132" w:lineRule="exact"/>
        <w:rPr>
          <w:sz w:val="20"/>
          <w:szCs w:val="20"/>
          <w:color w:val="auto"/>
        </w:rPr>
      </w:pPr>
    </w:p>
    <w:p>
      <w:pPr>
        <w:ind w:left="-60" w:right="100" w:firstLine="464"/>
        <w:spacing w:after="0" w:line="332" w:lineRule="auto"/>
        <w:tabs>
          <w:tab w:leader="none" w:pos="6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Wynn Las Vegas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85" w:lineRule="exact"/>
        <w:rPr>
          <w:rFonts w:ascii="Arial" w:cs="Arial" w:eastAsia="Arial" w:hAnsi="Arial"/>
          <w:sz w:val="16"/>
          <w:szCs w:val="16"/>
          <w:color w:val="auto"/>
        </w:rPr>
      </w:pPr>
    </w:p>
    <w:p>
      <w:pPr>
        <w:jc w:val="both"/>
        <w:ind w:left="-60" w:firstLine="464"/>
        <w:spacing w:after="0" w:line="259" w:lineRule="auto"/>
        <w:tabs>
          <w:tab w:leader="none" w:pos="6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4.03, Wynn Las Vegas may fulfill the requirement to furnish any such information described in Section 4.03(1)(a), (b) and (c) by filing the information with the SEC within the time periods specified in the SEC’s rules and regulations that are then applicable to Wynn Las Vegas.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300" w:top="280"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Arial" w:cs="Arial" w:eastAsia="Arial" w:hAnsi="Arial"/>
          <w:sz w:val="18"/>
          <w:szCs w:val="18"/>
          <w:i w:val="1"/>
          <w:iCs w:val="1"/>
          <w:color w:val="auto"/>
        </w:rPr>
        <w:t>Compliance Certificate.</w:t>
      </w:r>
    </w:p>
    <w:p>
      <w:pPr>
        <w:spacing w:after="0" w:line="90" w:lineRule="exact"/>
        <w:rPr>
          <w:sz w:val="20"/>
          <w:szCs w:val="20"/>
          <w:color w:val="auto"/>
        </w:rPr>
      </w:pPr>
    </w:p>
    <w:p>
      <w:pPr>
        <w:ind w:firstLine="464"/>
        <w:spacing w:after="0" w:line="288"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19" w:lineRule="exact"/>
        <w:rPr>
          <w:rFonts w:ascii="Arial" w:cs="Arial" w:eastAsia="Arial" w:hAnsi="Arial"/>
          <w:sz w:val="16"/>
          <w:szCs w:val="16"/>
          <w:color w:val="auto"/>
        </w:rPr>
      </w:pPr>
    </w:p>
    <w:p>
      <w:pPr>
        <w:ind w:right="100" w:firstLine="464"/>
        <w:spacing w:after="0" w:line="254"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44" w:lineRule="exact"/>
        <w:rPr>
          <w:rFonts w:ascii="Arial" w:cs="Arial" w:eastAsia="Arial" w:hAnsi="Arial"/>
          <w:sz w:val="18"/>
          <w:szCs w:val="18"/>
          <w:color w:val="auto"/>
        </w:rPr>
      </w:pPr>
    </w:p>
    <w:p>
      <w:pPr>
        <w:ind w:right="20" w:firstLine="464"/>
        <w:spacing w:after="0" w:line="370" w:lineRule="auto"/>
        <w:tabs>
          <w:tab w:leader="none" w:pos="695" w:val="left"/>
        </w:tabs>
        <w:numPr>
          <w:ilvl w:val="0"/>
          <w:numId w:val="69"/>
        </w:numPr>
        <w:rPr>
          <w:rFonts w:ascii="Arial" w:cs="Arial" w:eastAsia="Arial" w:hAnsi="Arial"/>
          <w:sz w:val="15"/>
          <w:szCs w:val="15"/>
          <w:color w:val="auto"/>
        </w:rPr>
      </w:pPr>
      <w:r>
        <w:rPr>
          <w:rFonts w:ascii="Arial" w:cs="Arial" w:eastAsia="Arial" w:hAnsi="Arial"/>
          <w:sz w:val="15"/>
          <w:szCs w:val="15"/>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Stay, Extension and Usury Laws.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Limitation on Liens Securing Indebtedness</w:t>
      </w:r>
    </w:p>
    <w:p>
      <w:pPr>
        <w:spacing w:after="0" w:line="90" w:lineRule="exact"/>
        <w:rPr>
          <w:sz w:val="20"/>
          <w:szCs w:val="20"/>
          <w:color w:val="auto"/>
        </w:rPr>
      </w:pPr>
    </w:p>
    <w:p>
      <w:pPr>
        <w:ind w:firstLine="464"/>
        <w:spacing w:after="0" w:line="255"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date of the Indenture) without effectively providing that the Notes shall be secured equally and ratably with (or prior to) such Indebtedness so long as such Indebtedness shall be so secured, except that this restriction will not apply to:</w:t>
      </w:r>
    </w:p>
    <w:p>
      <w:pPr>
        <w:spacing w:after="0" w:line="143" w:lineRule="exact"/>
        <w:rPr>
          <w:sz w:val="20"/>
          <w:szCs w:val="20"/>
          <w:color w:val="auto"/>
        </w:rPr>
      </w:pPr>
    </w:p>
    <w:p>
      <w:pPr>
        <w:ind w:left="700" w:hanging="23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71" w:lineRule="exact"/>
        <w:rPr>
          <w:rFonts w:ascii="Arial" w:cs="Arial" w:eastAsia="Arial" w:hAnsi="Arial"/>
          <w:sz w:val="18"/>
          <w:szCs w:val="18"/>
          <w:color w:val="auto"/>
        </w:rPr>
      </w:pPr>
    </w:p>
    <w:p>
      <w:pPr>
        <w:jc w:val="both"/>
        <w:ind w:right="80" w:firstLine="464"/>
        <w:spacing w:after="0" w:line="256"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143" w:lineRule="exact"/>
        <w:rPr>
          <w:rFonts w:ascii="Arial" w:cs="Arial" w:eastAsia="Arial" w:hAnsi="Arial"/>
          <w:sz w:val="18"/>
          <w:szCs w:val="18"/>
          <w:color w:val="auto"/>
        </w:rPr>
      </w:pPr>
    </w:p>
    <w:p>
      <w:pPr>
        <w:jc w:val="both"/>
        <w:ind w:right="140" w:firstLine="464"/>
        <w:spacing w:after="0" w:line="335" w:lineRule="auto"/>
        <w:tabs>
          <w:tab w:leader="none" w:pos="695" w:val="left"/>
        </w:tabs>
        <w:numPr>
          <w:ilvl w:val="0"/>
          <w:numId w:val="71"/>
        </w:numPr>
        <w:rPr>
          <w:rFonts w:ascii="Arial" w:cs="Arial" w:eastAsia="Arial" w:hAnsi="Arial"/>
          <w:sz w:val="15"/>
          <w:szCs w:val="15"/>
          <w:color w:val="auto"/>
        </w:rPr>
      </w:pPr>
      <w:r>
        <w:rPr>
          <w:rFonts w:ascii="Arial" w:cs="Arial" w:eastAsia="Arial" w:hAnsi="Arial"/>
          <w:sz w:val="15"/>
          <w:szCs w:val="15"/>
          <w:color w:val="auto"/>
        </w:rPr>
        <w:t>Liens (including purchase money Liens) existing at the time of acquisition thereof on property acquired after the date hereof or to secure Indebtedness Incurred prior to, at the time of, or within 24 months after the acquisition for the purpose of financing all or part of the purchase price of property acquired after the date hereof (provided that such Liens do not extend to or cover any property of an Issuer or any Guarantor other than the property so acquired);</w:t>
      </w:r>
    </w:p>
    <w:p>
      <w:pPr>
        <w:spacing w:after="0" w:line="88" w:lineRule="exact"/>
        <w:rPr>
          <w:rFonts w:ascii="Arial" w:cs="Arial" w:eastAsia="Arial" w:hAnsi="Arial"/>
          <w:sz w:val="15"/>
          <w:szCs w:val="15"/>
          <w:color w:val="auto"/>
        </w:rPr>
      </w:pPr>
    </w:p>
    <w:p>
      <w:pPr>
        <w:ind w:right="60" w:firstLine="464"/>
        <w:spacing w:after="0" w:line="294"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Liens on any property acquired, developed, constructed or otherwise improved by Wynn Las Vegas or any Subsidiary (including liens on the Equity Interests of any Subsidiary of Wynn Las Vegas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1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which secure Indebtedness of a Subsidiary of Wynn Las Vegas to Wynn Las Vegas or to a Guarantor or which secure Indebtedness of Wynn Las Vegas to a Guarantor;</w:t>
      </w:r>
    </w:p>
    <w:p>
      <w:pPr>
        <w:spacing w:after="0" w:line="131" w:lineRule="exact"/>
        <w:rPr>
          <w:rFonts w:ascii="Arial" w:cs="Arial" w:eastAsia="Arial" w:hAnsi="Arial"/>
          <w:sz w:val="18"/>
          <w:szCs w:val="18"/>
          <w:color w:val="auto"/>
        </w:rPr>
      </w:pPr>
    </w:p>
    <w:p>
      <w:pPr>
        <w:ind w:right="120" w:firstLine="464"/>
        <w:spacing w:after="0" w:line="370" w:lineRule="auto"/>
        <w:tabs>
          <w:tab w:leader="none" w:pos="676" w:val="left"/>
        </w:tabs>
        <w:numPr>
          <w:ilvl w:val="0"/>
          <w:numId w:val="71"/>
        </w:numPr>
        <w:rPr>
          <w:rFonts w:ascii="Arial" w:cs="Arial" w:eastAsia="Arial" w:hAnsi="Arial"/>
          <w:sz w:val="15"/>
          <w:szCs w:val="15"/>
          <w:color w:val="auto"/>
        </w:rPr>
      </w:pPr>
      <w:r>
        <w:rPr>
          <w:rFonts w:ascii="Arial" w:cs="Arial" w:eastAsia="Arial" w:hAnsi="Arial"/>
          <w:sz w:val="15"/>
          <w:szCs w:val="15"/>
          <w:color w:val="auto"/>
        </w:rPr>
        <w:t>Liens on the stock, partnership or other equity interest of Wynn Las Vegas or any Guarantor in any Joint Venture or any Subsidiary that owns an equity interest in such Joint Venture to secure Indebtedness, provided the amount of such Indebtedness is contributed and/or advanced solely to such Joint Venture;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55" w:name="page56"/>
    <w:bookmarkEnd w:id="55"/>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to government entities, including pollution control or industrial revenue bond financing;</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required by any contract or statute in order to permit Wynn Las Vegas or a Subsidiary of Wynn Las Vegas to perform any contract or subcontract made by it with or at the request of a governmental entity;</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mechanic’s, materialman’s, carrier’s or other like Liens, arising in the ordinary course of business;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for taxes or assessments and similar charges;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zoning restrictions, easements, licenses, covenants, reservations, restrictions on the use of real property and certain other minor irregularities of title;</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and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extension, renewal, replacement or refinancing of any Indebtedness secured by a Lien permitted by any of the foregoing clauses (a) through (f)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Notwithstanding Section 4.07(1),</w:t>
      </w:r>
    </w:p>
    <w:p>
      <w:pPr>
        <w:spacing w:after="0" w:line="171" w:lineRule="exact"/>
        <w:rPr>
          <w:sz w:val="20"/>
          <w:szCs w:val="20"/>
          <w:color w:val="auto"/>
        </w:rPr>
      </w:pPr>
    </w:p>
    <w:p>
      <w:pPr>
        <w:ind w:firstLine="464"/>
        <w:spacing w:after="0" w:line="288"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any of the Existing Notes are hereafter secured by any Liens on any of the assets of an Issuer or any Guarantor (the “</w:t>
      </w:r>
      <w:r>
        <w:rPr>
          <w:rFonts w:ascii="Arial" w:cs="Arial" w:eastAsia="Arial" w:hAnsi="Arial"/>
          <w:sz w:val="16"/>
          <w:szCs w:val="16"/>
          <w:i w:val="1"/>
          <w:iCs w:val="1"/>
          <w:u w:val="single" w:color="auto"/>
          <w:color w:val="auto"/>
        </w:rPr>
        <w:t>Initial Liens</w:t>
      </w:r>
      <w:r>
        <w:rPr>
          <w:rFonts w:ascii="Arial" w:cs="Arial" w:eastAsia="Arial" w:hAnsi="Arial"/>
          <w:sz w:val="16"/>
          <w:szCs w:val="16"/>
          <w:color w:val="auto"/>
        </w:rPr>
        <w:t>”), then the Issuers and each Guarantor shall, substantially concurrently with the granting of any such Liens, subject to all necessary gaming regulatory approvals, grant perfected Liens in the same collateral to secure the Notes, equally, ratably and on a pari passu basis (the “</w:t>
      </w:r>
      <w:r>
        <w:rPr>
          <w:rFonts w:ascii="Arial" w:cs="Arial" w:eastAsia="Arial" w:hAnsi="Arial"/>
          <w:sz w:val="16"/>
          <w:szCs w:val="16"/>
          <w:i w:val="1"/>
          <w:iCs w:val="1"/>
          <w:u w:val="single" w:color="auto"/>
          <w:color w:val="auto"/>
        </w:rPr>
        <w:t>Pari Passu Liens</w:t>
      </w:r>
      <w:r>
        <w:rPr>
          <w:rFonts w:ascii="Arial" w:cs="Arial" w:eastAsia="Arial" w:hAnsi="Arial"/>
          <w:sz w:val="16"/>
          <w:szCs w:val="16"/>
          <w:color w:val="auto"/>
        </w:rPr>
        <w:t>”). The Pari Passu Liens granted pursuant to this provision shall be (i) granted concurrently with the granting of any such Initial Liens, and (ii) granted pursuant to instruments, documents and agreements which are no less favorable to the trustee and the holders of the Notes than those granted to secure the Existing Notes. In connection with the granting of any such Pari Passu Liens, the Issuers and each Guarantor shall provide to the trustee (y) policies of title insurance on customary terms and conditions, to the extent that policies of title insurance on the corresponding property are provided to the holders of the Existing Notes or their trustee (and in an insured amount that bears the same proportion to the principal amount of the outstanding Notes as the insured amount in the policies provided to the holders of the Existing Notes bears to the aggregate outstanding amount thereof), and (z) legal opinions and other assurances as the trustee may reasonably request; and</w:t>
      </w:r>
    </w:p>
    <w:p>
      <w:pPr>
        <w:spacing w:after="0" w:line="119" w:lineRule="exact"/>
        <w:rPr>
          <w:rFonts w:ascii="Arial" w:cs="Arial" w:eastAsia="Arial" w:hAnsi="Arial"/>
          <w:sz w:val="16"/>
          <w:szCs w:val="16"/>
          <w:color w:val="auto"/>
        </w:rPr>
      </w:pPr>
    </w:p>
    <w:p>
      <w:pPr>
        <w:ind w:right="280" w:firstLine="464"/>
        <w:spacing w:after="0" w:line="256"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Issuers and the Guarantors become entitled to the release of all of such Initial Liens securing the Existing Notes and Note Guarantees related thereto, and provided that no Default or Event of Default has then occurred and remains continuing, the Issuers and the Guarantors may in their sole discretion request that the Collateral Agent release any such Initial Liens and Pari Passu Liens securing the Notes, and in such circumstances the collateral agent shall so release such Initial Liens and Pari Passu Liens.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4.08 </w:t>
      </w: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provided below under Section 4.09, neither Issuer nor any Guarantor will enter into any Sale and Lease-Back Transaction unless either:</w:t>
      </w:r>
    </w:p>
    <w:p>
      <w:pPr>
        <w:spacing w:after="0" w:line="194" w:lineRule="exact"/>
        <w:rPr>
          <w:sz w:val="20"/>
          <w:szCs w:val="20"/>
          <w:color w:val="auto"/>
        </w:rPr>
      </w:pPr>
    </w:p>
    <w:p>
      <w:pPr>
        <w:ind w:right="40" w:firstLine="464"/>
        <w:spacing w:after="0" w:line="268"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Issuer or such Guarantor would be entitled, pursuant to the provisions described in clauses (a) through (m) under Section 4.07(1) to create, assume or suffer to exist a Lien on the property to be leased without equally and ratably securing the Notes; or</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amount equal to the greater of the net cash proceeds of such sale or the Fair Market Value of such property (in the good faith opinion of the Board of Directors of Wynn Capital) is applied within 120 days to the retirement or other discharge of its Funded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Exempted Liens and Sale and Lease-Back Transactions.</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15% of Total Assets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provided that the foregoing shall not apply to any Liens that may at any time secure any of the Existing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Corporate and Organizational Existence.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51" w:lineRule="exact"/>
        <w:rPr>
          <w:sz w:val="20"/>
          <w:szCs w:val="20"/>
          <w:color w:val="auto"/>
        </w:rPr>
      </w:pPr>
    </w:p>
    <w:p>
      <w:pPr>
        <w:ind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50" w:lineRule="exact"/>
        <w:rPr>
          <w:rFonts w:ascii="Arial" w:cs="Arial" w:eastAsia="Arial" w:hAnsi="Arial"/>
          <w:sz w:val="18"/>
          <w:szCs w:val="18"/>
          <w:color w:val="auto"/>
        </w:rPr>
      </w:pPr>
    </w:p>
    <w:p>
      <w:pPr>
        <w:ind w:right="220" w:firstLine="464"/>
        <w:spacing w:after="0" w:line="255"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rights (charter and statutory), licenses and franchises of the Issuers and their respective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Issuers and the Guarantors shall not be required to preserve any such right, license or franchise, or the corporate, partnership or other existence of any of their respective Subsidiaries (other than the Issuers), if the Board of Directors of Wynn Capital or the applicable Guarantor shall determine that the preservation thereof is no longer desirable in the conduct of the business of Wynn Las Vegas and the Guarantors, taken as a whole, and that the loss thereof is not adverse in any material respect to the Holders of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8"/>
          <w:szCs w:val="18"/>
          <w:i w:val="1"/>
          <w:iCs w:val="1"/>
          <w:color w:val="auto"/>
        </w:rPr>
        <w:t>Offer to Purchase Upon Change of Control.</w:t>
      </w:r>
    </w:p>
    <w:p>
      <w:pPr>
        <w:spacing w:after="0" w:line="90" w:lineRule="exact"/>
        <w:rPr>
          <w:sz w:val="20"/>
          <w:szCs w:val="20"/>
          <w:color w:val="auto"/>
        </w:rPr>
      </w:pPr>
    </w:p>
    <w:p>
      <w:pPr>
        <w:ind w:right="20" w:firstLine="464"/>
        <w:spacing w:after="0" w:line="255"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the occurrence of a Change of Control Triggering Event,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 each Holder to repurchase all or any part (equal to $2,000 or an integral multiple of $1,000 in excess of $2,000) of each Holder’s Notes at a purchase price equal to 101 % of the aggregate principal amount thereof plus accrued and unpaid interest on the Notes purchased, if any, to the date of purchase (the “</w:t>
      </w:r>
      <w:r>
        <w:rPr>
          <w:rFonts w:ascii="Arial" w:cs="Arial" w:eastAsia="Arial" w:hAnsi="Arial"/>
          <w:sz w:val="18"/>
          <w:szCs w:val="18"/>
          <w:i w:val="1"/>
          <w:iCs w:val="1"/>
          <w:u w:val="single" w:color="auto"/>
          <w:color w:val="auto"/>
        </w:rPr>
        <w:t>Change of Control Payment</w:t>
      </w:r>
      <w:r>
        <w:rPr>
          <w:rFonts w:ascii="Arial" w:cs="Arial" w:eastAsia="Arial" w:hAnsi="Arial"/>
          <w:sz w:val="18"/>
          <w:szCs w:val="18"/>
          <w:color w:val="auto"/>
        </w:rPr>
        <w:t>”). Within ten days following any Change of Control Triggering Event, the Issuers shall mail a notice to each Holder describing the transaction or transactions that constitute the Change of Control Triggering Event and stating:</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the Change of Control Offer is being made pursuant to this Section 4.11 and that all Notes tendered shall be accepted for payment;</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purchase price and the purchase date, which shall be no earlier than 30 days and no later than 60 days from the date such notice is mailed (the “</w:t>
      </w:r>
      <w:r>
        <w:rPr>
          <w:rFonts w:ascii="Arial" w:cs="Arial" w:eastAsia="Arial" w:hAnsi="Arial"/>
          <w:sz w:val="18"/>
          <w:szCs w:val="18"/>
          <w:i w:val="1"/>
          <w:iCs w:val="1"/>
          <w:u w:val="single" w:color="auto"/>
          <w:color w:val="auto"/>
        </w:rPr>
        <w:t>Change of Control Payment Date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any Note not tendered shall continue to accrue interest;</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25"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25" w:lineRule="exact"/>
        <w:rPr>
          <w:rFonts w:ascii="Arial" w:cs="Arial" w:eastAsia="Arial" w:hAnsi="Arial"/>
          <w:sz w:val="16"/>
          <w:szCs w:val="16"/>
          <w:color w:val="auto"/>
        </w:rPr>
      </w:pPr>
    </w:p>
    <w:p>
      <w:pPr>
        <w:ind w:left="460" w:right="20" w:firstLine="443"/>
        <w:spacing w:after="0" w:line="332"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58" w:name="page59"/>
    <w:bookmarkEnd w:id="58"/>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113" w:lineRule="exact"/>
        <w:rPr>
          <w:sz w:val="20"/>
          <w:szCs w:val="20"/>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the Change of Control Payment Date, the Issuers shall, to the extent lawful: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13" w:lineRule="exact"/>
        <w:rPr>
          <w:sz w:val="20"/>
          <w:szCs w:val="20"/>
          <w:color w:val="auto"/>
        </w:rPr>
      </w:pPr>
    </w:p>
    <w:p>
      <w:pPr>
        <w:ind w:right="20" w:firstLine="464"/>
        <w:spacing w:after="0" w:line="298"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left="700" w:hanging="236"/>
        <w:spacing w:after="0"/>
        <w:tabs>
          <w:tab w:leader="none" w:pos="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Neither Issuer may, directly or indirectly, (1) consolidate or merge with or into another Person (whether or not such Issuer is the surviving entity) or</w:t>
      </w:r>
    </w:p>
    <w:p>
      <w:pPr>
        <w:spacing w:after="0" w:line="38" w:lineRule="exact"/>
        <w:rPr>
          <w:rFonts w:ascii="Arial" w:cs="Arial" w:eastAsia="Arial" w:hAnsi="Arial"/>
          <w:sz w:val="16"/>
          <w:szCs w:val="16"/>
          <w:color w:val="auto"/>
        </w:rPr>
      </w:pPr>
    </w:p>
    <w:p>
      <w:pPr>
        <w:ind w:right="300" w:firstLine="8"/>
        <w:spacing w:after="0" w:line="261"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sell, assign, transfer, convey or otherwise dispose of all or substantially all of its properties or assets in one or more related transactions, to another Person, unless:</w:t>
      </w:r>
    </w:p>
    <w:p>
      <w:pPr>
        <w:spacing w:after="0" w:line="56"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2"/>
          <w:numId w:val="80"/>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9" w:name="page60"/>
    <w:bookmarkEnd w:id="59"/>
    <w:p>
      <w:pPr>
        <w:ind w:left="460" w:right="30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Notwithstanding the provisions of this Section 5.01, Wynn Las Vegas or any Guarantor that is not a subchapter “C” corporation is permitted to convert into a corporation pursuant to a Permitted C-Corp. Conversion.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700" w:hanging="23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700" w:hanging="23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by Wynn Capital, Wynn Las Vegas or any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60" w:name="page61"/>
    <w:bookmarkEnd w:id="60"/>
    <w:p>
      <w:pPr>
        <w:ind w:left="400" w:right="20" w:firstLine="443"/>
        <w:spacing w:after="0" w:line="268" w:lineRule="auto"/>
        <w:tabs>
          <w:tab w:leader="none" w:pos="1087"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comply with any payment obligations (including, without limitation, obligations as to the timing or amount of such payments) described under Section 4.11 hereof;</w:t>
      </w:r>
    </w:p>
    <w:p>
      <w:pPr>
        <w:spacing w:after="0" w:line="50" w:lineRule="exact"/>
        <w:rPr>
          <w:rFonts w:ascii="Arial" w:cs="Arial" w:eastAsia="Arial" w:hAnsi="Arial"/>
          <w:sz w:val="18"/>
          <w:szCs w:val="18"/>
          <w:color w:val="auto"/>
        </w:rPr>
      </w:pPr>
    </w:p>
    <w:p>
      <w:pPr>
        <w:ind w:left="1100" w:hanging="257"/>
        <w:spacing w:after="0"/>
        <w:tabs>
          <w:tab w:leader="none" w:pos="11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comply with Section 5.01 hereof;</w:t>
      </w:r>
    </w:p>
    <w:p>
      <w:pPr>
        <w:spacing w:after="0" w:line="171" w:lineRule="exact"/>
        <w:rPr>
          <w:rFonts w:ascii="Arial" w:cs="Arial" w:eastAsia="Arial" w:hAnsi="Arial"/>
          <w:sz w:val="18"/>
          <w:szCs w:val="18"/>
          <w:color w:val="auto"/>
        </w:rPr>
      </w:pPr>
    </w:p>
    <w:p>
      <w:pPr>
        <w:ind w:left="-60" w:right="20" w:firstLine="464"/>
        <w:spacing w:after="0" w:line="259" w:lineRule="auto"/>
        <w:tabs>
          <w:tab w:leader="none" w:pos="6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by Wynn Capital, Wynn Las Vegas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40" w:lineRule="exact"/>
        <w:rPr>
          <w:rFonts w:ascii="Arial" w:cs="Arial" w:eastAsia="Arial" w:hAnsi="Arial"/>
          <w:sz w:val="18"/>
          <w:szCs w:val="18"/>
          <w:color w:val="auto"/>
        </w:rPr>
      </w:pPr>
    </w:p>
    <w:p>
      <w:pPr>
        <w:ind w:left="-60" w:right="40" w:firstLine="464"/>
        <w:spacing w:after="0" w:line="25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Guarantor (or the payment of which is guaranteed by Wynn Las Vegas or any Guarantor) whether such Indebtedness or guarantee exists on the date hereof,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w:t>
      </w:r>
    </w:p>
    <w:p>
      <w:pPr>
        <w:spacing w:after="0" w:line="144" w:lineRule="exact"/>
        <w:rPr>
          <w:rFonts w:ascii="Arial" w:cs="Arial" w:eastAsia="Arial" w:hAnsi="Arial"/>
          <w:sz w:val="18"/>
          <w:szCs w:val="18"/>
          <w:color w:val="auto"/>
        </w:rPr>
      </w:pPr>
    </w:p>
    <w:p>
      <w:pPr>
        <w:ind w:left="-60" w:firstLine="464"/>
        <w:spacing w:after="0" w:line="259" w:lineRule="auto"/>
        <w:tabs>
          <w:tab w:leader="none" w:pos="6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by Wynn Capital, Wynn Las Vegas or any Guarantor to pay final non-appealable judgments (not paid or covered by insurance as to which the relevant insurance company has not denied responsibility) aggregating in excess of $25.0 million, which judgments are not paid, bonded, discharged or stayed for a period of 60 days;</w:t>
      </w:r>
    </w:p>
    <w:p>
      <w:pPr>
        <w:spacing w:after="0" w:line="140" w:lineRule="exact"/>
        <w:rPr>
          <w:rFonts w:ascii="Arial" w:cs="Arial" w:eastAsia="Arial" w:hAnsi="Arial"/>
          <w:sz w:val="18"/>
          <w:szCs w:val="18"/>
          <w:color w:val="auto"/>
        </w:rPr>
      </w:pPr>
    </w:p>
    <w:p>
      <w:pPr>
        <w:jc w:val="both"/>
        <w:ind w:left="-60" w:right="40" w:firstLine="464"/>
        <w:spacing w:after="0" w:line="256" w:lineRule="auto"/>
        <w:tabs>
          <w:tab w:leader="none" w:pos="6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Pledge Agreement shall cease, for any reason (other than pursuant to its terms or the terms of the Indenture), to be in full force and effect, or Wynn Capital or Wynn Las Vegas or any Affiliate of any such Person or any Person acting on behalf of any such Person, shall so assert, or any security interest created, or purported to be created, by the Pledge Agreement shall cease to be enforceable and of the same effect and priority purported to be created by the Pledge Agreement;</w:t>
      </w:r>
    </w:p>
    <w:p>
      <w:pPr>
        <w:spacing w:after="0" w:line="143" w:lineRule="exact"/>
        <w:rPr>
          <w:rFonts w:ascii="Arial" w:cs="Arial" w:eastAsia="Arial" w:hAnsi="Arial"/>
          <w:sz w:val="18"/>
          <w:szCs w:val="18"/>
          <w:color w:val="auto"/>
        </w:rPr>
      </w:pPr>
    </w:p>
    <w:p>
      <w:pPr>
        <w:ind w:left="660" w:hanging="25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either Issuer or any Guarantor:</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100" w:hanging="257"/>
        <w:spacing w:after="0"/>
        <w:tabs>
          <w:tab w:leader="none" w:pos="11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300" w:top="280" w:right="279" w:bottom="1440" w:gutter="0" w:footer="0" w:header="0"/>
        </w:sectPr>
      </w:pPr>
    </w:p>
    <w:bookmarkStart w:id="61" w:name="page62"/>
    <w:bookmarkEnd w:id="61"/>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for relief against either Issuer or any Guarantor in an involuntary case;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appoints a custodian of either Issuer or any Guarantor;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orders the liquidation of either Issuer or any Guarantor;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the case of an Event of Default specified in clause (h) or (i)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6.05 </w:t>
      </w:r>
      <w:r>
        <w:rPr>
          <w:rFonts w:ascii="Arial" w:cs="Arial" w:eastAsia="Arial" w:hAnsi="Arial"/>
          <w:sz w:val="18"/>
          <w:szCs w:val="18"/>
          <w:i w:val="1"/>
          <w:iCs w:val="1"/>
          <w:color w:val="auto"/>
        </w:rPr>
        <w:t>Control by Majority.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to enforce the right to receive payment of principal, interest, or premium, if any, when due, a Holder of a Note may pursue a remedy with respect to this Indenture or the Notes only if:</w:t>
      </w:r>
    </w:p>
    <w:p>
      <w:pPr>
        <w:spacing w:after="0" w:line="51" w:lineRule="exact"/>
        <w:rPr>
          <w:sz w:val="20"/>
          <w:szCs w:val="20"/>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Holder of a Note gives to the Trustee written notice that an Event of Default is continuing;</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then outstanding Notes make a written request to the Trustee to pursue the remedy;</w:t>
      </w:r>
    </w:p>
    <w:p>
      <w:pPr>
        <w:spacing w:after="0" w:line="113" w:lineRule="exact"/>
        <w:rPr>
          <w:rFonts w:ascii="Arial" w:cs="Arial" w:eastAsia="Arial" w:hAnsi="Arial"/>
          <w:sz w:val="16"/>
          <w:szCs w:val="16"/>
          <w:color w:val="auto"/>
        </w:rPr>
      </w:pPr>
    </w:p>
    <w:p>
      <w:pPr>
        <w:ind w:left="700" w:hanging="236"/>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w:t>
      </w:r>
    </w:p>
    <w:p>
      <w:pPr>
        <w:spacing w:after="0" w:line="83"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90"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then outstanding Notes do not give the Trustee a direction inconsistent with such request within such 60-day period.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of Notes to Receive Payment.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6.08 </w:t>
      </w:r>
      <w:r>
        <w:rPr>
          <w:rFonts w:ascii="Arial" w:cs="Arial" w:eastAsia="Arial" w:hAnsi="Arial"/>
          <w:sz w:val="18"/>
          <w:szCs w:val="18"/>
          <w:i w:val="1"/>
          <w:iCs w:val="1"/>
          <w:color w:val="auto"/>
        </w:rPr>
        <w:t>Collection Suit by Trustee.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90" w:lineRule="exact"/>
        <w:rPr>
          <w:sz w:val="20"/>
          <w:szCs w:val="20"/>
          <w:color w:val="auto"/>
        </w:rPr>
      </w:pPr>
    </w:p>
    <w:p>
      <w:pPr>
        <w:ind w:left="460" w:right="200" w:firstLine="438"/>
        <w:spacing w:after="0" w:line="33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Trustee, (including the Collateral Agent) for amounts due under Section 7.07 hereof, including payment of all compensation,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incurred, and all advances made, by the Trustee (including the Collateral Agent) and the costs and expenses of collection;</w:t>
      </w:r>
    </w:p>
    <w:p>
      <w:pPr>
        <w:spacing w:after="0" w:line="4" w:lineRule="exact"/>
        <w:rPr>
          <w:sz w:val="20"/>
          <w:szCs w:val="20"/>
          <w:color w:val="auto"/>
        </w:rPr>
      </w:pPr>
    </w:p>
    <w:p>
      <w:pPr>
        <w:ind w:left="460" w:right="340" w:firstLine="438"/>
        <w:spacing w:after="0" w:line="332" w:lineRule="auto"/>
        <w:rPr>
          <w:sz w:val="20"/>
          <w:szCs w:val="20"/>
          <w:color w:val="auto"/>
        </w:rPr>
      </w:pPr>
      <w:r>
        <w:rPr>
          <w:rFonts w:ascii="Arial" w:cs="Arial" w:eastAsia="Arial" w:hAnsi="Arial"/>
          <w:sz w:val="16"/>
          <w:szCs w:val="16"/>
          <w:i w:val="1"/>
          <w:iCs w:val="1"/>
          <w:color w:val="auto"/>
        </w:rPr>
        <w:t xml:space="preserve">Second: </w:t>
      </w:r>
      <w:r>
        <w:rPr>
          <w:rFonts w:ascii="Arial" w:cs="Arial" w:eastAsia="Arial" w:hAnsi="Arial"/>
          <w:sz w:val="16"/>
          <w:szCs w:val="16"/>
          <w:color w:val="auto"/>
        </w:rPr>
        <w:t>to Holders of Notes for amounts due and unpaid on the Notes for principal, premium, if any, and interest, ratably, without preference or</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of any kind, according to the amounts due and payable on the Notes for principal, premium, if any and interest, respectively;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64" w:name="page65"/>
    <w:bookmarkEnd w:id="64"/>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Third: </w:t>
      </w:r>
      <w:r>
        <w:rPr>
          <w:rFonts w:ascii="Arial" w:cs="Arial" w:eastAsia="Arial" w:hAnsi="Arial"/>
          <w:sz w:val="18"/>
          <w:szCs w:val="18"/>
          <w:color w:val="auto"/>
        </w:rPr>
        <w:t>to the Issuers or to such party as a court of competent jurisdiction shall direct.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90" w:lineRule="exact"/>
        <w:rPr>
          <w:sz w:val="20"/>
          <w:szCs w:val="20"/>
          <w:color w:val="auto"/>
        </w:rPr>
      </w:pPr>
    </w:p>
    <w:p>
      <w:pPr>
        <w:ind w:right="80" w:firstLine="464"/>
        <w:spacing w:after="0" w:line="370" w:lineRule="auto"/>
        <w:tabs>
          <w:tab w:leader="none" w:pos="695"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the Pledge Agreement and the Intercreditor Agreement, and the Trustee need perform only those duties that are specifically set forth in this Indenture, the Pledge Agreement and the Intercreditor Agreement, and no others, and no implied covenants or obligations shall be read into this Indenture, the Pledge Agreement and the Intercreditor Agreement against the Trustee; and</w:t>
      </w:r>
    </w:p>
    <w:p>
      <w:pPr>
        <w:spacing w:after="0" w:line="62" w:lineRule="exact"/>
        <w:rPr>
          <w:rFonts w:ascii="Arial" w:cs="Arial" w:eastAsia="Arial" w:hAnsi="Arial"/>
          <w:sz w:val="18"/>
          <w:szCs w:val="18"/>
          <w:color w:val="auto"/>
        </w:rPr>
      </w:pPr>
    </w:p>
    <w:p>
      <w:pPr>
        <w:ind w:left="460" w:right="200" w:firstLine="443"/>
        <w:spacing w:after="0" w:line="256"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Pledge Agreement and the Intercreditor Agreement. However, the Trustee shall examine the certificates and opinions to determine whether or not they conform to the requirements of this Indenture, the Pledge Agreement and the Intercreditor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65" w:name="page66"/>
    <w:bookmarkEnd w:id="65"/>
    <w:p>
      <w:pPr>
        <w:ind w:left="700" w:hanging="236"/>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not be relieved from liabilities for its own negligent action, its own negligent failure to act, or its own willful misconduct, except that: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this Section 7.01(c) does not limit the effect of paragraph (b) of this Section 7.01;</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 hereof.</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31" w:lineRule="exact"/>
        <w:rPr>
          <w:rFonts w:ascii="Arial" w:cs="Arial" w:eastAsia="Arial" w:hAnsi="Arial"/>
          <w:sz w:val="18"/>
          <w:szCs w:val="18"/>
          <w:color w:val="auto"/>
        </w:rPr>
      </w:pPr>
    </w:p>
    <w:p>
      <w:pPr>
        <w:ind w:right="40" w:firstLine="464"/>
        <w:spacing w:after="0" w:line="256"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provision of this Indenture, the Pledge Agreement or the Intercreditor Agreement shall require the Trustee to expend or risk its own funds or incur any liability. The Trustee shall be under no obligation to exercise any of its rights and powers under this Indenture, the Pledge Agreement and the Intercreditor Agreement at the request of any Holders, unless such Holder shall have offered to the Trustee security and indemnity satisfactory to it against any loss, liability or expense.</w:t>
      </w:r>
    </w:p>
    <w:p>
      <w:pPr>
        <w:spacing w:after="0" w:line="143" w:lineRule="exact"/>
        <w:rPr>
          <w:rFonts w:ascii="Arial" w:cs="Arial" w:eastAsia="Arial" w:hAnsi="Arial"/>
          <w:sz w:val="18"/>
          <w:szCs w:val="18"/>
          <w:color w:val="auto"/>
        </w:rPr>
      </w:pPr>
    </w:p>
    <w:p>
      <w:pPr>
        <w:ind w:right="140" w:firstLine="464"/>
        <w:spacing w:after="0" w:line="268"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90" w:lineRule="exact"/>
        <w:rPr>
          <w:sz w:val="20"/>
          <w:szCs w:val="20"/>
          <w:color w:val="auto"/>
        </w:rPr>
      </w:pPr>
    </w:p>
    <w:p>
      <w:pPr>
        <w:ind w:right="360"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3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43" w:lineRule="exact"/>
        <w:rPr>
          <w:rFonts w:ascii="Arial" w:cs="Arial" w:eastAsia="Arial" w:hAnsi="Arial"/>
          <w:sz w:val="18"/>
          <w:szCs w:val="18"/>
          <w:color w:val="auto"/>
        </w:rPr>
      </w:pPr>
    </w:p>
    <w:p>
      <w:pPr>
        <w:ind w:left="5620" w:hanging="5156"/>
        <w:spacing w:after="0" w:line="440" w:lineRule="auto"/>
        <w:tabs>
          <w:tab w:leader="none" w:pos="6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appointed with due care. 54</w:t>
      </w:r>
    </w:p>
    <w:p>
      <w:pPr>
        <w:sectPr>
          <w:pgSz w:w="11900" w:h="16838" w:orient="portrait"/>
          <w:cols w:equalWidth="0" w:num="1">
            <w:col w:w="11420"/>
          </w:cols>
          <w:pgMar w:left="240" w:top="280" w:right="239" w:bottom="1440" w:gutter="0" w:footer="0" w:header="0"/>
        </w:sectPr>
      </w:pPr>
    </w:p>
    <w:bookmarkStart w:id="66" w:name="page67"/>
    <w:bookmarkEnd w:id="66"/>
    <w:p>
      <w:pPr>
        <w:ind w:right="580" w:firstLine="464"/>
        <w:spacing w:after="0" w:line="268" w:lineRule="auto"/>
        <w:tabs>
          <w:tab w:leader="none" w:pos="666"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action it takes or omits to take in good faith that it believes to be authorized or within the rights or powers conferred upon it by this Indenture.</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the Pledge Agreement or the Intercreditor Agreement, any demand, request, direction or notice from the Issuers shall be sufficient if signed by an Officer of either Issuer.</w:t>
      </w:r>
    </w:p>
    <w:p>
      <w:pPr>
        <w:spacing w:after="0" w:line="131" w:lineRule="exact"/>
        <w:rPr>
          <w:rFonts w:ascii="Arial" w:cs="Arial" w:eastAsia="Arial" w:hAnsi="Arial"/>
          <w:sz w:val="18"/>
          <w:szCs w:val="18"/>
          <w:color w:val="auto"/>
        </w:rPr>
      </w:pPr>
    </w:p>
    <w:p>
      <w:pPr>
        <w:ind w:right="20" w:firstLine="464"/>
        <w:spacing w:after="0" w:line="291" w:lineRule="auto"/>
        <w:tabs>
          <w:tab w:leader="none" w:pos="66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the Pledge Agreement or the Intercreditor Agreement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the Pledge Agreement, (ii) the occurrence of any default, or the validity, enforceability, effectiveness or genuineness of the Pledge Agreement or other agreement, instrument or document, (iii) the creation, perfection or priority of any lien, (iv) the value or sufficiency of any Collateral or (v) the satisfaction of any condition set forth in the Pledge Agreement.</w:t>
      </w:r>
    </w:p>
    <w:p>
      <w:pPr>
        <w:spacing w:after="0" w:line="120" w:lineRule="exact"/>
        <w:rPr>
          <w:rFonts w:ascii="Arial" w:cs="Arial" w:eastAsia="Arial" w:hAnsi="Arial"/>
          <w:sz w:val="16"/>
          <w:szCs w:val="16"/>
          <w:color w:val="auto"/>
        </w:rPr>
      </w:pPr>
    </w:p>
    <w:p>
      <w:pPr>
        <w:ind w:right="560" w:firstLine="464"/>
        <w:spacing w:after="0" w:line="268" w:lineRule="auto"/>
        <w:tabs>
          <w:tab w:leader="none" w:pos="7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expressly provided herein, the Trustee shall have no duty to inquire as to the performance of the Issuers with respect to the covenants contained in Articles 4 and 5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 Event of Default except (i) any Default or Event of Default occurring pursuant to Sections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6.01(a) and (b) hereof or (ii) any Default or Event of Default of which the Trustee shall have received written notification or obtained actual knowledge thereof.</w:t>
      </w:r>
    </w:p>
    <w:p>
      <w:pPr>
        <w:spacing w:after="0" w:line="188" w:lineRule="exact"/>
        <w:rPr>
          <w:sz w:val="20"/>
          <w:szCs w:val="20"/>
          <w:color w:val="auto"/>
        </w:rPr>
      </w:pPr>
    </w:p>
    <w:p>
      <w:pPr>
        <w:jc w:val="both"/>
        <w:ind w:right="140" w:firstLine="464"/>
        <w:spacing w:after="0" w:line="335" w:lineRule="auto"/>
        <w:tabs>
          <w:tab w:leader="none" w:pos="705"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88" w:lineRule="exact"/>
        <w:rPr>
          <w:rFonts w:ascii="Arial" w:cs="Arial" w:eastAsia="Arial" w:hAnsi="Arial"/>
          <w:sz w:val="15"/>
          <w:szCs w:val="15"/>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permissive right granted to the Trustee shall not be construed as a mandatory duty.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71" w:lineRule="exact"/>
        <w:rPr>
          <w:rFonts w:ascii="Arial" w:cs="Arial" w:eastAsia="Arial" w:hAnsi="Arial"/>
          <w:sz w:val="18"/>
          <w:szCs w:val="18"/>
          <w:color w:val="auto"/>
        </w:rPr>
      </w:pPr>
    </w:p>
    <w:p>
      <w:pPr>
        <w:ind w:firstLine="464"/>
        <w:spacing w:after="0" w:line="255" w:lineRule="auto"/>
        <w:tabs>
          <w:tab w:leader="none" w:pos="6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8"/>
          <w:szCs w:val="18"/>
          <w:i w:val="1"/>
          <w:iCs w:val="1"/>
          <w:color w:val="auto"/>
        </w:rPr>
        <w:t>Individual Rights of Trustee.</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Compensation and Indemnity.</w:t>
      </w:r>
    </w:p>
    <w:p>
      <w:pPr>
        <w:spacing w:after="0" w:line="90" w:lineRule="exact"/>
        <w:rPr>
          <w:sz w:val="20"/>
          <w:szCs w:val="20"/>
          <w:color w:val="auto"/>
        </w:rPr>
      </w:pPr>
    </w:p>
    <w:p>
      <w:pPr>
        <w:ind w:right="240" w:firstLine="464"/>
        <w:spacing w:after="0" w:line="298"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12" w:lineRule="exact"/>
        <w:rPr>
          <w:rFonts w:ascii="Arial" w:cs="Arial" w:eastAsia="Arial" w:hAnsi="Arial"/>
          <w:sz w:val="16"/>
          <w:szCs w:val="16"/>
          <w:color w:val="auto"/>
        </w:rPr>
      </w:pPr>
    </w:p>
    <w:p>
      <w:pPr>
        <w:ind w:firstLine="464"/>
        <w:spacing w:after="0" w:line="294" w:lineRule="auto"/>
        <w:tabs>
          <w:tab w:leader="none" w:pos="7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Issuers and the Guarantors shall indemnify the Trustee against any and all losses, liabilities or expenses incurred by it arising out of or in connection with the acceptance or administration of its duties under this Indenture, the Pledge Agreement and the Intercreditor Agreement,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8" w:name="page69"/>
    <w:bookmarkEnd w:id="68"/>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13"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obligations of the Issuers and the Guarantors under this Section 7.06 shall survive the satisfaction and discharge of this Indenture.</w:t>
      </w:r>
    </w:p>
    <w:p>
      <w:pPr>
        <w:spacing w:after="0" w:line="194" w:lineRule="exact"/>
        <w:rPr>
          <w:rFonts w:ascii="Arial" w:cs="Arial" w:eastAsia="Arial" w:hAnsi="Arial"/>
          <w:sz w:val="16"/>
          <w:szCs w:val="16"/>
          <w:color w:val="auto"/>
        </w:rPr>
      </w:pPr>
    </w:p>
    <w:p>
      <w:pPr>
        <w:jc w:val="both"/>
        <w:ind w:right="280" w:firstLine="464"/>
        <w:spacing w:after="0" w:line="259"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40"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Replacement of Trustee.</w:t>
      </w:r>
    </w:p>
    <w:p>
      <w:pPr>
        <w:spacing w:after="0" w:line="90" w:lineRule="exact"/>
        <w:rPr>
          <w:sz w:val="20"/>
          <w:szCs w:val="20"/>
          <w:color w:val="auto"/>
        </w:rPr>
      </w:pPr>
    </w:p>
    <w:p>
      <w:pPr>
        <w:ind w:right="80" w:firstLine="464"/>
        <w:spacing w:after="0" w:line="268"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7.07.</w:t>
      </w:r>
    </w:p>
    <w:p>
      <w:pPr>
        <w:spacing w:after="0" w:line="131"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Trustee fails to comply with Section 7.09 hereof;</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71" w:lineRule="exact"/>
        <w:rPr>
          <w:rFonts w:ascii="Arial" w:cs="Arial" w:eastAsia="Arial" w:hAnsi="Arial"/>
          <w:sz w:val="18"/>
          <w:szCs w:val="18"/>
          <w:color w:val="auto"/>
        </w:rPr>
      </w:pPr>
    </w:p>
    <w:p>
      <w:pPr>
        <w:ind w:right="80" w:firstLine="464"/>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69" w:name="page70"/>
    <w:bookmarkEnd w:id="69"/>
    <w:p>
      <w:pPr>
        <w:ind w:right="40" w:firstLine="464"/>
        <w:spacing w:after="0" w:line="370" w:lineRule="auto"/>
        <w:tabs>
          <w:tab w:leader="none" w:pos="705" w:val="left"/>
        </w:tabs>
        <w:numPr>
          <w:ilvl w:val="0"/>
          <w:numId w:val="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62" w:lineRule="exact"/>
        <w:rPr>
          <w:rFonts w:ascii="Arial" w:cs="Arial" w:eastAsia="Arial" w:hAnsi="Arial"/>
          <w:sz w:val="15"/>
          <w:szCs w:val="15"/>
          <w:color w:val="auto"/>
        </w:rPr>
      </w:pPr>
    </w:p>
    <w:p>
      <w:pPr>
        <w:ind w:right="280" w:firstLine="464"/>
        <w:spacing w:after="0" w:line="268"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31" w:lineRule="exact"/>
        <w:rPr>
          <w:rFonts w:ascii="Arial" w:cs="Arial" w:eastAsia="Arial" w:hAnsi="Arial"/>
          <w:sz w:val="18"/>
          <w:szCs w:val="18"/>
          <w:color w:val="auto"/>
        </w:rPr>
      </w:pPr>
    </w:p>
    <w:p>
      <w:pPr>
        <w:ind w:firstLine="464"/>
        <w:spacing w:after="0" w:line="294" w:lineRule="auto"/>
        <w:tabs>
          <w:tab w:leader="none" w:pos="676"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in Section 7.06 hereof. Notwithstanding replacement of the Trustee pursuant to this Section 7.07, the Issuers’ obligations under Section 7.06 hereof shall continue for the benefit of the retiring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Successor Trustee by Merger, etc.</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Eligibility; Disqualification.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9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70" w:name="page71"/>
    <w:bookmarkEnd w:id="7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Notes, each of the Guarantors shall be deemed to be discharged from their obligations with respect to their Note Guarantees and Wynn Las Vegas and Wynn Resorts Holdings shall be deemed to be discharged from their obligations with respect to the Pledge Agreement on the date the conditions set forth below are satisfied (hereinafter, “</w:t>
      </w:r>
      <w:r>
        <w:rPr>
          <w:rFonts w:ascii="Arial" w:cs="Arial" w:eastAsia="Arial" w:hAnsi="Arial"/>
          <w:sz w:val="16"/>
          <w:szCs w:val="16"/>
          <w:i w:val="1"/>
          <w:iCs w:val="1"/>
          <w:u w:val="single" w:color="auto"/>
          <w:color w:val="auto"/>
        </w:rPr>
        <w:t>Legal Defeasance</w:t>
      </w:r>
      <w:r>
        <w:rPr>
          <w:rFonts w:ascii="Arial" w:cs="Arial" w:eastAsia="Arial" w:hAnsi="Arial"/>
          <w:sz w:val="16"/>
          <w:szCs w:val="16"/>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Pledge Agreement,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18" w:lineRule="exact"/>
        <w:rPr>
          <w:sz w:val="20"/>
          <w:szCs w:val="20"/>
          <w:color w:val="auto"/>
        </w:rPr>
      </w:pPr>
    </w:p>
    <w:p>
      <w:pPr>
        <w:ind w:right="240" w:firstLine="464"/>
        <w:spacing w:after="0" w:line="268"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in Section 8.04 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Article 2 and Section 4.02 hereof;</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and the Guarantors’ obligations in connection therewith;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Subject to compliance with this Article 8, the Issuers may exercise their option under this Section 8.02 notwithstanding the prior exercise of its option under Section 8.03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and clause (5) of Section 5.01(a) hereof with respect to the outstanding Notes on and after the date the conditions set forth in Section 8.04 hereof are satisfied (hereinafter, “</w:t>
      </w:r>
      <w:r>
        <w:rPr>
          <w:rFonts w:ascii="Arial" w:cs="Arial" w:eastAsia="Arial" w:hAnsi="Arial"/>
          <w:sz w:val="16"/>
          <w:szCs w:val="16"/>
          <w:i w:val="1"/>
          <w:iCs w:val="1"/>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71" w:name="page72"/>
    <w:bookmarkEnd w:id="71"/>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90" w:lineRule="exact"/>
        <w:rPr>
          <w:sz w:val="20"/>
          <w:szCs w:val="20"/>
          <w:color w:val="auto"/>
        </w:rPr>
      </w:pPr>
    </w:p>
    <w:p>
      <w:pPr>
        <w:ind w:right="20" w:firstLine="464"/>
        <w:spacing w:after="0" w:line="255"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61" w:lineRule="exact"/>
        <w:rPr>
          <w:rFonts w:ascii="Arial" w:cs="Arial" w:eastAsia="Arial" w:hAnsi="Arial"/>
          <w:sz w:val="18"/>
          <w:szCs w:val="18"/>
          <w:color w:val="auto"/>
        </w:rPr>
      </w:pPr>
    </w:p>
    <w:p>
      <w:pPr>
        <w:ind w:right="100" w:firstLine="464"/>
        <w:spacing w:after="0" w:line="254"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63" w:lineRule="exact"/>
        <w:rPr>
          <w:rFonts w:ascii="Arial" w:cs="Arial" w:eastAsia="Arial" w:hAnsi="Arial"/>
          <w:sz w:val="18"/>
          <w:szCs w:val="18"/>
          <w:color w:val="auto"/>
        </w:rPr>
      </w:pPr>
    </w:p>
    <w:p>
      <w:pPr>
        <w:ind w:firstLine="464"/>
        <w:spacing w:after="0" w:line="256"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59" w:lineRule="exact"/>
        <w:rPr>
          <w:rFonts w:ascii="Arial" w:cs="Arial" w:eastAsia="Arial" w:hAnsi="Arial"/>
          <w:sz w:val="18"/>
          <w:szCs w:val="18"/>
          <w:color w:val="auto"/>
        </w:rPr>
      </w:pPr>
    </w:p>
    <w:p>
      <w:pPr>
        <w:ind w:right="440" w:firstLine="464"/>
        <w:spacing w:after="0" w:line="332"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72" w:name="page73"/>
    <w:bookmarkEnd w:id="72"/>
    <w:p>
      <w:pPr>
        <w:ind w:right="140" w:firstLine="464"/>
        <w:spacing w:after="0" w:line="298" w:lineRule="auto"/>
        <w:tabs>
          <w:tab w:leader="none" w:pos="676"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12" w:lineRule="exact"/>
        <w:rPr>
          <w:rFonts w:ascii="Arial" w:cs="Arial" w:eastAsia="Arial" w:hAnsi="Arial"/>
          <w:sz w:val="16"/>
          <w:szCs w:val="16"/>
          <w:color w:val="auto"/>
        </w:rPr>
      </w:pPr>
    </w:p>
    <w:p>
      <w:pPr>
        <w:jc w:val="both"/>
        <w:ind w:right="460" w:firstLine="464"/>
        <w:spacing w:after="0" w:line="370" w:lineRule="auto"/>
        <w:tabs>
          <w:tab w:leader="none" w:pos="705"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62" w:lineRule="exact"/>
        <w:rPr>
          <w:rFonts w:ascii="Arial" w:cs="Arial" w:eastAsia="Arial" w:hAnsi="Arial"/>
          <w:sz w:val="15"/>
          <w:szCs w:val="15"/>
          <w:color w:val="auto"/>
        </w:rPr>
      </w:pPr>
    </w:p>
    <w:p>
      <w:pPr>
        <w:ind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Government Securities to be Held in Trust; Other Miscellaneous Provisions.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6"/>
          <w:szCs w:val="16"/>
          <w:u w:val="single" w:color="auto"/>
          <w:color w:val="auto"/>
        </w:rPr>
        <w:t>Trustee</w:t>
      </w:r>
      <w:r>
        <w:rPr>
          <w:rFonts w:ascii="Arial" w:cs="Arial" w:eastAsia="Arial" w:hAnsi="Arial"/>
          <w:sz w:val="16"/>
          <w:szCs w:val="16"/>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8.06 </w:t>
      </w:r>
      <w:r>
        <w:rPr>
          <w:rFonts w:ascii="Arial" w:cs="Arial" w:eastAsia="Arial" w:hAnsi="Arial"/>
          <w:sz w:val="18"/>
          <w:szCs w:val="18"/>
          <w:i w:val="1"/>
          <w:iCs w:val="1"/>
          <w:color w:val="auto"/>
        </w:rPr>
        <w:t>Repayment to Issuers.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 the Pledge Agreement and the Intercreditor Agreement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Notwithstanding Section 9.02 of this Indenture, without the consent of any Holder, the Issuers, the Guarantors and the Trustee may amend or supplement this Indenture, the Notes or the Note Guarantees or, subject to the terms of the Intercreditor Agreement, the Pledge Agreement to:</w:t>
      </w:r>
    </w:p>
    <w:p>
      <w:pPr>
        <w:spacing w:after="0" w:line="4" w:lineRule="exact"/>
        <w:rPr>
          <w:sz w:val="20"/>
          <w:szCs w:val="20"/>
          <w:color w:val="auto"/>
        </w:rPr>
      </w:pPr>
    </w:p>
    <w:p>
      <w:pPr>
        <w:ind w:left="700" w:hanging="236"/>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90" w:lineRule="exact"/>
        <w:rPr>
          <w:rFonts w:ascii="Arial" w:cs="Arial" w:eastAsia="Arial" w:hAnsi="Arial"/>
          <w:sz w:val="18"/>
          <w:szCs w:val="18"/>
          <w:color w:val="auto"/>
        </w:rPr>
      </w:pPr>
    </w:p>
    <w:p>
      <w:pPr>
        <w:jc w:val="both"/>
        <w:ind w:right="60" w:firstLine="464"/>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or Article 11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4" w:name="page75"/>
    <w:bookmarkEnd w:id="74"/>
    <w:p>
      <w:pPr>
        <w:ind w:right="500" w:firstLine="464"/>
        <w:spacing w:after="0" w:line="268"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any change that would provide any additional rights or benefits to the Holders of the Notes or that does not adversely affect the legal rights hereunder of any such Holder;</w:t>
      </w:r>
    </w:p>
    <w:p>
      <w:pPr>
        <w:spacing w:after="0" w:line="50" w:lineRule="exact"/>
        <w:rPr>
          <w:rFonts w:ascii="Arial" w:cs="Arial" w:eastAsia="Arial" w:hAnsi="Arial"/>
          <w:sz w:val="18"/>
          <w:szCs w:val="18"/>
          <w:color w:val="auto"/>
        </w:rPr>
      </w:pPr>
    </w:p>
    <w:p>
      <w:pPr>
        <w:ind w:right="100" w:firstLine="464"/>
        <w:spacing w:after="0" w:line="256"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conform the text of the Indenture, the Notes or the Note Guarantees to any provision of the “Description of the Notes” in the Issuers’ Offering Memorandum, dated as of May 15, 2013,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provide for the issuance of Additional Notes in accordance with the limitations set forth in this Indenture as of the date of this Indenture;</w:t>
      </w:r>
    </w:p>
    <w:p>
      <w:pPr>
        <w:spacing w:after="0" w:line="113" w:lineRule="exact"/>
        <w:rPr>
          <w:rFonts w:ascii="Arial" w:cs="Arial" w:eastAsia="Arial" w:hAnsi="Arial"/>
          <w:sz w:val="16"/>
          <w:szCs w:val="16"/>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Note Guarantee with respect to the Notes;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additional or supplemental pledge agreements or an intercreditor agreement with respect thereto; or</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provide for the Notes to become secured.</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request of the Issuers, the Trustee will enter into amendments, restatements and modifications of the Pledge Agreement and Intercreditor Agreement from time to time in connection with the grant of any Liens permitted under this Indenture; provided, however, that any such amended, restated or modified Pledge Agreement and Intercreditor Agreement shall contain terms no less favorable to the Trustee or the Holders of the Notes than the terms contained in the Pledge Agreement and Intercreditor Agreement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Except as provided below in this Section 9.02, the Issuers, the Guarantors and the Trustee may amend or supplement this Indenture (including, without limitation, Section 4.11 hereof), the Notes, the Note Guarantees and, subject to the terms of the Intercreditor Agreement and this Indenture, the Pledge Agreement, with the consent of the Holders of at least a majority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75" w:name="page76"/>
    <w:bookmarkEnd w:id="7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the Note Guarantees or, subject to the terms of the Intercreditor Agreement and this Indenture, the Pledge Agreement,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39" w:lineRule="exact"/>
        <w:rPr>
          <w:sz w:val="20"/>
          <w:szCs w:val="20"/>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or waive any of the provisions with respect to the redemption of the Notes, except as provided above with respect to Section 4.11 hereof;</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76" w:name="page77"/>
    <w:bookmarkEnd w:id="76"/>
    <w:p>
      <w:pPr>
        <w:ind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right="560" w:firstLine="464"/>
        <w:spacing w:after="0" w:line="268" w:lineRule="auto"/>
        <w:tabs>
          <w:tab w:leader="none" w:pos="6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if any, on the Notes;</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Sections 4.11 hereof);</w:t>
      </w:r>
    </w:p>
    <w:p>
      <w:pPr>
        <w:spacing w:after="0" w:line="90"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or modify any Note Guarantee in a manner that would adversely affect the holders of the Notes or release any Guarantor from any of its obligations under its Note Guarantee or this Indenture (except in accordance with the terms of this Indenture);</w:t>
      </w:r>
    </w:p>
    <w:p>
      <w:pPr>
        <w:spacing w:after="0" w:line="50" w:lineRule="exact"/>
        <w:rPr>
          <w:rFonts w:ascii="Arial" w:cs="Arial" w:eastAsia="Arial" w:hAnsi="Arial"/>
          <w:sz w:val="18"/>
          <w:szCs w:val="18"/>
          <w:color w:val="auto"/>
        </w:rPr>
      </w:pPr>
    </w:p>
    <w:p>
      <w:pPr>
        <w:ind w:right="160" w:firstLine="464"/>
        <w:spacing w:after="0" w:line="268" w:lineRule="auto"/>
        <w:tabs>
          <w:tab w:leader="none" w:pos="6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in each case, except in accordance with the provisions of this Indenture, the Pledge Agreement and the Intercreditor Agreement;</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the provisions of Section 10.03 hereof; or</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Notes.</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i w:val="1"/>
          <w:iCs w:val="1"/>
          <w:color w:val="auto"/>
        </w:rPr>
        <w:t>Trustee to Sign Amendments, etc.</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COLLATERAL AND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Collateral Documents.</w:t>
      </w:r>
    </w:p>
    <w:p>
      <w:pPr>
        <w:spacing w:after="0" w:line="90" w:lineRule="exact"/>
        <w:rPr>
          <w:sz w:val="20"/>
          <w:szCs w:val="20"/>
          <w:color w:val="auto"/>
        </w:rPr>
      </w:pPr>
    </w:p>
    <w:p>
      <w:pPr>
        <w:ind w:firstLine="464"/>
        <w:spacing w:after="0" w:line="284"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due and punctual payment of the principal of and interest and premium on the Notes when and as the same shall be due and payable, whether on an interest payment date, at maturity, by acceleration, repurchase, redemption or otherwise, and interest on the overdue principal of and interest and premium on the Notes and performance of all other obligations of the Issuers and the Guarantors to the Holders of Notes or the Trustee under this Indenture and the Notes, according to the terms hereunder or thereunder, are secured as provided in the Collateral Documents which have been entered into prior to or simultaneously with the execution of this Indenture (including, without limitation, the Collateral Documents listed on Exhibit G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and the Collateral Agent, as applicable, to enter into the Collateral Documents and to perform their respective obligations and exercise their respective rights thereunder in accordance therewith. The Issuers shall deliver or cause to be delivered to the Trustee copies of all documents delivered to the Collateral Agent pursuant to the 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to the extent secured by the Collateral Documents, according to the intent and purposes therein expressed. Subject to the terms of the Intercreditor Agreement, the Issuers shall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Collateral Agent for the benefit of itself, the Trustee and the Holders of Notes, superior to and prior to the rights of all third Persons, in each case, subject to Liens permitted under this Indenture and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80" w:right="279" w:bottom="1440" w:gutter="0" w:footer="0" w:header="0"/>
        </w:sectPr>
      </w:pPr>
    </w:p>
    <w:bookmarkStart w:id="78" w:name="page79"/>
    <w:bookmarkEnd w:id="7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terms of the Intercreditor Agreement. For the avoidance of doubt, the obligations of the Issuers and the Guarantors under this Indenture and the Notes are not secured by any deeds of trust, security agreements, control agreements or any other agreements entered into prior to the date hereof to secure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or the 2020 Notes.</w:t>
      </w:r>
    </w:p>
    <w:p>
      <w:pPr>
        <w:spacing w:after="0" w:line="140" w:lineRule="exact"/>
        <w:rPr>
          <w:sz w:val="20"/>
          <w:szCs w:val="20"/>
          <w:color w:val="auto"/>
        </w:rPr>
      </w:pPr>
    </w:p>
    <w:p>
      <w:pPr>
        <w:ind w:firstLine="464"/>
        <w:spacing w:after="0" w:line="285"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Without limiting the generality of the foregoing, each Holder by accepting a Note agrees that any other document or instrument pursuant to which the Issuers or any Affiliate thereof from time to time grants a Lien to the Trustee or the Holders or an agent or representative on their behalf to secure their obligations hereunder (collectively, the “</w:t>
      </w:r>
      <w:r>
        <w:rPr>
          <w:rFonts w:ascii="Arial" w:cs="Arial" w:eastAsia="Arial" w:hAnsi="Arial"/>
          <w:sz w:val="16"/>
          <w:szCs w:val="16"/>
          <w:i w:val="1"/>
          <w:iCs w:val="1"/>
          <w:u w:val="single" w:color="auto"/>
          <w:color w:val="auto"/>
        </w:rPr>
        <w:t>Security Documents</w:t>
      </w:r>
      <w:r>
        <w:rPr>
          <w:rFonts w:ascii="Arial" w:cs="Arial" w:eastAsia="Arial" w:hAnsi="Arial"/>
          <w:sz w:val="16"/>
          <w:szCs w:val="16"/>
          <w:color w:val="auto"/>
        </w:rPr>
        <w:t>”) are “Shared Security Documents,” and that the Trustee is authorized and directed by each Holder to treat and the Trustee and each such Holder agrees that it will treat the same as “Shared Security Documents” under and as defined in 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removing the Collateral Agent and for purposes of sharing the proceeds of the collateral thereunder with the other First Lien Secured Parties (as defined in the Intercreditor Agreement). In furtherance of the foregoing, the Trustee shall (and is hereby authorized to) take or instruct the Collateral Agent thereunder to take such actions under the Security Documents or related thereto as requested by the Required Secured Parties (as defined in the Intercreditor Agreement) from time to time, and notwithstanding any provision in this Indenture to the contrary, unless all debt secured by the Security Documents has been Discharged, the Trustee will not release or instruct the Collateral Agent thereunder to release any Collateral unless such release is not prohibited by the Intercreditor Agreement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Agreement, this Indenture, the Security Documents and any other such documents or instruments entered into by Deutsche Bank Trust Company Americas (and its successors) as the collateral agent for the benefit of the Trustee and the Holders. The Issuers and the Guarantors hereby consent to the foregoing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Recording and Opinions.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shall furnish to the Trustee simultaneously with the execution and delivery of this Indenture an Opinion of Counsel either:</w:t>
      </w:r>
    </w:p>
    <w:p>
      <w:pPr>
        <w:spacing w:after="0" w:line="90" w:lineRule="exact"/>
        <w:rPr>
          <w:sz w:val="20"/>
          <w:szCs w:val="20"/>
          <w:color w:val="auto"/>
        </w:rPr>
      </w:pPr>
    </w:p>
    <w:p>
      <w:pPr>
        <w:ind w:right="40" w:firstLine="464"/>
        <w:spacing w:after="0" w:line="259"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stating that, in the opinion of such counsel, all action has been taken with respect to the recording, registering and/or filing of any financing statements or other instruments necessary to make effective the Lien intended to be created by the Collateral Documents, and reciting with respect to the security interests in the Collateral, the details of such action; or</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stating that, in the opinion of such counsel, no such action is necessary to make such Lien effective.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80"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40" w:firstLine="464"/>
        <w:spacing w:after="0" w:line="301" w:lineRule="auto"/>
        <w:tabs>
          <w:tab w:leader="none" w:pos="695" w:val="left"/>
        </w:tabs>
        <w:numPr>
          <w:ilvl w:val="1"/>
          <w:numId w:val="106"/>
        </w:numPr>
        <w:rPr>
          <w:rFonts w:ascii="Arial" w:cs="Arial" w:eastAsia="Arial" w:hAnsi="Arial"/>
          <w:sz w:val="15"/>
          <w:szCs w:val="15"/>
          <w:color w:val="auto"/>
        </w:rPr>
      </w:pPr>
      <w:r>
        <w:rPr>
          <w:rFonts w:ascii="Arial" w:cs="Arial" w:eastAsia="Arial" w:hAnsi="Arial"/>
          <w:sz w:val="15"/>
          <w:szCs w:val="15"/>
          <w:color w:val="auto"/>
        </w:rPr>
        <w:t>Subject to Sections 9.02 and 10.01(b),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9.02 and 10.01(b),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 (1) the identity of the Collateral to be released and</w:t>
      </w:r>
    </w:p>
    <w:p>
      <w:pPr>
        <w:spacing w:after="0" w:line="4" w:lineRule="exact"/>
        <w:rPr>
          <w:rFonts w:ascii="Arial" w:cs="Arial" w:eastAsia="Arial" w:hAnsi="Arial"/>
          <w:sz w:val="15"/>
          <w:szCs w:val="15"/>
          <w:color w:val="auto"/>
        </w:rPr>
      </w:pPr>
    </w:p>
    <w:p>
      <w:pPr>
        <w:ind w:firstLine="8"/>
        <w:spacing w:after="0" w:line="261" w:lineRule="auto"/>
        <w:tabs>
          <w:tab w:leader="none" w:pos="2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provisions of this Indenture or the applicable Collateral Document which authorize such release, the Trustee shall release the Liens in favor of the Trustee (at the sole cost and expense of the Issuers) on:</w:t>
      </w:r>
    </w:p>
    <w:p>
      <w:pPr>
        <w:spacing w:after="0" w:line="56"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all Collateral (except as provided in Articles 8 and 12 of this Indenture) upon Legal Defeasance as provided for in Section 8.02 hereof or satisfaction and discharge of this Indenture as provided for Section 12.01 hereof;</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all Collateral upon the payment in full in cash in immediately available funds of all Obligations of the Issuers and the Guarantors under this Indenture, the Notes, the Note Guarantees and the Collateral Documents;</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all Collateral on any date following the date of this Indenture upon which Wynn Resorts receives an Investment Grade rating from one or more Rating Agencies;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171" w:lineRule="exact"/>
        <w:rPr>
          <w:rFonts w:ascii="Arial" w:cs="Arial" w:eastAsia="Arial" w:hAnsi="Arial"/>
          <w:sz w:val="18"/>
          <w:szCs w:val="18"/>
          <w:color w:val="auto"/>
        </w:rPr>
      </w:pPr>
    </w:p>
    <w:p>
      <w:pPr>
        <w:ind w:right="360" w:firstLine="464"/>
        <w:spacing w:after="0" w:line="259" w:lineRule="auto"/>
        <w:tabs>
          <w:tab w:leader="none" w:pos="70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Upon receipt by the Trustee of the applicable Officers’ Certificate required to be delivered pursuant to Section 10.03(a), the Trustee shall execute, deliver or acknowledge any necessary or proper instruments of termination, satisfaction or release to evidence the release of any Collateral permitted to be released pursuant to this Section 10.03.</w:t>
      </w:r>
    </w:p>
    <w:p>
      <w:pPr>
        <w:spacing w:after="0" w:line="140" w:lineRule="exact"/>
        <w:rPr>
          <w:rFonts w:ascii="Arial" w:cs="Arial" w:eastAsia="Arial" w:hAnsi="Arial"/>
          <w:sz w:val="18"/>
          <w:szCs w:val="18"/>
          <w:color w:val="auto"/>
        </w:rPr>
      </w:pPr>
    </w:p>
    <w:p>
      <w:pPr>
        <w:ind w:right="40" w:firstLine="464"/>
        <w:spacing w:after="0" w:line="259" w:lineRule="auto"/>
        <w:tabs>
          <w:tab w:leader="none" w:pos="6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40" w:lineRule="exact"/>
        <w:rPr>
          <w:rFonts w:ascii="Arial" w:cs="Arial" w:eastAsia="Arial" w:hAnsi="Arial"/>
          <w:sz w:val="18"/>
          <w:szCs w:val="18"/>
          <w:color w:val="auto"/>
        </w:rPr>
      </w:pPr>
    </w:p>
    <w:p>
      <w:pPr>
        <w:ind w:right="220" w:firstLine="464"/>
        <w:spacing w:after="0" w:line="259" w:lineRule="auto"/>
        <w:tabs>
          <w:tab w:leader="none" w:pos="67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28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Authorization of Actions to Be Taken by the Trustee Under the Collateral Documents.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59"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enforce any of the terms of the Collateral Documents; and</w:t>
      </w:r>
    </w:p>
    <w:p>
      <w:pPr>
        <w:spacing w:after="0" w:line="90" w:lineRule="exact"/>
        <w:rPr>
          <w:rFonts w:ascii="Arial" w:cs="Arial" w:eastAsia="Arial" w:hAnsi="Arial"/>
          <w:sz w:val="18"/>
          <w:szCs w:val="18"/>
          <w:color w:val="auto"/>
        </w:rPr>
      </w:pPr>
    </w:p>
    <w:p>
      <w:pPr>
        <w:ind w:right="480" w:firstLine="464"/>
        <w:spacing w:after="0" w:line="268"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of the Issuers and the Guarantors hereunder and under the Collateral Documents.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Authorization of Receipt of Funds by the Trustee Under the Collateral Documents.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So long as no Event of Default shall have occurred and be continuing, and subject to the provisions of this Indenture, the Intercreditor Agreement and the other Collateral Documents, Wynn Las Vegas, each Guarantor, and any of their respective direct or indirect parents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39" w:lineRule="exact"/>
        <w:rPr>
          <w:sz w:val="20"/>
          <w:szCs w:val="20"/>
          <w:color w:val="auto"/>
        </w:rPr>
      </w:pPr>
    </w:p>
    <w:p>
      <w:pPr>
        <w:ind w:right="360" w:firstLine="464"/>
        <w:spacing w:after="0" w:line="370" w:lineRule="auto"/>
        <w:tabs>
          <w:tab w:leader="none" w:pos="69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81" w:name="page82"/>
    <w:bookmarkEnd w:id="81"/>
    <w:p>
      <w:pPr>
        <w:ind w:right="30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rights of such Person to receive all cash dividends, interest and other payments made upon, or with respect to, the Collateral shall cease and such cash dividends, interest and other payments shall be paid to the Trustee; and</w:t>
      </w:r>
    </w:p>
    <w:p>
      <w:pPr>
        <w:spacing w:after="0" w:line="50" w:lineRule="exact"/>
        <w:rPr>
          <w:rFonts w:ascii="Arial" w:cs="Arial" w:eastAsia="Arial" w:hAnsi="Arial"/>
          <w:sz w:val="18"/>
          <w:szCs w:val="18"/>
          <w:color w:val="auto"/>
        </w:rPr>
      </w:pPr>
    </w:p>
    <w:p>
      <w:pPr>
        <w:ind w:right="700" w:firstLine="464"/>
        <w:spacing w:after="0" w:line="332"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this Indenture, the Intercreditor Agreement and the other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Termination of Security Interest.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GUARANTEES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Note Guarantee.</w:t>
      </w:r>
    </w:p>
    <w:p>
      <w:pPr>
        <w:spacing w:after="0" w:line="90" w:lineRule="exact"/>
        <w:rPr>
          <w:sz w:val="20"/>
          <w:szCs w:val="20"/>
          <w:color w:val="auto"/>
        </w:rPr>
      </w:pPr>
    </w:p>
    <w:p>
      <w:pPr>
        <w:ind w:right="200" w:firstLine="464"/>
        <w:spacing w:after="0" w:line="259"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59"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5" w:lineRule="exact"/>
        <w:rPr>
          <w:rFonts w:ascii="Arial" w:cs="Arial" w:eastAsia="Arial" w:hAnsi="Arial"/>
          <w:sz w:val="16"/>
          <w:szCs w:val="16"/>
          <w:color w:val="auto"/>
        </w:rPr>
      </w:pPr>
    </w:p>
    <w:p>
      <w:pPr>
        <w:ind w:left="460" w:right="340" w:firstLine="443"/>
        <w:spacing w:after="0" w:line="332"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85"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82" w:name="page83"/>
    <w:bookmarkEnd w:id="82"/>
    <w:p>
      <w:pPr>
        <w:ind w:right="20" w:firstLine="464"/>
        <w:spacing w:after="0" w:line="288"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19" w:lineRule="exact"/>
        <w:rPr>
          <w:rFonts w:ascii="Arial" w:cs="Arial" w:eastAsia="Arial" w:hAnsi="Arial"/>
          <w:sz w:val="16"/>
          <w:szCs w:val="16"/>
          <w:color w:val="auto"/>
        </w:rPr>
      </w:pPr>
    </w:p>
    <w:p>
      <w:pPr>
        <w:ind w:right="200" w:firstLine="464"/>
        <w:spacing w:after="0" w:line="259"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40" w:lineRule="exact"/>
        <w:rPr>
          <w:rFonts w:ascii="Arial" w:cs="Arial" w:eastAsia="Arial" w:hAnsi="Arial"/>
          <w:sz w:val="18"/>
          <w:szCs w:val="18"/>
          <w:color w:val="auto"/>
        </w:rPr>
      </w:pPr>
    </w:p>
    <w:p>
      <w:pPr>
        <w:ind w:right="60" w:firstLine="464"/>
        <w:spacing w:after="0" w:line="289"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Guarantor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80"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8"/>
          <w:szCs w:val="18"/>
          <w:i w:val="1"/>
          <w:iCs w:val="1"/>
          <w:color w:val="auto"/>
        </w:rPr>
        <w:t>Execution and Delivery of Note Guarantee.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of the Guarantors hereby agrees that its Note Guarantee set forth in Section 11.01 shall remain in full force and effect notwithstanding any failure to endorse on each Note a notation of such Note Guarantee.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Note Guarantee set forth in this Indenture on behalf of the Guarantors.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Guarantors May Consolidate, etc., on Certain Terms.</w:t>
      </w:r>
    </w:p>
    <w:p>
      <w:pPr>
        <w:spacing w:after="0" w:line="90" w:lineRule="exact"/>
        <w:rPr>
          <w:sz w:val="20"/>
          <w:szCs w:val="20"/>
          <w:color w:val="auto"/>
        </w:rPr>
      </w:pPr>
    </w:p>
    <w:p>
      <w:pPr>
        <w:ind w:firstLine="464"/>
        <w:spacing w:after="0" w:line="268"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Guarantor may not consolidate with or merge with or into (whether or not such Guarantor is the surviving Person) another Person, other than either of the Issuers or another Guarantor, unless: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131" w:lineRule="exact"/>
        <w:rPr>
          <w:rFonts w:ascii="Arial" w:cs="Arial" w:eastAsia="Arial" w:hAnsi="Arial"/>
          <w:sz w:val="18"/>
          <w:szCs w:val="18"/>
          <w:color w:val="auto"/>
        </w:rPr>
      </w:pPr>
    </w:p>
    <w:p>
      <w:pPr>
        <w:ind w:right="40" w:firstLine="464"/>
        <w:spacing w:after="0" w:line="312" w:lineRule="auto"/>
        <w:tabs>
          <w:tab w:leader="none" w:pos="70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84" w:name="page85"/>
    <w:bookmarkEnd w:id="84"/>
    <w:p>
      <w:pPr>
        <w:ind w:right="180" w:firstLine="464"/>
        <w:spacing w:after="0" w:line="268"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Articles 4 and 5 hereof, nothing contained in this Indenture or in any of the Notes shall prevent any consolidation or merger of a Guarantor with or into the Issuers or another Guarantor.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Notwithstanding the foregoing, each Guarantor is permitted to reorganize as a corporation pursuant to a Permitted C-Corp. Conversion.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this Article 11, the Note Guarantee of a Guarantor and the security interests granted by that Guarantor to secure its Note Guarantee will be released:</w:t>
      </w:r>
    </w:p>
    <w:p>
      <w:pPr>
        <w:spacing w:after="0" w:line="51" w:lineRule="exact"/>
        <w:rPr>
          <w:sz w:val="20"/>
          <w:szCs w:val="20"/>
          <w:color w:val="auto"/>
        </w:rPr>
      </w:pPr>
    </w:p>
    <w:p>
      <w:pPr>
        <w:ind w:firstLine="464"/>
        <w:spacing w:after="0" w:line="268"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an Issuer or a Guarantor;</w:t>
      </w:r>
    </w:p>
    <w:p>
      <w:pPr>
        <w:spacing w:after="0" w:line="50"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Guarantor; or</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upon Legal Defeasance as provided for in Section 8.02 hereof or satisfaction and discharge of this Indenture as provided for in Section 12.01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Wynn Las Vegas or any Guarantor acquires or creates another Domestic Subsidiary after the date of this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or an Excluded Subsidiary need not become a Guarantor until such time as it ceases to be an Immaterial Subsidiary or an Excluded Subsidiary, as the case may be.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Indenture and the Pledge Agreement shall be discharged and shall cease to be of further effect as to all Notes issued hereunder, when:</w:t>
      </w:r>
    </w:p>
    <w:p>
      <w:pPr>
        <w:spacing w:after="0" w:line="113" w:lineRule="exact"/>
        <w:rPr>
          <w:sz w:val="20"/>
          <w:szCs w:val="20"/>
          <w:color w:val="auto"/>
        </w:rPr>
      </w:pPr>
    </w:p>
    <w:p>
      <w:pPr>
        <w:ind w:left="700" w:hanging="23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85" w:name="page86"/>
    <w:bookmarkEnd w:id="85"/>
    <w:p>
      <w:pPr>
        <w:ind w:left="460" w:right="180" w:firstLine="443"/>
        <w:spacing w:after="0" w:line="254" w:lineRule="auto"/>
        <w:tabs>
          <w:tab w:leader="none" w:pos="1147" w:val="left"/>
        </w:tabs>
        <w:numPr>
          <w:ilvl w:val="1"/>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63" w:lineRule="exact"/>
        <w:rPr>
          <w:rFonts w:ascii="Arial" w:cs="Arial" w:eastAsia="Arial" w:hAnsi="Arial"/>
          <w:sz w:val="18"/>
          <w:szCs w:val="18"/>
          <w:color w:val="auto"/>
        </w:rPr>
      </w:pPr>
    </w:p>
    <w:p>
      <w:pPr>
        <w:ind w:firstLine="464"/>
        <w:spacing w:after="0" w:line="306"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this Indenture; and</w:t>
      </w:r>
    </w:p>
    <w:p>
      <w:pPr>
        <w:spacing w:after="0" w:line="9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this Indenture to apply the deposited money toward the payment of the Notes at maturity or the redemption date, as the case may be.</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Notwithstanding the satisfaction and discharge of this Indenture ,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Pledge Agreement shall be revived and reinstated as though no deposit had occurred pursuant to Section 12.01; provided that if the Issuers have made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86" w:name="page87"/>
    <w:bookmarkEnd w:id="86"/>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AND SEVERAL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Joint and Several Liability.</w:t>
      </w:r>
    </w:p>
    <w:p>
      <w:pPr>
        <w:spacing w:after="0" w:line="90" w:lineRule="exact"/>
        <w:rPr>
          <w:sz w:val="20"/>
          <w:szCs w:val="20"/>
          <w:color w:val="auto"/>
        </w:rPr>
      </w:pPr>
    </w:p>
    <w:p>
      <w:pPr>
        <w:ind w:firstLine="464"/>
        <w:spacing w:after="0" w:line="298" w:lineRule="auto"/>
        <w:tabs>
          <w:tab w:leader="none" w:pos="69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Notwithstanding any contrary provision contained in this Indenture, the Notes and the Pledge Agreement, the covenants, agreements and obligations of the Issuers, and either of them, shall be deemed joint and several obligations of the Issuers. Any waiver including, without limitation, any suretyship waiver, made by either Issuer in this Indenture, the Notes or the Pledge Agreement shall be deemed to be made also by the other Issuer and references in any such waiver to either Issuer shall be deemed to include the other Issuer and each of them to the fullest extent permitted by applicable law.</w:t>
      </w:r>
    </w:p>
    <w:p>
      <w:pPr>
        <w:spacing w:after="0" w:line="112"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any contrary provision contained in this Indenture, the Notes or Pledge Agreement, each such document to which both Issuers are party shall be deemed to include, without limitation, the following waivers:</w:t>
      </w:r>
    </w:p>
    <w:p>
      <w:pPr>
        <w:spacing w:after="0" w:line="132"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5"/>
          <w:szCs w:val="15"/>
          <w:i w:val="1"/>
          <w:iCs w:val="1"/>
          <w:u w:val="single" w:color="auto"/>
          <w:color w:val="auto"/>
        </w:rPr>
        <w:t>Beneficiary</w:t>
      </w:r>
      <w:r>
        <w:rPr>
          <w:rFonts w:ascii="Arial" w:cs="Arial" w:eastAsia="Arial" w:hAnsi="Arial"/>
          <w:sz w:val="15"/>
          <w:szCs w:val="15"/>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the Pledge Agreement (collectively, the “</w:t>
      </w:r>
      <w:r>
        <w:rPr>
          <w:rFonts w:ascii="Arial" w:cs="Arial" w:eastAsia="Arial" w:hAnsi="Arial"/>
          <w:sz w:val="15"/>
          <w:szCs w:val="15"/>
          <w:i w:val="1"/>
          <w:iCs w:val="1"/>
          <w:u w:val="single" w:color="auto"/>
          <w:color w:val="auto"/>
        </w:rPr>
        <w:t>Note Obligations</w:t>
      </w:r>
      <w:r>
        <w:rPr>
          <w:rFonts w:ascii="Arial" w:cs="Arial" w:eastAsia="Arial" w:hAnsi="Arial"/>
          <w:sz w:val="15"/>
          <w:szCs w:val="15"/>
          <w:color w:val="auto"/>
        </w:rPr>
        <w:t>”),</w:t>
      </w:r>
    </w:p>
    <w:p>
      <w:pPr>
        <w:spacing w:after="0" w:line="2" w:lineRule="exact"/>
        <w:rPr>
          <w:sz w:val="20"/>
          <w:szCs w:val="20"/>
          <w:color w:val="auto"/>
        </w:rPr>
      </w:pPr>
    </w:p>
    <w:p>
      <w:pPr>
        <w:ind w:right="80" w:firstLine="8"/>
        <w:spacing w:after="0" w:line="286" w:lineRule="auto"/>
        <w:tabs>
          <w:tab w:leader="none" w:pos="30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7" w:name="page88"/>
    <w:bookmarkEnd w:id="8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the Pledge Agreement,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the Pledge Agreement,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the Pledge Agreement, or any other provision of this Indenture, the Notes or the Pledge Agreement, limiting the Beneficiaries’ recourse to specific collateral, or limiting the Beneficiaries’ right to enforce a deficiency judgment against the Issuers, shall have absolutely no application to the Issuers’ liability under this Indenture, the Notes or the Pledge Agreement.</w:t>
      </w:r>
    </w:p>
    <w:p>
      <w:pPr>
        <w:spacing w:after="0" w:line="131" w:lineRule="exact"/>
        <w:rPr>
          <w:sz w:val="20"/>
          <w:szCs w:val="20"/>
          <w:color w:val="auto"/>
        </w:rPr>
      </w:pPr>
    </w:p>
    <w:p>
      <w:pPr>
        <w:ind w:right="180" w:firstLine="464"/>
        <w:spacing w:after="0" w:line="268"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Article 13 and the corresponding provisions of this Indenture, the Notes or the Pledge Agreement, the provisions of this Indenture shall govern.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Notices.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Issuers and/or any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 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770-1104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 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further copy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(213) 891-8763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Casey Fleck, Esq.</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 Paul, MN 55107-2292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(651) 495-8097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right="1160" w:firstLine="456"/>
        <w:spacing w:after="0" w:line="268" w:lineRule="auto"/>
        <w:rPr>
          <w:sz w:val="20"/>
          <w:szCs w:val="20"/>
          <w:color w:val="auto"/>
        </w:rPr>
      </w:pPr>
      <w:r>
        <w:rPr>
          <w:rFonts w:ascii="Arial" w:cs="Arial" w:eastAsia="Arial" w:hAnsi="Arial"/>
          <w:sz w:val="18"/>
          <w:szCs w:val="18"/>
          <w:color w:val="auto"/>
        </w:rPr>
        <w:t>The Issuers, any Guarantor or the Trustee, by notice to the others may designate additional or different addresses for subsequent notices or communications.</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280" w:right="31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notice or communication is mailed in the manner provided above within the time prescribed, it is duly given, whether or not the addressee receives it.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Issuers mail a notice or communication to Holders, they shall mail a copy to the Trustee and each Agent at the same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Certificate and Opinion as to Conditions Precedent.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any request or application by the Issuers to the Trustee to take any action under this Indenture, the Issuers shall furnish to the Trustee:</w:t>
      </w:r>
    </w:p>
    <w:p>
      <w:pPr>
        <w:spacing w:after="0" w:line="113" w:lineRule="exact"/>
        <w:rPr>
          <w:sz w:val="20"/>
          <w:szCs w:val="20"/>
          <w:color w:val="auto"/>
        </w:rPr>
      </w:pPr>
    </w:p>
    <w:p>
      <w:pPr>
        <w:ind w:firstLine="464"/>
        <w:spacing w:after="0" w:line="259"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59" w:lineRule="exact"/>
        <w:rPr>
          <w:rFonts w:ascii="Arial" w:cs="Arial" w:eastAsia="Arial" w:hAnsi="Arial"/>
          <w:sz w:val="18"/>
          <w:szCs w:val="18"/>
          <w:color w:val="auto"/>
        </w:rPr>
      </w:pPr>
    </w:p>
    <w:p>
      <w:pPr>
        <w:ind w:right="500" w:firstLine="464"/>
        <w:spacing w:after="0" w:line="332" w:lineRule="auto"/>
        <w:tabs>
          <w:tab w:leader="none" w:pos="70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i w:val="1"/>
          <w:iCs w:val="1"/>
          <w:color w:val="auto"/>
        </w:rPr>
        <w:t>Statements Required in Certificate or Opinion.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90" w:lineRule="exact"/>
        <w:rPr>
          <w:sz w:val="20"/>
          <w:szCs w:val="20"/>
          <w:color w:val="auto"/>
        </w:rPr>
      </w:pPr>
    </w:p>
    <w:p>
      <w:pPr>
        <w:ind w:left="700" w:hanging="236"/>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90"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Rules by Trustee and Agents.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80"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14.05 </w:t>
      </w:r>
      <w:r>
        <w:rPr>
          <w:rFonts w:ascii="Arial" w:cs="Arial" w:eastAsia="Arial" w:hAnsi="Arial"/>
          <w:sz w:val="18"/>
          <w:szCs w:val="18"/>
          <w:i w:val="1"/>
          <w:iCs w:val="1"/>
          <w:color w:val="auto"/>
        </w:rPr>
        <w:t>No Personal Liability of Directors, Officers, Employees and Equity Holders.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this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i w:val="1"/>
          <w:iCs w:val="1"/>
          <w:color w:val="auto"/>
        </w:rPr>
        <w:t>Governing Law.</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THIS INDENTURE, THE NOTES AND THE NOTE GUARANTEES SHALL BE GOVERNED BY AND CONSTRUED IN ACCORDANCE WITH THE LAWS OF THE STATE OF NEW YORK, INCLUDING, WITHOUT LIMITATION, SECTION 5-1401 OF THE NEW YORK OBLIGATIONS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14.07 </w:t>
      </w:r>
      <w:r>
        <w:rPr>
          <w:rFonts w:ascii="Arial" w:cs="Arial" w:eastAsia="Arial" w:hAnsi="Arial"/>
          <w:sz w:val="18"/>
          <w:szCs w:val="18"/>
          <w:i w:val="1"/>
          <w:iCs w:val="1"/>
          <w:color w:val="auto"/>
        </w:rPr>
        <w:t>No Adverse Interpretation of Other Agreements.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Successors.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i w:val="1"/>
          <w:iCs w:val="1"/>
          <w:color w:val="auto"/>
        </w:rPr>
        <w:t>Severability.</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shall not in any way be affected or impaired thereby.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i w:val="1"/>
          <w:iCs w:val="1"/>
          <w:color w:val="auto"/>
        </w:rPr>
        <w:t>Counterpart Originals.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may sign any number of copies of this Indenture. Each signed copy shall be an original, but all of them together represent the same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i w:val="1"/>
          <w:iCs w:val="1"/>
          <w:color w:val="auto"/>
        </w:rPr>
        <w:t>Table of Contents, Headings, etc.</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91" w:name="page92"/>
    <w:bookmarkEnd w:id="91"/>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12"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as of May 22, 2013</w:t>
      </w:r>
      <w:r>
        <w:rPr>
          <w:sz w:val="20"/>
          <w:szCs w:val="20"/>
          <w:color w:val="auto"/>
        </w:rPr>
        <w:tab/>
      </w:r>
      <w:r>
        <w:rPr>
          <w:rFonts w:ascii="Arial" w:cs="Arial" w:eastAsia="Arial" w:hAnsi="Arial"/>
          <w:sz w:val="16"/>
          <w:szCs w:val="16"/>
          <w:b w:val="1"/>
          <w:bCs w:val="1"/>
          <w:color w:val="auto"/>
        </w:rPr>
        <w:t>ISSUERS: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Senior Vice President and Secretary</w:t>
      </w:r>
    </w:p>
    <w:p>
      <w:pPr>
        <w:spacing w:after="0" w:line="24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10795</wp:posOffset>
            </wp:positionV>
            <wp:extent cx="3481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Secretary</w:t>
      </w:r>
    </w:p>
    <w:p>
      <w:pPr>
        <w:spacing w:after="0" w:line="151"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219"/>
          </w:cols>
          <w:pgMar w:left="240" w:top="274" w:right="1440" w:bottom="1440" w:gutter="0" w:footer="0" w:header="0"/>
        </w:sectPr>
      </w:pPr>
    </w:p>
    <w:bookmarkStart w:id="92" w:name="page93"/>
    <w:bookmarkEnd w:id="92"/>
    <w:p>
      <w:pPr>
        <w:ind w:left="4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GUARANTORS:</w:t>
      </w:r>
    </w:p>
    <w:p>
      <w:pPr>
        <w:spacing w:after="0" w:line="21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KEVYN, LLC</w:t>
      </w:r>
      <w:r>
        <w:rPr>
          <w:rFonts w:ascii="Arial" w:cs="Arial" w:eastAsia="Arial" w:hAnsi="Arial"/>
          <w:sz w:val="18"/>
          <w:szCs w:val="18"/>
          <w:color w:val="auto"/>
        </w:rPr>
        <w:t>,</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10795</wp:posOffset>
            </wp:positionV>
            <wp:extent cx="31045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5440"/>
        <w:spacing w:after="0"/>
        <w:tabs>
          <w:tab w:leader="none" w:pos="6020" w:val="left"/>
        </w:tabs>
        <w:rPr>
          <w:sz w:val="20"/>
          <w:szCs w:val="20"/>
          <w:color w:val="auto"/>
        </w:rPr>
      </w:pPr>
      <w:r>
        <w:rPr>
          <w:rFonts w:ascii="Arial" w:cs="Arial" w:eastAsia="Arial" w:hAnsi="Arial"/>
          <w:sz w:val="16"/>
          <w:szCs w:val="16"/>
          <w:color w:val="auto"/>
        </w:rPr>
        <w:t>Title:</w:t>
        <w:tab/>
        <w:t>Chief Operating Officer</w:t>
      </w:r>
    </w:p>
    <w:p>
      <w:pPr>
        <w:spacing w:after="0" w:line="23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LAS VEGAS JET, LLC</w:t>
      </w:r>
      <w:r>
        <w:rPr>
          <w:rFonts w:ascii="Arial" w:cs="Arial" w:eastAsia="Arial" w:hAnsi="Arial"/>
          <w:sz w:val="18"/>
          <w:szCs w:val="18"/>
          <w:color w:val="auto"/>
        </w:rPr>
        <w:t>,</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10795</wp:posOffset>
            </wp:positionV>
            <wp:extent cx="31045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5440"/>
        <w:spacing w:after="0"/>
        <w:tabs>
          <w:tab w:leader="none" w:pos="6020" w:val="left"/>
        </w:tabs>
        <w:rPr>
          <w:sz w:val="20"/>
          <w:szCs w:val="20"/>
          <w:color w:val="auto"/>
        </w:rPr>
      </w:pPr>
      <w:r>
        <w:rPr>
          <w:rFonts w:ascii="Arial" w:cs="Arial" w:eastAsia="Arial" w:hAnsi="Arial"/>
          <w:sz w:val="16"/>
          <w:szCs w:val="16"/>
          <w:color w:val="auto"/>
        </w:rPr>
        <w:t>Title:</w:t>
        <w:tab/>
        <w:t>Chief Operating Officer</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019"/>
          </w:cols>
          <w:pgMar w:left="1440" w:top="274" w:right="1440" w:bottom="1440" w:gutter="0" w:footer="0" w:header="0"/>
        </w:sectPr>
      </w:pPr>
    </w:p>
    <w:bookmarkStart w:id="93" w:name="page94"/>
    <w:bookmarkEnd w:id="9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WORLD TRAVEL,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10795</wp:posOffset>
            </wp:positionV>
            <wp:extent cx="2315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Chief Operating Officer</w:t>
      </w:r>
    </w:p>
    <w:p>
      <w:pPr>
        <w:spacing w:after="0" w:line="24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10795</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Operating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Indenture</w:t>
      </w:r>
    </w:p>
    <w:p>
      <w:pPr>
        <w:sectPr>
          <w:pgSz w:w="11900" w:h="16838" w:orient="portrait"/>
          <w:cols w:equalWidth="0" w:num="1">
            <w:col w:w="9019"/>
          </w:cols>
          <w:pgMar w:left="1440" w:top="274" w:right="1440" w:bottom="1440" w:gutter="0" w:footer="0" w:header="0"/>
        </w:sectPr>
      </w:pPr>
    </w:p>
    <w:bookmarkStart w:id="94" w:name="page95"/>
    <w:bookmarkEnd w:id="9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SUNRISE,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10795</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 Schorr</w:t>
      </w:r>
    </w:p>
    <w:p>
      <w:pPr>
        <w:spacing w:after="0" w:line="15"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Chief Operating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Indenture</w:t>
      </w:r>
    </w:p>
    <w:p>
      <w:pPr>
        <w:sectPr>
          <w:pgSz w:w="11900" w:h="16838" w:orient="portrait"/>
          <w:cols w:equalWidth="0" w:num="1">
            <w:col w:w="9019"/>
          </w:cols>
          <w:pgMar w:left="1440" w:top="274" w:right="1440" w:bottom="1440" w:gutter="0" w:footer="0" w:header="0"/>
        </w:sectPr>
      </w:pPr>
    </w:p>
    <w:bookmarkStart w:id="95" w:name="page96"/>
    <w:bookmarkEnd w:id="9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not in its individual capacity but solely as Trustee</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Raymond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Raymond Haverstock</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ind w:right="120"/>
        <w:spacing w:after="0"/>
        <w:rPr>
          <w:sz w:val="20"/>
          <w:szCs w:val="20"/>
          <w:color w:val="auto"/>
        </w:rPr>
      </w:pPr>
      <w:r>
        <w:rPr>
          <w:rFonts w:ascii="Arial" w:cs="Arial" w:eastAsia="Arial" w:hAnsi="Arial"/>
          <w:sz w:val="15"/>
          <w:szCs w:val="15"/>
          <w:i w:val="1"/>
          <w:iCs w:val="1"/>
          <w:color w:val="auto"/>
        </w:rPr>
        <w:t>Signature Page to Indenture</w:t>
      </w:r>
    </w:p>
    <w:p>
      <w:pPr>
        <w:sectPr>
          <w:pgSz w:w="11900" w:h="16838" w:orient="portrait"/>
          <w:cols w:equalWidth="0" w:num="1">
            <w:col w:w="9140"/>
          </w:cols>
          <w:pgMar w:left="1440" w:top="274" w:right="13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CUSIP/CINS 983130 AU9/US983130AU95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4.25% Senior Notes due 2023</w:t>
      </w:r>
    </w:p>
    <w:p>
      <w:pPr>
        <w:sectPr>
          <w:pgSz w:w="11900" w:h="16838" w:orient="portrait"/>
          <w:cols w:equalWidth="0" w:num="1">
            <w:col w:w="11420"/>
          </w:cols>
          <w:pgMar w:left="240" w:top="274"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2">
            <w:col w:w="9740" w:space="720"/>
            <w:col w:w="9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WYNN LAS VEGAS CAPITAL CORP.</w:t>
      </w:r>
    </w:p>
    <w:p>
      <w:pPr>
        <w:sectPr>
          <w:pgSz w:w="11900" w:h="16838" w:orient="portrait"/>
          <w:cols w:equalWidth="0" w:num="1">
            <w:col w:w="11420"/>
          </w:cols>
          <w:pgMar w:left="240" w:top="274"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124" w:lineRule="exact"/>
        <w:rPr>
          <w:sz w:val="20"/>
          <w:szCs w:val="20"/>
          <w:color w:val="auto"/>
        </w:rPr>
      </w:pPr>
    </w:p>
    <w:p>
      <w:pPr>
        <w:sectPr>
          <w:pgSz w:w="11900" w:h="16838" w:orient="portrait"/>
          <w:cols w:equalWidth="0" w:num="2">
            <w:col w:w="1440" w:space="720"/>
            <w:col w:w="92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principal sum of</w:t>
      </w:r>
    </w:p>
    <w:p>
      <w:pPr>
        <w:sectPr>
          <w:pgSz w:w="11900" w:h="16838" w:orient="portrait"/>
          <w:cols w:equalWidth="0" w:num="1">
            <w:col w:w="11420"/>
          </w:cols>
          <w:pgMar w:left="240" w:top="274"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DOLLARS on May 30,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30 and November 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15 and November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Nevada limited liability company, its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sole member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WYNN LAS VEGAS CAPITAL CORP.</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 Senior Notes due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2.06(f)(1)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2.06(f)(2) of the Indenture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firstLine="921"/>
        <w:spacing w:after="0" w:line="286" w:lineRule="auto"/>
        <w:tabs>
          <w:tab w:leader="none" w:pos="116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 and Wynn Las Vegas Capital Corp., a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(“Wynn Capital,”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4.25% per annum from May 22, 2013 until maturity. The Issuers shall pay interest semi-annually in arrears on May 30 and November 30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November 30, 3013.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27" w:lineRule="exact"/>
        <w:rPr>
          <w:rFonts w:ascii="Arial" w:cs="Arial" w:eastAsia="Arial" w:hAnsi="Arial"/>
          <w:sz w:val="16"/>
          <w:szCs w:val="16"/>
          <w:color w:val="auto"/>
        </w:rPr>
      </w:pPr>
    </w:p>
    <w:p>
      <w:pPr>
        <w:ind w:right="100" w:firstLine="921"/>
        <w:spacing w:after="0" w:line="289" w:lineRule="auto"/>
        <w:tabs>
          <w:tab w:leader="none" w:pos="116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Issuers shall pay interest on the Notes (except defaulted interest) to the Persons who are registered Holders of Notes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close of business on the May 15 or November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98" w:name="page99"/>
    <w:bookmarkEnd w:id="98"/>
    <w:p>
      <w:pPr>
        <w:ind w:right="120" w:firstLine="921"/>
        <w:spacing w:after="0" w:line="332" w:lineRule="auto"/>
        <w:tabs>
          <w:tab w:leader="none" w:pos="1161"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 and Registrar</w:t>
      </w:r>
      <w:r>
        <w:rPr>
          <w:rFonts w:ascii="Arial" w:cs="Arial" w:eastAsia="Arial" w:hAnsi="Arial"/>
          <w:sz w:val="16"/>
          <w:szCs w:val="16"/>
          <w:color w:val="auto"/>
        </w:rPr>
        <w:t>. Initially, U.S. Bank National Association, the Trustee under the Indenture, shall act as Paying Agent and Registrar.</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Issuers may change any Paying Agent or Registrar without notice to any Holder. Either Issuer or any Guarantor may act in any such capacity.</w:t>
      </w:r>
    </w:p>
    <w:p>
      <w:pPr>
        <w:spacing w:after="0" w:line="85" w:lineRule="exact"/>
        <w:rPr>
          <w:rFonts w:ascii="Arial" w:cs="Arial" w:eastAsia="Arial" w:hAnsi="Arial"/>
          <w:sz w:val="16"/>
          <w:szCs w:val="16"/>
          <w:color w:val="auto"/>
        </w:rPr>
      </w:pPr>
    </w:p>
    <w:p>
      <w:pPr>
        <w:ind w:right="20" w:firstLine="921"/>
        <w:spacing w:after="0" w:line="289" w:lineRule="auto"/>
        <w:tabs>
          <w:tab w:leader="none" w:pos="1161"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Indenture and the Pledge Agreement</w:t>
      </w:r>
      <w:r>
        <w:rPr>
          <w:rFonts w:ascii="Arial" w:cs="Arial" w:eastAsia="Arial" w:hAnsi="Arial"/>
          <w:sz w:val="16"/>
          <w:szCs w:val="16"/>
          <w:color w:val="auto"/>
        </w:rPr>
        <w:t>. The Issuers issued the Notes under an Indenture dated as of May 22, 2013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Notes are redeemable at the Issuers’ election, in whole or in part at any time prior to their Stated Maturity.</w:t>
      </w:r>
    </w:p>
    <w:p>
      <w:pPr>
        <w:spacing w:after="0" w:line="113" w:lineRule="exact"/>
        <w:rPr>
          <w:rFonts w:ascii="Arial" w:cs="Arial" w:eastAsia="Arial" w:hAnsi="Arial"/>
          <w:sz w:val="16"/>
          <w:szCs w:val="16"/>
          <w:color w:val="auto"/>
        </w:rPr>
      </w:pPr>
    </w:p>
    <w:p>
      <w:pPr>
        <w:ind w:left="1740" w:hanging="248"/>
        <w:spacing w:after="0"/>
        <w:tabs>
          <w:tab w:leader="none" w:pos="17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redemption price for the Notes that are redeemed before February 28, 2023 will be equal to the greater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90" w:lineRule="exact"/>
        <w:rPr>
          <w:rFonts w:ascii="Arial" w:cs="Arial" w:eastAsia="Arial" w:hAnsi="Arial"/>
          <w:sz w:val="18"/>
          <w:szCs w:val="18"/>
          <w:color w:val="auto"/>
        </w:rPr>
      </w:pPr>
    </w:p>
    <w:p>
      <w:pPr>
        <w:ind w:left="2380" w:hanging="441"/>
        <w:spacing w:after="0" w:line="256" w:lineRule="auto"/>
        <w:tabs>
          <w:tab w:leader="none" w:pos="23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of the above cases, accrued and unpaid interest to the date of redemption on the Notes to be redeemed.</w:t>
      </w:r>
    </w:p>
    <w:p>
      <w:pPr>
        <w:spacing w:after="0" w:line="171" w:lineRule="exact"/>
        <w:rPr>
          <w:sz w:val="20"/>
          <w:szCs w:val="20"/>
          <w:color w:val="auto"/>
        </w:rPr>
      </w:pPr>
    </w:p>
    <w:p>
      <w:pPr>
        <w:ind w:right="80" w:firstLine="1492"/>
        <w:spacing w:after="0" w:line="332" w:lineRule="auto"/>
        <w:tabs>
          <w:tab w:leader="none" w:pos="173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redemption price for Notes that are redeemed on or after February 28, 2023 (the date that is three months prior to the maturity date) will be equal to the sum of 100% of their principal amount, plus accrued and unpaid interest to the date of redemption on the Notes to be redeemed.</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280" w:right="279" w:bottom="1440" w:gutter="0" w:footer="0" w:header="0"/>
        </w:sectPr>
      </w:pPr>
    </w:p>
    <w:bookmarkStart w:id="99" w:name="page100"/>
    <w:bookmarkEnd w:id="99"/>
    <w:p>
      <w:pPr>
        <w:ind w:right="80" w:firstLine="921"/>
        <w:spacing w:after="0" w:line="268" w:lineRule="auto"/>
        <w:tabs>
          <w:tab w:leader="none" w:pos="1161"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Redemption</w:t>
      </w:r>
      <w:r>
        <w:rPr>
          <w:rFonts w:ascii="Arial" w:cs="Arial" w:eastAsia="Arial" w:hAnsi="Arial"/>
          <w:sz w:val="18"/>
          <w:szCs w:val="18"/>
          <w:color w:val="auto"/>
        </w:rPr>
        <w:t>. 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right="20" w:firstLine="921"/>
        <w:spacing w:after="0" w:line="282" w:lineRule="auto"/>
        <w:tabs>
          <w:tab w:leader="none" w:pos="1161"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Mandatory Disposition or Redemption Pursuant to Gaming Laws</w:t>
      </w:r>
      <w:r>
        <w:rPr>
          <w:rFonts w:ascii="Arial" w:cs="Arial" w:eastAsia="Arial" w:hAnsi="Arial"/>
          <w:sz w:val="16"/>
          <w:szCs w:val="16"/>
          <w:color w:val="auto"/>
        </w:rPr>
        <w:t>. 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w:t>
      </w:r>
    </w:p>
    <w:p>
      <w:pPr>
        <w:spacing w:after="0" w:line="5" w:lineRule="exact"/>
        <w:rPr>
          <w:rFonts w:ascii="Arial" w:cs="Arial" w:eastAsia="Arial" w:hAnsi="Arial"/>
          <w:sz w:val="16"/>
          <w:szCs w:val="16"/>
          <w:color w:val="auto"/>
        </w:rPr>
      </w:pPr>
    </w:p>
    <w:p>
      <w:pPr>
        <w:ind w:right="140" w:firstLine="8"/>
        <w:spacing w:after="0" w:line="254" w:lineRule="auto"/>
        <w:tabs>
          <w:tab w:leader="none" w:pos="2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principal amount of the Notes, and (ii) the price that the Holder or Beneficial Owner paid for the Notes, in either case, together with accrued and unpaid interest,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80" w:right="259" w:bottom="1440" w:gutter="0" w:footer="0" w:header="0"/>
        </w:sectPr>
      </w:pPr>
    </w:p>
    <w:bookmarkStart w:id="100" w:name="page101"/>
    <w:bookmarkEnd w:id="100"/>
    <w:p>
      <w:pPr>
        <w:ind w:firstLine="921"/>
        <w:spacing w:after="0" w:line="255" w:lineRule="auto"/>
        <w:tabs>
          <w:tab w:leader="none" w:pos="1161"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 at Option of Holder</w:t>
      </w:r>
      <w:r>
        <w:rPr>
          <w:rFonts w:ascii="Arial" w:cs="Arial" w:eastAsia="Arial" w:hAnsi="Arial"/>
          <w:sz w:val="18"/>
          <w:szCs w:val="18"/>
          <w:color w:val="auto"/>
        </w:rPr>
        <w:t>. If a Change of Control Triggering Event occurs,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all or any part (equal to $2,000 or an integral multiple of $1,000 in excess of $2,000) of each Holder’s Notes at a purchase price equal to 101% of the aggregate principal amount thereof plus accrued and unpaid interest, if any, to the date of purchase (the “</w:t>
      </w:r>
      <w:r>
        <w:rPr>
          <w:rFonts w:ascii="Arial" w:cs="Arial" w:eastAsia="Arial" w:hAnsi="Arial"/>
          <w:sz w:val="18"/>
          <w:szCs w:val="18"/>
          <w:i w:val="1"/>
          <w:iCs w:val="1"/>
          <w:u w:val="single" w:color="auto"/>
          <w:color w:val="auto"/>
        </w:rPr>
        <w:t>Change of Control Payment</w:t>
      </w:r>
      <w:r>
        <w:rPr>
          <w:rFonts w:ascii="Arial" w:cs="Arial" w:eastAsia="Arial" w:hAnsi="Arial"/>
          <w:sz w:val="18"/>
          <w:szCs w:val="18"/>
          <w:color w:val="auto"/>
        </w:rPr>
        <w:t>”). Within 10 days following any Change of Control Triggering Event, the Issuers shall mail a notice to each Holder setting forth the procedures governing the Change of Control Offer as required by the Indenture.</w:t>
      </w:r>
    </w:p>
    <w:p>
      <w:pPr>
        <w:spacing w:after="0" w:line="142" w:lineRule="exact"/>
        <w:rPr>
          <w:rFonts w:ascii="Arial" w:cs="Arial" w:eastAsia="Arial" w:hAnsi="Arial"/>
          <w:sz w:val="18"/>
          <w:szCs w:val="18"/>
          <w:color w:val="auto"/>
        </w:rPr>
      </w:pPr>
    </w:p>
    <w:p>
      <w:pPr>
        <w:ind w:right="80" w:firstLine="921"/>
        <w:spacing w:after="0" w:line="294" w:lineRule="auto"/>
        <w:tabs>
          <w:tab w:leader="none" w:pos="1161"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shall be delivered at least 30 days but not more than 60 days before the redemption date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15" w:lineRule="exact"/>
        <w:rPr>
          <w:rFonts w:ascii="Arial" w:cs="Arial" w:eastAsia="Arial" w:hAnsi="Arial"/>
          <w:sz w:val="16"/>
          <w:szCs w:val="16"/>
          <w:color w:val="auto"/>
        </w:rPr>
      </w:pPr>
    </w:p>
    <w:p>
      <w:pPr>
        <w:ind w:left="1260" w:hanging="339"/>
        <w:spacing w:after="0"/>
        <w:tabs>
          <w:tab w:leader="none" w:pos="126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 multiples of</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17" w:lineRule="exact"/>
        <w:rPr>
          <w:sz w:val="20"/>
          <w:szCs w:val="20"/>
          <w:color w:val="auto"/>
        </w:rPr>
      </w:pPr>
    </w:p>
    <w:p>
      <w:pPr>
        <w:ind w:left="1260" w:hanging="339"/>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1492"/>
        <w:spacing w:after="0" w:line="294" w:lineRule="auto"/>
        <w:tabs>
          <w:tab w:leader="none" w:pos="172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Pledge Agreement may be waived with the consent of the Holders of a majority in principal amount of the then outstanding Notes, voting as a single class.</w:t>
      </w:r>
    </w:p>
    <w:p>
      <w:pPr>
        <w:spacing w:after="0" w:line="115" w:lineRule="exact"/>
        <w:rPr>
          <w:rFonts w:ascii="Arial" w:cs="Arial" w:eastAsia="Arial" w:hAnsi="Arial"/>
          <w:sz w:val="16"/>
          <w:szCs w:val="16"/>
          <w:color w:val="auto"/>
        </w:rPr>
      </w:pPr>
    </w:p>
    <w:p>
      <w:pPr>
        <w:ind w:right="20" w:firstLine="1492"/>
        <w:spacing w:after="0" w:line="268" w:lineRule="auto"/>
        <w:tabs>
          <w:tab w:leader="none" w:pos="173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Without the consent of each Holder of Notes affected, an amendment, supplement or waiver may not (with respect to any Notes held by a non-consenting Holder) (i) reduce the principal amount of Notes whose Holders must consent to an amendment,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80" w:right="239" w:bottom="1440" w:gutter="0" w:footer="0" w:header="0"/>
        </w:sectPr>
      </w:pPr>
    </w:p>
    <w:bookmarkStart w:id="101" w:name="page102"/>
    <w:bookmarkEnd w:id="101"/>
    <w:p>
      <w:pPr>
        <w:jc w:val="both"/>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w:t>
      </w:r>
    </w:p>
    <w:p>
      <w:pPr>
        <w:ind w:firstLine="8"/>
        <w:spacing w:after="0" w:line="287" w:lineRule="auto"/>
        <w:tabs>
          <w:tab w:leader="none" w:pos="29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(ix) release all or substantially all of the Collateral except in accordance with the provisions of the Indenture, Pledge Agreement and the Intercreditor Agreement, (x) amend Section 10.03 of the Indenture or (xi) make any change in the preceding amendment and waiver provisions.</w:t>
      </w:r>
    </w:p>
    <w:p>
      <w:pPr>
        <w:spacing w:after="0" w:line="124" w:lineRule="exact"/>
        <w:rPr>
          <w:rFonts w:ascii="Arial" w:cs="Arial" w:eastAsia="Arial" w:hAnsi="Arial"/>
          <w:sz w:val="16"/>
          <w:szCs w:val="16"/>
          <w:color w:val="auto"/>
        </w:rPr>
      </w:pPr>
    </w:p>
    <w:p>
      <w:pPr>
        <w:ind w:firstLine="1492"/>
        <w:spacing w:after="0" w:line="286" w:lineRule="auto"/>
        <w:tabs>
          <w:tab w:leader="none" w:pos="172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Without the consent of any Holder of a Note, the Issuers, the Guarantors and the Trustee may amend or supplement the Indenture, the Notes, the Note Guarantees or Pledge Agreement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May 15, 2013,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become secured.</w:t>
      </w:r>
    </w:p>
    <w:p>
      <w:pPr>
        <w:spacing w:after="0" w:line="124" w:lineRule="exact"/>
        <w:rPr>
          <w:rFonts w:ascii="Arial" w:cs="Arial" w:eastAsia="Arial" w:hAnsi="Arial"/>
          <w:sz w:val="16"/>
          <w:szCs w:val="16"/>
          <w:color w:val="auto"/>
        </w:rPr>
      </w:pPr>
    </w:p>
    <w:p>
      <w:pPr>
        <w:ind w:left="1260" w:hanging="339"/>
        <w:spacing w:after="0"/>
        <w:tabs>
          <w:tab w:leader="none" w:pos="1260"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if any, with respect to the Notes;</w:t>
      </w:r>
    </w:p>
    <w:p>
      <w:pPr>
        <w:spacing w:after="0" w:line="38" w:lineRule="exact"/>
        <w:rPr>
          <w:rFonts w:ascii="Arial" w:cs="Arial" w:eastAsia="Arial" w:hAnsi="Arial"/>
          <w:sz w:val="16"/>
          <w:szCs w:val="16"/>
          <w:color w:val="auto"/>
        </w:rPr>
      </w:pPr>
    </w:p>
    <w:p>
      <w:pPr>
        <w:ind w:right="200" w:firstLine="8"/>
        <w:spacing w:after="0" w:line="295" w:lineRule="auto"/>
        <w:tabs>
          <w:tab w:leader="none" w:pos="25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default in payment when due of principal of, or premium, if any, on the Notes when the same becomes due and payable at maturity, upon redemption (including in connection with an offer to purchase) or otherwise, (iii) failure by Wynn Capital, Wynn Las Vegas or any of Guarantors to comply with Sections 4.11 or 5.01 of the Indenture; (iv) failure by Wynn Capital, Wynn Las Vegas or any Guarantor for 60 days after written notice from the Trustee or Holders of at least 25% in aggregate principal amount of the Notes then outstanding voting as a single class to comply with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80"/>
          </w:cols>
          <w:pgMar w:left="240" w:top="280" w:right="279" w:bottom="1440" w:gutter="0" w:footer="0" w:header="0"/>
        </w:sectPr>
      </w:pPr>
    </w:p>
    <w:bookmarkStart w:id="102" w:name="page103"/>
    <w:bookmarkEnd w:id="102"/>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other agreements in the Indenture or the Notes, not set forth in clause (iii) above; (v) default under any mortgage, indenture or instrument under which there may be issued or by which there may be secured or 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 (other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 (vii) certain events of bankruptcy or insolvency described in the Indenture with respect to (a) either Issuer or (b) any Guarantor.</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27" w:lineRule="exact"/>
        <w:rPr>
          <w:sz w:val="20"/>
          <w:szCs w:val="20"/>
          <w:color w:val="auto"/>
        </w:rPr>
      </w:pPr>
    </w:p>
    <w:p>
      <w:pPr>
        <w:ind w:right="20" w:firstLine="921"/>
        <w:spacing w:after="0" w:line="259" w:lineRule="auto"/>
        <w:tabs>
          <w:tab w:leader="none" w:pos="1249"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Intercreditor Agreement</w:t>
      </w:r>
      <w:r>
        <w:rPr>
          <w:rFonts w:ascii="Arial" w:cs="Arial" w:eastAsia="Arial" w:hAnsi="Arial"/>
          <w:sz w:val="18"/>
          <w:szCs w:val="18"/>
          <w:color w:val="auto"/>
        </w:rPr>
        <w:t>. The Indenture authorizes the Trustee to enter into the Intercreditor Agreement on behalf of itself and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Intercreditor Agreement will restrict the ability of the Trustee and the Holders of the Notes to exercise certain rights and remedies with respect to the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80" w:right="239" w:bottom="1440" w:gutter="0" w:footer="0" w:header="0"/>
        </w:sectPr>
      </w:pPr>
    </w:p>
    <w:bookmarkStart w:id="103" w:name="page104"/>
    <w:bookmarkEnd w:id="103"/>
    <w:p>
      <w:pPr>
        <w:ind w:right="160" w:firstLine="921"/>
        <w:spacing w:after="0" w:line="256" w:lineRule="auto"/>
        <w:tabs>
          <w:tab w:leader="none" w:pos="1249"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Dealings with Issuers</w:t>
      </w:r>
      <w:r>
        <w:rPr>
          <w:rFonts w:ascii="Arial" w:cs="Arial" w:eastAsia="Arial" w:hAnsi="Arial"/>
          <w:sz w:val="18"/>
          <w:szCs w:val="18"/>
          <w:color w:val="auto"/>
        </w:rPr>
        <w:t>. The Trustee, in its individual or any other capacity, may become the owner or pledgee of Notes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3" w:lineRule="exact"/>
        <w:rPr>
          <w:rFonts w:ascii="Arial" w:cs="Arial" w:eastAsia="Arial" w:hAnsi="Arial"/>
          <w:sz w:val="18"/>
          <w:szCs w:val="18"/>
          <w:color w:val="auto"/>
        </w:rPr>
      </w:pPr>
    </w:p>
    <w:p>
      <w:pPr>
        <w:ind w:right="20" w:firstLine="921"/>
        <w:spacing w:after="0" w:line="255" w:lineRule="auto"/>
        <w:tabs>
          <w:tab w:leader="none" w:pos="1249"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past, present or future director, officer, employee, incorporator, organizer, equity holder or member of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left="1260" w:hanging="339"/>
        <w:spacing w:after="0"/>
        <w:tabs>
          <w:tab w:leader="none" w:pos="126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right="120" w:firstLine="921"/>
        <w:spacing w:after="0" w:line="259" w:lineRule="auto"/>
        <w:tabs>
          <w:tab w:leader="none" w:pos="1249"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right="140" w:firstLine="921"/>
        <w:spacing w:after="0" w:line="259" w:lineRule="auto"/>
        <w:tabs>
          <w:tab w:leader="none" w:pos="1249"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firstLine="921"/>
        <w:spacing w:after="0" w:line="256" w:lineRule="auto"/>
        <w:tabs>
          <w:tab w:leader="none" w:pos="1249"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Issuers shall furnish to any Holder upon written request and without charge a copy of the Indenture, the Pledge Agreement and/or the Intercreditor Agreement. Requests may be made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280" w:right="239" w:bottom="1440" w:gutter="0" w:footer="0" w:header="0"/>
        </w:sectPr>
      </w:pPr>
    </w:p>
    <w:bookmarkStart w:id="104" w:name="page105"/>
    <w:bookmarkEnd w:id="104"/>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(Insert assignee’s legal name)</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(Insert assignee’s soc. sec. or tax I.D. no.)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-13970</wp:posOffset>
            </wp:positionV>
            <wp:extent cx="1699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92" w:lineRule="exact"/>
        <w:rPr>
          <w:sz w:val="20"/>
          <w:szCs w:val="20"/>
          <w:color w:val="auto"/>
        </w:rPr>
      </w:pPr>
    </w:p>
    <w:p>
      <w:pPr>
        <w:ind w:left="5500" w:right="2240" w:hanging="5492"/>
        <w:spacing w:after="0" w:line="440" w:lineRule="auto"/>
        <w:tabs>
          <w:tab w:leader="none" w:pos="4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A-1-9</w:t>
      </w:r>
    </w:p>
    <w:p>
      <w:pPr>
        <w:sectPr>
          <w:pgSz w:w="11900" w:h="16838" w:orient="portrait"/>
          <w:cols w:equalWidth="0" w:num="1">
            <w:col w:w="11420"/>
          </w:cols>
          <w:pgMar w:left="240" w:top="274" w:right="239" w:bottom="1440" w:gutter="0" w:footer="0" w:header="0"/>
        </w:sectPr>
      </w:pPr>
    </w:p>
    <w:bookmarkStart w:id="105" w:name="page106"/>
    <w:bookmarkEnd w:id="105"/>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Option of Holder to Elect Purchase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want to elect to have this Note purchased by the Issuers pursuant to Section 4.11 of the Indenture, check the appropriate box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4.11</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4.11 of the Indenture, state the amount you elect to have purchased: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Tax Identification No.: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-13970</wp:posOffset>
            </wp:positionV>
            <wp:extent cx="1699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70" w:lineRule="exact"/>
        <w:rPr>
          <w:sz w:val="20"/>
          <w:szCs w:val="20"/>
          <w:color w:val="auto"/>
        </w:rPr>
      </w:pPr>
    </w:p>
    <w:p>
      <w:pPr>
        <w:ind w:left="5460" w:right="2240" w:hanging="5452"/>
        <w:spacing w:after="0" w:line="440" w:lineRule="auto"/>
        <w:tabs>
          <w:tab w:leader="none" w:pos="4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A-1-10</w:t>
      </w:r>
    </w:p>
    <w:p>
      <w:pPr>
        <w:sectPr>
          <w:pgSz w:w="11900" w:h="16838" w:orient="portrait"/>
          <w:cols w:equalWidth="0" w:num="1">
            <w:col w:w="11420"/>
          </w:cols>
          <w:pgMar w:left="240" w:top="27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89"/>
              </w:rPr>
              <w:t>Principal Amount</w:t>
            </w:r>
          </w:p>
        </w:tc>
        <w:tc>
          <w:tcPr>
            <w:tcW w:w="1500" w:type="dxa"/>
            <w:vAlign w:val="bottom"/>
          </w:tcPr>
          <w:p>
            <w:pPr>
              <w:spacing w:after="0"/>
              <w:rPr>
                <w:sz w:val="14"/>
                <w:szCs w:val="14"/>
                <w:color w:val="auto"/>
              </w:rPr>
            </w:pPr>
          </w:p>
        </w:tc>
      </w:tr>
      <w:tr>
        <w:trPr>
          <w:trHeight w:val="149"/>
        </w:trPr>
        <w:tc>
          <w:tcPr>
            <w:tcW w:w="2100" w:type="dxa"/>
            <w:vAlign w:val="bottom"/>
          </w:tcPr>
          <w:p>
            <w:pPr>
              <w:spacing w:after="0"/>
              <w:rPr>
                <w:sz w:val="12"/>
                <w:szCs w:val="12"/>
                <w:color w:val="auto"/>
              </w:rPr>
            </w:pPr>
          </w:p>
        </w:tc>
        <w:tc>
          <w:tcPr>
            <w:tcW w:w="32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4"/>
              </w:rPr>
              <w:t>Amount of decrease</w:t>
            </w:r>
          </w:p>
        </w:tc>
        <w:tc>
          <w:tcPr>
            <w:tcW w:w="2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5"/>
              </w:rPr>
              <w:t>Amount of increase in</w:t>
            </w:r>
          </w:p>
        </w:tc>
        <w:tc>
          <w:tcPr>
            <w:tcW w:w="19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of this Global Note</w:t>
            </w:r>
          </w:p>
        </w:tc>
        <w:tc>
          <w:tcPr>
            <w:tcW w:w="15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100" w:type="dxa"/>
            <w:vAlign w:val="bottom"/>
          </w:tcPr>
          <w:p>
            <w:pPr>
              <w:spacing w:after="0"/>
              <w:rPr>
                <w:sz w:val="12"/>
                <w:szCs w:val="12"/>
                <w:color w:val="auto"/>
              </w:rPr>
            </w:pPr>
          </w:p>
        </w:tc>
        <w:tc>
          <w:tcPr>
            <w:tcW w:w="32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9"/>
              </w:rPr>
              <w:t>in Principal Amount</w:t>
            </w:r>
          </w:p>
        </w:tc>
        <w:tc>
          <w:tcPr>
            <w:tcW w:w="26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19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5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88"/>
        </w:trPr>
        <w:tc>
          <w:tcPr>
            <w:tcW w:w="210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3200" w:type="dxa"/>
            <w:vAlign w:val="bottom"/>
          </w:tcPr>
          <w:p>
            <w:pPr>
              <w:jc w:val="center"/>
              <w:ind w:left="132"/>
              <w:spacing w:after="0"/>
              <w:rPr>
                <w:sz w:val="20"/>
                <w:szCs w:val="20"/>
                <w:color w:val="auto"/>
              </w:rPr>
            </w:pPr>
            <w:r>
              <w:rPr>
                <w:rFonts w:ascii="Arial" w:cs="Arial" w:eastAsia="Arial" w:hAnsi="Arial"/>
                <w:sz w:val="14"/>
                <w:szCs w:val="14"/>
                <w:b w:val="1"/>
                <w:bCs w:val="1"/>
                <w:color w:val="auto"/>
                <w:w w:val="86"/>
              </w:rPr>
              <w:t>of this Global Note</w:t>
            </w:r>
          </w:p>
        </w:tc>
        <w:tc>
          <w:tcPr>
            <w:tcW w:w="2660" w:type="dxa"/>
            <w:vAlign w:val="bottom"/>
          </w:tcPr>
          <w:p>
            <w:pPr>
              <w:jc w:val="center"/>
              <w:ind w:left="452"/>
              <w:spacing w:after="0"/>
              <w:rPr>
                <w:sz w:val="20"/>
                <w:szCs w:val="20"/>
                <w:color w:val="auto"/>
              </w:rPr>
            </w:pPr>
            <w:r>
              <w:rPr>
                <w:rFonts w:ascii="Arial" w:cs="Arial" w:eastAsia="Arial" w:hAnsi="Arial"/>
                <w:sz w:val="14"/>
                <w:szCs w:val="14"/>
                <w:b w:val="1"/>
                <w:bCs w:val="1"/>
                <w:color w:val="auto"/>
                <w:w w:val="88"/>
              </w:rPr>
              <w:t>of this Global Note</w:t>
            </w: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83"/>
              </w:rPr>
              <w:t>decrease (or increase)</w:t>
            </w:r>
          </w:p>
        </w:tc>
        <w:tc>
          <w:tcPr>
            <w:tcW w:w="150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Trustee or Custodian</w:t>
            </w:r>
          </w:p>
        </w:tc>
      </w:tr>
    </w:tbl>
    <w:p>
      <w:pPr>
        <w:spacing w:after="0" w:line="18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420"/>
          </w:cols>
          <w:pgMar w:left="240" w:top="274" w:right="239" w:bottom="1440" w:gutter="0" w:footer="0" w:header="0"/>
        </w:sectPr>
      </w:pPr>
    </w:p>
    <w:bookmarkStart w:id="107" w:name="page108"/>
    <w:bookmarkEnd w:id="107"/>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[Face of Regulation S Temporary Global Note]</w:t>
      </w:r>
    </w:p>
    <w:p>
      <w:pPr>
        <w:spacing w:after="0" w:line="194"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U98347 AJ3/US U98347AJ3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 Senior Notes due 2023</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9740" w:space="720"/>
            <w:col w:w="9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WYNN LAS VEGAS CAPITAL CORP.</w:t>
      </w:r>
    </w:p>
    <w:p>
      <w:pPr>
        <w:sectPr>
          <w:pgSz w:w="11900" w:h="16838" w:orient="portrait"/>
          <w:cols w:equalWidth="0" w:num="1">
            <w:col w:w="11420"/>
          </w:cols>
          <w:pgMar w:left="240" w:top="274"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promise to pay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or registered assigns,</w:t>
      </w:r>
    </w:p>
    <w:p>
      <w:pPr>
        <w:spacing w:after="0" w:line="124" w:lineRule="exact"/>
        <w:rPr>
          <w:sz w:val="20"/>
          <w:szCs w:val="20"/>
          <w:color w:val="auto"/>
        </w:rPr>
      </w:pPr>
    </w:p>
    <w:p>
      <w:pPr>
        <w:sectPr>
          <w:pgSz w:w="11900" w:h="16838" w:orient="portrait"/>
          <w:cols w:equalWidth="0" w:num="2">
            <w:col w:w="1780" w:space="720"/>
            <w:col w:w="89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principal sum of</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DOLLARS on May 30, 2023.</w:t>
      </w:r>
    </w:p>
    <w:p>
      <w:pPr>
        <w:sectPr>
          <w:pgSz w:w="11900" w:h="16838" w:orient="portrait"/>
          <w:cols w:equalWidth="0" w:num="1">
            <w:col w:w="11420"/>
          </w:cols>
          <w:pgMar w:left="240" w:top="274"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May 30 and November 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15 and November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WYNN LAS VEGAS CAPITAL CORP.</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type w:val="continuous"/>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Signatory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Regulation S Temporary Global Note]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 Senior Notes due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Section 2.06(f)(1)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Global Notes Legend, if applicable, pursuant to Section 2.06(f)(2) of the Indenture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Regulation S Temporary Global Note Legend pursuant to Section 2.06(f)(3) of the Indenture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71" w:lineRule="exact"/>
        <w:rPr>
          <w:sz w:val="20"/>
          <w:szCs w:val="20"/>
          <w:color w:val="auto"/>
        </w:rPr>
      </w:pPr>
    </w:p>
    <w:p>
      <w:pPr>
        <w:ind w:firstLine="921"/>
        <w:spacing w:after="0" w:line="286" w:lineRule="auto"/>
        <w:tabs>
          <w:tab w:leader="none" w:pos="1161"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 and Wynn Las Vegas Capital Corp., a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(“Wynn Capital,”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promise to pay interest on the principal amount of this Note at 4.25% per annum from May 22, 2013 until maturity. The Issuers shall pay interest semi-annually in arrears on May 30 and November 30 of each year, or if any such day is not a Business Day, on the next succeeding Business Day (each, an “</w:t>
      </w:r>
      <w:r>
        <w:rPr>
          <w:rFonts w:ascii="Arial" w:cs="Arial" w:eastAsia="Arial" w:hAnsi="Arial"/>
          <w:sz w:val="16"/>
          <w:szCs w:val="16"/>
          <w:i w:val="1"/>
          <w:iCs w:val="1"/>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first Interest Payment Date shall be November 30, 3013.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27" w:lineRule="exact"/>
        <w:rPr>
          <w:rFonts w:ascii="Arial" w:cs="Arial" w:eastAsia="Arial" w:hAnsi="Arial"/>
          <w:sz w:val="16"/>
          <w:szCs w:val="16"/>
          <w:color w:val="auto"/>
        </w:rPr>
      </w:pPr>
    </w:p>
    <w:p>
      <w:pPr>
        <w:ind w:right="100" w:firstLine="921"/>
        <w:spacing w:after="0" w:line="289" w:lineRule="auto"/>
        <w:tabs>
          <w:tab w:leader="none" w:pos="1161"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Issuers shall pay interest on the Notes (except defaulted interest) to the Persons who are registered Holders of Notes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close of business on the May 15 or November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280" w:right="239" w:bottom="1440" w:gutter="0" w:footer="0" w:header="0"/>
        </w:sectPr>
      </w:pPr>
    </w:p>
    <w:bookmarkStart w:id="109" w:name="page110"/>
    <w:bookmarkEnd w:id="109"/>
    <w:p>
      <w:pPr>
        <w:ind w:right="120" w:firstLine="921"/>
        <w:spacing w:after="0" w:line="332" w:lineRule="auto"/>
        <w:tabs>
          <w:tab w:leader="none" w:pos="1161"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 and Registrar</w:t>
      </w:r>
      <w:r>
        <w:rPr>
          <w:rFonts w:ascii="Arial" w:cs="Arial" w:eastAsia="Arial" w:hAnsi="Arial"/>
          <w:sz w:val="16"/>
          <w:szCs w:val="16"/>
          <w:color w:val="auto"/>
        </w:rPr>
        <w:t>. Initially, U.S. Bank National Association, the Trustee under the Indenture, shall act as Paying Agent and Registrar.</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Issuers may change any Paying Agent or Registrar without notice to any Holder. Either Issuer or any Guarantor may act in any such capacity.</w:t>
      </w:r>
    </w:p>
    <w:p>
      <w:pPr>
        <w:spacing w:after="0" w:line="85" w:lineRule="exact"/>
        <w:rPr>
          <w:rFonts w:ascii="Arial" w:cs="Arial" w:eastAsia="Arial" w:hAnsi="Arial"/>
          <w:sz w:val="16"/>
          <w:szCs w:val="16"/>
          <w:color w:val="auto"/>
        </w:rPr>
      </w:pPr>
    </w:p>
    <w:p>
      <w:pPr>
        <w:ind w:right="20" w:firstLine="921"/>
        <w:spacing w:after="0" w:line="289" w:lineRule="auto"/>
        <w:tabs>
          <w:tab w:leader="none" w:pos="1161"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Indenture and the Pledge Agreement</w:t>
      </w:r>
      <w:r>
        <w:rPr>
          <w:rFonts w:ascii="Arial" w:cs="Arial" w:eastAsia="Arial" w:hAnsi="Arial"/>
          <w:sz w:val="16"/>
          <w:szCs w:val="16"/>
          <w:color w:val="auto"/>
        </w:rPr>
        <w:t>. The Issuers issued the Notes under an Indenture dated as of May 22, 2013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6"/>
          <w:szCs w:val="16"/>
          <w:i w:val="1"/>
          <w:iCs w:val="1"/>
          <w:u w:val="single" w:color="auto"/>
          <w:color w:val="auto"/>
        </w:rPr>
        <w:t>Additional Notes</w:t>
      </w:r>
      <w:r>
        <w:rPr>
          <w:rFonts w:ascii="Arial" w:cs="Arial" w:eastAsia="Arial" w:hAnsi="Arial"/>
          <w:sz w:val="16"/>
          <w:szCs w:val="16"/>
          <w:color w:val="auto"/>
        </w:rPr>
        <w:t>.” The term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includes any Additional Notes hereafter issued.</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Notes are redeemable at the Issuers’ election, in whole or in part at any time prior to their Stated Maturity.</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redemption price for the Notes that are redeemed before February 28, 2023 will be equal to the greater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90" w:lineRule="exact"/>
        <w:rPr>
          <w:rFonts w:ascii="Arial" w:cs="Arial" w:eastAsia="Arial" w:hAnsi="Arial"/>
          <w:sz w:val="18"/>
          <w:szCs w:val="18"/>
          <w:color w:val="auto"/>
        </w:rPr>
      </w:pPr>
    </w:p>
    <w:p>
      <w:pPr>
        <w:ind w:left="2380" w:hanging="441"/>
        <w:spacing w:after="0" w:line="256" w:lineRule="auto"/>
        <w:tabs>
          <w:tab w:leader="none" w:pos="23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of the above cases, accrued and unpaid interest to the date of redemption on the Notes to be redeemed.</w:t>
      </w:r>
    </w:p>
    <w:p>
      <w:pPr>
        <w:spacing w:after="0" w:line="171" w:lineRule="exact"/>
        <w:rPr>
          <w:sz w:val="20"/>
          <w:szCs w:val="20"/>
          <w:color w:val="auto"/>
        </w:rPr>
      </w:pPr>
    </w:p>
    <w:p>
      <w:pPr>
        <w:ind w:right="80" w:firstLine="1492"/>
        <w:spacing w:after="0" w:line="332" w:lineRule="auto"/>
        <w:tabs>
          <w:tab w:leader="none" w:pos="173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redemption price for Notes that are redeemed on or after February 28, 2023 (the date that is three months prior to the maturity date) will be equal to the sum of 100% of their principal amount, plus accrued and unpaid interest to the date of redemption on the Notes to be redeemed.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380"/>
          </w:cols>
          <w:pgMar w:left="240" w:top="280" w:right="279" w:bottom="1440" w:gutter="0" w:footer="0" w:header="0"/>
        </w:sectPr>
      </w:pPr>
    </w:p>
    <w:bookmarkStart w:id="110" w:name="page111"/>
    <w:bookmarkEnd w:id="110"/>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100" w:firstLine="921"/>
        <w:spacing w:after="0" w:line="268" w:lineRule="auto"/>
        <w:tabs>
          <w:tab w:leader="none" w:pos="1161"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Mandatory Redemption</w:t>
      </w:r>
      <w:r>
        <w:rPr>
          <w:rFonts w:ascii="Arial" w:cs="Arial" w:eastAsia="Arial" w:hAnsi="Arial"/>
          <w:sz w:val="18"/>
          <w:szCs w:val="18"/>
          <w:color w:val="auto"/>
        </w:rPr>
        <w:t>. Other than as set forth in Paragraph 7 below, the Issuers shall not be required to make mandatory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payments with respect to the Notes.</w:t>
      </w:r>
    </w:p>
    <w:p>
      <w:pPr>
        <w:spacing w:after="0" w:line="131" w:lineRule="exact"/>
        <w:rPr>
          <w:rFonts w:ascii="Arial" w:cs="Arial" w:eastAsia="Arial" w:hAnsi="Arial"/>
          <w:sz w:val="18"/>
          <w:szCs w:val="18"/>
          <w:color w:val="auto"/>
        </w:rPr>
      </w:pPr>
    </w:p>
    <w:p>
      <w:pPr>
        <w:ind w:right="40" w:firstLine="921"/>
        <w:spacing w:after="0" w:line="282" w:lineRule="auto"/>
        <w:tabs>
          <w:tab w:leader="none" w:pos="1161"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Mandatory Disposition or Redemption Pursuant to Gaming Laws</w:t>
      </w:r>
      <w:r>
        <w:rPr>
          <w:rFonts w:ascii="Arial" w:cs="Arial" w:eastAsia="Arial" w:hAnsi="Arial"/>
          <w:sz w:val="16"/>
          <w:szCs w:val="16"/>
          <w:color w:val="auto"/>
        </w:rPr>
        <w:t>. Notwithstanding any other provision of the Indenture or this Note, if any</w:t>
      </w:r>
      <w:r>
        <w:rPr>
          <w:rFonts w:ascii="Arial" w:cs="Arial" w:eastAsia="Arial" w:hAnsi="Arial"/>
          <w:sz w:val="16"/>
          <w:szCs w:val="16"/>
          <w:i w:val="1"/>
          <w:iCs w:val="1"/>
          <w:color w:val="auto"/>
        </w:rPr>
        <w:t xml:space="preserve"> </w:t>
      </w:r>
      <w:r>
        <w:rPr>
          <w:rFonts w:ascii="Arial" w:cs="Arial" w:eastAsia="Arial" w:hAnsi="Arial"/>
          <w:sz w:val="16"/>
          <w:szCs w:val="16"/>
          <w:color w:val="auto"/>
        </w:rPr>
        <w:t>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w:t>
      </w:r>
    </w:p>
    <w:p>
      <w:pPr>
        <w:spacing w:after="0" w:line="5" w:lineRule="exact"/>
        <w:rPr>
          <w:rFonts w:ascii="Arial" w:cs="Arial" w:eastAsia="Arial" w:hAnsi="Arial"/>
          <w:sz w:val="16"/>
          <w:szCs w:val="16"/>
          <w:color w:val="auto"/>
        </w:rPr>
      </w:pPr>
    </w:p>
    <w:p>
      <w:pPr>
        <w:ind w:right="160" w:firstLine="8"/>
        <w:spacing w:after="0" w:line="254" w:lineRule="auto"/>
        <w:tabs>
          <w:tab w:leader="none" w:pos="2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principal amount of the Notes, and (ii) the price that the Holder or Beneficial Owner paid for the Notes, in either case, together with accrued and unpaid interest, if any, on the Notes to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32" w:lineRule="exact"/>
        <w:rPr>
          <w:sz w:val="20"/>
          <w:szCs w:val="20"/>
          <w:color w:val="auto"/>
        </w:rPr>
      </w:pPr>
    </w:p>
    <w:p>
      <w:pPr>
        <w:ind w:firstLine="921"/>
        <w:spacing w:after="0" w:line="255" w:lineRule="auto"/>
        <w:tabs>
          <w:tab w:leader="none" w:pos="116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Repurchase at Option of Holder</w:t>
      </w:r>
      <w:r>
        <w:rPr>
          <w:rFonts w:ascii="Arial" w:cs="Arial" w:eastAsia="Arial" w:hAnsi="Arial"/>
          <w:sz w:val="18"/>
          <w:szCs w:val="18"/>
          <w:color w:val="auto"/>
        </w:rPr>
        <w:t>. If a Change of Control Triggering Event occurs, the Issuers shall make an offer (a “</w:t>
      </w:r>
      <w:r>
        <w:rPr>
          <w:rFonts w:ascii="Arial" w:cs="Arial" w:eastAsia="Arial" w:hAnsi="Arial"/>
          <w:sz w:val="18"/>
          <w:szCs w:val="18"/>
          <w:i w:val="1"/>
          <w:iCs w:val="1"/>
          <w:u w:val="single" w:color="auto"/>
          <w:color w:val="auto"/>
        </w:rPr>
        <w:t>Change of Control Offer</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all or any part (equal to $2,000 or an integral multiple of $1,000 in excess of $2,000) of each Holder’s Notes at a purchase price equal to 101% of the aggregate principal amount thereof plus accrued and unpaid interest, if any, to the date of purchase (the “</w:t>
      </w:r>
      <w:r>
        <w:rPr>
          <w:rFonts w:ascii="Arial" w:cs="Arial" w:eastAsia="Arial" w:hAnsi="Arial"/>
          <w:sz w:val="18"/>
          <w:szCs w:val="18"/>
          <w:i w:val="1"/>
          <w:iCs w:val="1"/>
          <w:u w:val="single" w:color="auto"/>
          <w:color w:val="auto"/>
        </w:rPr>
        <w:t>Change of Control Payment</w:t>
      </w:r>
      <w:r>
        <w:rPr>
          <w:rFonts w:ascii="Arial" w:cs="Arial" w:eastAsia="Arial" w:hAnsi="Arial"/>
          <w:sz w:val="18"/>
          <w:szCs w:val="18"/>
          <w:color w:val="auto"/>
        </w:rPr>
        <w:t>”). Within 10 days following any Change of Control Triggering Event, the Issuers shall mail a notice to each Holder setting forth the procedures governing the Change of Control Offer as required by the Indenture.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280" w:right="239" w:bottom="1440" w:gutter="0" w:footer="0" w:header="0"/>
        </w:sectPr>
      </w:pPr>
    </w:p>
    <w:bookmarkStart w:id="111" w:name="page112"/>
    <w:bookmarkEnd w:id="111"/>
    <w:p>
      <w:pPr>
        <w:ind w:right="60" w:firstLine="921"/>
        <w:spacing w:after="0" w:line="294" w:lineRule="auto"/>
        <w:tabs>
          <w:tab w:leader="none" w:pos="1161"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Redemption</w:t>
      </w:r>
      <w:r>
        <w:rPr>
          <w:rFonts w:ascii="Arial" w:cs="Arial" w:eastAsia="Arial" w:hAnsi="Arial"/>
          <w:sz w:val="16"/>
          <w:szCs w:val="16"/>
          <w:color w:val="auto"/>
        </w:rPr>
        <w:t>. Notice of redemption shall be delivered at least 30 days but not more than 60 days before the redemption date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15" w:lineRule="exact"/>
        <w:rPr>
          <w:rFonts w:ascii="Arial" w:cs="Arial" w:eastAsia="Arial" w:hAnsi="Arial"/>
          <w:sz w:val="16"/>
          <w:szCs w:val="16"/>
          <w:color w:val="auto"/>
        </w:rPr>
      </w:pPr>
    </w:p>
    <w:p>
      <w:pPr>
        <w:ind w:left="1260" w:hanging="339"/>
        <w:spacing w:after="0"/>
        <w:tabs>
          <w:tab w:leader="none" w:pos="1260"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 multiples of</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1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43" w:lineRule="exact"/>
        <w:rPr>
          <w:sz w:val="20"/>
          <w:szCs w:val="20"/>
          <w:color w:val="auto"/>
        </w:rPr>
      </w:pPr>
    </w:p>
    <w:p>
      <w:pPr>
        <w:ind w:left="1260" w:hanging="339"/>
        <w:spacing w:after="0"/>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492"/>
        <w:spacing w:after="0" w:line="294" w:lineRule="auto"/>
        <w:tabs>
          <w:tab w:leader="none" w:pos="172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Pledge Agreement may be waived with the consent of the Holders of a majority in principal amount of the then outstanding Notes, voting as a single class.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280" w:right="259" w:bottom="1440" w:gutter="0" w:footer="0" w:header="0"/>
        </w:sectPr>
      </w:pPr>
    </w:p>
    <w:bookmarkStart w:id="112" w:name="page113"/>
    <w:bookmarkEnd w:id="112"/>
    <w:p>
      <w:pPr>
        <w:ind w:left="-8" w:firstLine="1492"/>
        <w:spacing w:after="0" w:line="282" w:lineRule="auto"/>
        <w:tabs>
          <w:tab w:leader="none" w:pos="1724" w:val="left"/>
        </w:tabs>
        <w:numPr>
          <w:ilvl w:val="2"/>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(ix) release all or substantially all of the Collateral except in accordance with the provisions of the Indenture, Pledge Agreement and the Intercreditor Agreement, (x) amend Section 10.03 of the Indenture, or</w:t>
      </w:r>
    </w:p>
    <w:p>
      <w:pPr>
        <w:spacing w:after="0" w:line="5" w:lineRule="exact"/>
        <w:rPr>
          <w:rFonts w:ascii="Arial" w:cs="Arial" w:eastAsia="Arial" w:hAnsi="Arial"/>
          <w:sz w:val="16"/>
          <w:szCs w:val="16"/>
          <w:color w:val="auto"/>
        </w:rPr>
      </w:pPr>
    </w:p>
    <w:p>
      <w:pPr>
        <w:ind w:left="292" w:hanging="292"/>
        <w:spacing w:after="0"/>
        <w:tabs>
          <w:tab w:leader="none" w:pos="2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64" w:lineRule="exact"/>
        <w:rPr>
          <w:rFonts w:ascii="Arial" w:cs="Arial" w:eastAsia="Arial" w:hAnsi="Arial"/>
          <w:sz w:val="18"/>
          <w:szCs w:val="18"/>
          <w:color w:val="auto"/>
        </w:rPr>
      </w:pPr>
    </w:p>
    <w:p>
      <w:pPr>
        <w:ind w:left="-8" w:right="20" w:firstLine="1492"/>
        <w:spacing w:after="0" w:line="286" w:lineRule="auto"/>
        <w:tabs>
          <w:tab w:leader="none" w:pos="1714" w:val="left"/>
        </w:tabs>
        <w:numPr>
          <w:ilvl w:val="2"/>
          <w:numId w:val="147"/>
        </w:numPr>
        <w:rPr>
          <w:rFonts w:ascii="Arial" w:cs="Arial" w:eastAsia="Arial" w:hAnsi="Arial"/>
          <w:sz w:val="16"/>
          <w:szCs w:val="16"/>
          <w:color w:val="auto"/>
        </w:rPr>
      </w:pPr>
      <w:r>
        <w:rPr>
          <w:rFonts w:ascii="Arial" w:cs="Arial" w:eastAsia="Arial" w:hAnsi="Arial"/>
          <w:sz w:val="16"/>
          <w:szCs w:val="16"/>
          <w:color w:val="auto"/>
        </w:rPr>
        <w:t>Without the consent of any Holder of a Note, the Issuers, the Guarantors and the Trustee may amend or supplement the Indenture, the Notes, the Note Guarantees or Pledge Agreement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May 15, 2013,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 secured.</w:t>
      </w:r>
    </w:p>
    <w:p>
      <w:pPr>
        <w:spacing w:after="0" w:line="124" w:lineRule="exact"/>
        <w:rPr>
          <w:rFonts w:ascii="Arial" w:cs="Arial" w:eastAsia="Arial" w:hAnsi="Arial"/>
          <w:sz w:val="16"/>
          <w:szCs w:val="16"/>
          <w:color w:val="auto"/>
        </w:rPr>
      </w:pPr>
    </w:p>
    <w:p>
      <w:pPr>
        <w:ind w:left="1252" w:hanging="339"/>
        <w:spacing w:after="0"/>
        <w:tabs>
          <w:tab w:leader="none" w:pos="1252" w:val="left"/>
        </w:tabs>
        <w:numPr>
          <w:ilvl w:val="1"/>
          <w:numId w:val="147"/>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if any, with respect to the Notes;</w:t>
      </w:r>
    </w:p>
    <w:p>
      <w:pPr>
        <w:spacing w:after="0" w:line="38" w:lineRule="exact"/>
        <w:rPr>
          <w:rFonts w:ascii="Arial" w:cs="Arial" w:eastAsia="Arial" w:hAnsi="Arial"/>
          <w:sz w:val="16"/>
          <w:szCs w:val="16"/>
          <w:color w:val="auto"/>
        </w:rPr>
      </w:pPr>
    </w:p>
    <w:p>
      <w:pPr>
        <w:ind w:left="-8" w:right="40" w:firstLine="8"/>
        <w:spacing w:after="0" w:line="254" w:lineRule="auto"/>
        <w:tabs>
          <w:tab w:leader="none" w:pos="25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default in payment when due of principal of, or premium, if any, on the Notes when the same becomes due and payable at maturity, upon redemption (including in connection with an offer to purchase) or otherwise, (iii) failure by Wynn Capital, Wynn Las Vegas or any of the Guarantors to comply with Sections 4.11 or 5.01 of the Indenture; (iv) failure by Wynn Capital, Wynn Las Vegas or any Guarantor for 60 days after written notice from the Trustee or Holders of at least 25% in</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92"/>
          </w:cols>
          <w:pgMar w:left="248" w:top="280" w:right="259" w:bottom="1440" w:gutter="0" w:footer="0" w:header="0"/>
        </w:sectPr>
      </w:pPr>
    </w:p>
    <w:bookmarkStart w:id="113" w:name="page114"/>
    <w:bookmarkEnd w:id="1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 (other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 (viii) certain events of bankruptcy or insolvency described in the Indenture with respect to (a) either Issuer or (b) any Guarantor.</w:t>
      </w:r>
    </w:p>
    <w:p>
      <w:pPr>
        <w:spacing w:after="0" w:line="40" w:lineRule="exact"/>
        <w:rPr>
          <w:sz w:val="20"/>
          <w:szCs w:val="20"/>
          <w:color w:val="auto"/>
        </w:rPr>
      </w:pPr>
    </w:p>
    <w:p>
      <w:pPr>
        <w:jc w:val="both"/>
        <w:ind w:left="460" w:right="180" w:firstLine="438"/>
        <w:spacing w:after="0" w:line="284"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 w:lineRule="exact"/>
        <w:rPr>
          <w:sz w:val="20"/>
          <w:szCs w:val="20"/>
          <w:color w:val="auto"/>
        </w:rPr>
      </w:pPr>
    </w:p>
    <w:p>
      <w:pPr>
        <w:ind w:left="460" w:right="100"/>
        <w:spacing w:after="0" w:line="287"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20" w:lineRule="exact"/>
        <w:rPr>
          <w:sz w:val="20"/>
          <w:szCs w:val="20"/>
          <w:color w:val="auto"/>
        </w:rPr>
      </w:pPr>
    </w:p>
    <w:p>
      <w:pPr>
        <w:ind w:firstLine="921"/>
        <w:spacing w:after="0" w:line="259" w:lineRule="auto"/>
        <w:tabs>
          <w:tab w:leader="none" w:pos="1249"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Intercreditor Agreement</w:t>
      </w:r>
      <w:r>
        <w:rPr>
          <w:rFonts w:ascii="Arial" w:cs="Arial" w:eastAsia="Arial" w:hAnsi="Arial"/>
          <w:sz w:val="18"/>
          <w:szCs w:val="18"/>
          <w:color w:val="auto"/>
        </w:rPr>
        <w:t>. The Indenture authorizes the Trustee to enter into the Intercreditor Agreement on behalf of itself and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Intercreditor Agreement will restrict the ability of the Trustee and the Holders of the Notes to exercise certain rights and remedies with respect to the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00"/>
          </w:cols>
          <w:pgMar w:left="240" w:top="280" w:right="259" w:bottom="1440" w:gutter="0" w:footer="0" w:header="0"/>
        </w:sectPr>
      </w:pPr>
    </w:p>
    <w:bookmarkStart w:id="114" w:name="page115"/>
    <w:bookmarkEnd w:id="114"/>
    <w:p>
      <w:pPr>
        <w:ind w:right="160" w:firstLine="921"/>
        <w:spacing w:after="0" w:line="256" w:lineRule="auto"/>
        <w:tabs>
          <w:tab w:leader="none" w:pos="124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Dealings with Issuers</w:t>
      </w:r>
      <w:r>
        <w:rPr>
          <w:rFonts w:ascii="Arial" w:cs="Arial" w:eastAsia="Arial" w:hAnsi="Arial"/>
          <w:sz w:val="18"/>
          <w:szCs w:val="18"/>
          <w:color w:val="auto"/>
        </w:rPr>
        <w:t>. The Trustee, in its individual or any other capacity, may become the owner or pledgee of Notes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43" w:lineRule="exact"/>
        <w:rPr>
          <w:rFonts w:ascii="Arial" w:cs="Arial" w:eastAsia="Arial" w:hAnsi="Arial"/>
          <w:sz w:val="18"/>
          <w:szCs w:val="18"/>
          <w:color w:val="auto"/>
        </w:rPr>
      </w:pPr>
    </w:p>
    <w:p>
      <w:pPr>
        <w:ind w:right="20" w:firstLine="921"/>
        <w:spacing w:after="0" w:line="255" w:lineRule="auto"/>
        <w:tabs>
          <w:tab w:leader="none" w:pos="124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 past, present or future director, officer, employee, incorporator, organizer, equity holder or member of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left="1260" w:hanging="339"/>
        <w:spacing w:after="0"/>
        <w:tabs>
          <w:tab w:leader="none" w:pos="1260"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Authentication</w:t>
      </w:r>
      <w:r>
        <w:rPr>
          <w:rFonts w:ascii="Arial" w:cs="Arial" w:eastAsia="Arial" w:hAnsi="Arial"/>
          <w:sz w:val="16"/>
          <w:szCs w:val="16"/>
          <w:color w:val="auto"/>
        </w:rPr>
        <w:t>. This Note shall not be valid until authenticated by the manual signature of the Trustee or an authenticating agent.</w:t>
      </w:r>
    </w:p>
    <w:p>
      <w:pPr>
        <w:spacing w:after="0" w:line="194" w:lineRule="exact"/>
        <w:rPr>
          <w:rFonts w:ascii="Arial" w:cs="Arial" w:eastAsia="Arial" w:hAnsi="Arial"/>
          <w:sz w:val="16"/>
          <w:szCs w:val="16"/>
          <w:color w:val="auto"/>
        </w:rPr>
      </w:pPr>
    </w:p>
    <w:p>
      <w:pPr>
        <w:ind w:right="120" w:firstLine="921"/>
        <w:spacing w:after="0" w:line="259" w:lineRule="auto"/>
        <w:tabs>
          <w:tab w:leader="none" w:pos="124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140" w:lineRule="exact"/>
        <w:rPr>
          <w:rFonts w:ascii="Arial" w:cs="Arial" w:eastAsia="Arial" w:hAnsi="Arial"/>
          <w:sz w:val="18"/>
          <w:szCs w:val="18"/>
          <w:color w:val="auto"/>
        </w:rPr>
      </w:pPr>
    </w:p>
    <w:p>
      <w:pPr>
        <w:ind w:right="140" w:firstLine="921"/>
        <w:spacing w:after="0" w:line="259" w:lineRule="auto"/>
        <w:tabs>
          <w:tab w:leader="none" w:pos="124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INDENTURE, THIS NOTE AND THE NOTE GUARANTEES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INCLUDING, WITHOUT LIMITATION, SECTION 4-1401 OF THE NEW YORK OBLIGATIONS LAW.</w:t>
      </w:r>
    </w:p>
    <w:p>
      <w:pPr>
        <w:spacing w:after="0" w:line="140" w:lineRule="exact"/>
        <w:rPr>
          <w:rFonts w:ascii="Arial" w:cs="Arial" w:eastAsia="Arial" w:hAnsi="Arial"/>
          <w:sz w:val="18"/>
          <w:szCs w:val="18"/>
          <w:color w:val="auto"/>
        </w:rPr>
      </w:pPr>
    </w:p>
    <w:p>
      <w:pPr>
        <w:ind w:firstLine="921"/>
        <w:spacing w:after="0" w:line="256" w:lineRule="auto"/>
        <w:tabs>
          <w:tab w:leader="none" w:pos="124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Issuers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Issuers shall furnish to any Holder upon written request and without charge a copy of the Indenture, the Pledge Agreement and/or the Intercreditor Agreement. Requests may be made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No.: (702) 770-1520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280" w:right="239" w:bottom="1440" w:gutter="0" w:footer="0" w:header="0"/>
        </w:sectPr>
      </w:pPr>
    </w:p>
    <w:bookmarkStart w:id="115" w:name="page116"/>
    <w:bookmarkEnd w:id="115"/>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(Insert assignee’s legal name)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Issuers. The agent may substitute another to act for him.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-13970</wp:posOffset>
            </wp:positionV>
            <wp:extent cx="18116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92" w:lineRule="exact"/>
        <w:rPr>
          <w:sz w:val="20"/>
          <w:szCs w:val="20"/>
          <w:color w:val="auto"/>
        </w:rPr>
      </w:pPr>
    </w:p>
    <w:p>
      <w:pPr>
        <w:ind w:left="5500" w:right="2240" w:hanging="5492"/>
        <w:spacing w:after="0" w:line="440" w:lineRule="auto"/>
        <w:tabs>
          <w:tab w:leader="none" w:pos="4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A-2-9</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want to elect to have this Note purchased by the Issuers pursuant to Section 4.11 of the Indenture, check the appropriate box below:</w:t>
      </w:r>
    </w:p>
    <w:p>
      <w:pPr>
        <w:spacing w:after="0" w:line="19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4.11</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want to elect to have only part of the Note purchased by the Issuers pursuant to Section 4.11 of the Indenture, state the amount you elect to have purchased: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Your Signature: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5"/>
          <w:szCs w:val="15"/>
          <w:color w:val="auto"/>
        </w:rPr>
        <w:t>(Sign exactly as your name appears on the face of this Note)</w:t>
      </w:r>
    </w:p>
    <w:p>
      <w:pPr>
        <w:spacing w:after="0" w:line="1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Tax Identification No.: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-13970</wp:posOffset>
            </wp:positionV>
            <wp:extent cx="1811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92" w:lineRule="exact"/>
        <w:rPr>
          <w:sz w:val="20"/>
          <w:szCs w:val="20"/>
          <w:color w:val="auto"/>
        </w:rPr>
      </w:pPr>
    </w:p>
    <w:p>
      <w:pPr>
        <w:ind w:left="5460" w:right="2240" w:hanging="5452"/>
        <w:spacing w:after="0" w:line="440" w:lineRule="auto"/>
        <w:tabs>
          <w:tab w:leader="none" w:pos="4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A-2-10</w:t>
      </w:r>
    </w:p>
    <w:p>
      <w:pPr>
        <w:sectPr>
          <w:pgSz w:w="11900" w:h="16838" w:orient="portrait"/>
          <w:cols w:equalWidth="0" w:num="1">
            <w:col w:w="11420"/>
          </w:cols>
          <w:pgMar w:left="240" w:top="28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INTERESTS IN THE GLOBAL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exchanges of a part of this Global Note for an interest in another Global Note or for a Definitive Note, or exchanges of a part of another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Note or Definitive Note for an interest in this Global Note, have been made:</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89"/>
              </w:rPr>
              <w:t>Principal Amount</w:t>
            </w:r>
          </w:p>
        </w:tc>
        <w:tc>
          <w:tcPr>
            <w:tcW w:w="1500" w:type="dxa"/>
            <w:vAlign w:val="bottom"/>
          </w:tcPr>
          <w:p>
            <w:pPr>
              <w:spacing w:after="0"/>
              <w:rPr>
                <w:sz w:val="14"/>
                <w:szCs w:val="14"/>
                <w:color w:val="auto"/>
              </w:rPr>
            </w:pPr>
          </w:p>
        </w:tc>
      </w:tr>
      <w:tr>
        <w:trPr>
          <w:trHeight w:val="149"/>
        </w:trPr>
        <w:tc>
          <w:tcPr>
            <w:tcW w:w="1780" w:type="dxa"/>
            <w:vAlign w:val="bottom"/>
          </w:tcPr>
          <w:p>
            <w:pPr>
              <w:spacing w:after="0"/>
              <w:rPr>
                <w:sz w:val="12"/>
                <w:szCs w:val="12"/>
                <w:color w:val="auto"/>
              </w:rPr>
            </w:pPr>
          </w:p>
        </w:tc>
        <w:tc>
          <w:tcPr>
            <w:tcW w:w="28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4"/>
              </w:rPr>
              <w:t>Amount of decrease</w:t>
            </w:r>
          </w:p>
        </w:tc>
        <w:tc>
          <w:tcPr>
            <w:tcW w:w="26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5"/>
              </w:rPr>
              <w:t>Amount of increase in</w:t>
            </w:r>
          </w:p>
        </w:tc>
        <w:tc>
          <w:tcPr>
            <w:tcW w:w="19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of this Global Note</w:t>
            </w:r>
          </w:p>
        </w:tc>
        <w:tc>
          <w:tcPr>
            <w:tcW w:w="15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780" w:type="dxa"/>
            <w:vAlign w:val="bottom"/>
          </w:tcPr>
          <w:p>
            <w:pPr>
              <w:spacing w:after="0"/>
              <w:rPr>
                <w:sz w:val="12"/>
                <w:szCs w:val="12"/>
                <w:color w:val="auto"/>
              </w:rPr>
            </w:pPr>
          </w:p>
        </w:tc>
        <w:tc>
          <w:tcPr>
            <w:tcW w:w="28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in Principal Amount</w:t>
            </w:r>
          </w:p>
        </w:tc>
        <w:tc>
          <w:tcPr>
            <w:tcW w:w="26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9"/>
              </w:rPr>
              <w:t>Principal Amount</w:t>
            </w:r>
          </w:p>
        </w:tc>
        <w:tc>
          <w:tcPr>
            <w:tcW w:w="19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5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88"/>
        </w:trPr>
        <w:tc>
          <w:tcPr>
            <w:tcW w:w="178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88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of this Global Note</w:t>
            </w:r>
          </w:p>
        </w:tc>
        <w:tc>
          <w:tcPr>
            <w:tcW w:w="2660" w:type="dxa"/>
            <w:vAlign w:val="bottom"/>
          </w:tcPr>
          <w:p>
            <w:pPr>
              <w:jc w:val="center"/>
              <w:ind w:left="432"/>
              <w:spacing w:after="0"/>
              <w:rPr>
                <w:sz w:val="20"/>
                <w:szCs w:val="20"/>
                <w:color w:val="auto"/>
              </w:rPr>
            </w:pPr>
            <w:r>
              <w:rPr>
                <w:rFonts w:ascii="Arial" w:cs="Arial" w:eastAsia="Arial" w:hAnsi="Arial"/>
                <w:sz w:val="14"/>
                <w:szCs w:val="14"/>
                <w:b w:val="1"/>
                <w:bCs w:val="1"/>
                <w:color w:val="auto"/>
                <w:w w:val="86"/>
              </w:rPr>
              <w:t>of this Global Note</w:t>
            </w:r>
          </w:p>
        </w:tc>
        <w:tc>
          <w:tcPr>
            <w:tcW w:w="1960" w:type="dxa"/>
            <w:vAlign w:val="bottom"/>
          </w:tcPr>
          <w:p>
            <w:pPr>
              <w:jc w:val="center"/>
              <w:ind w:left="132"/>
              <w:spacing w:after="0"/>
              <w:rPr>
                <w:sz w:val="20"/>
                <w:szCs w:val="20"/>
                <w:color w:val="auto"/>
              </w:rPr>
            </w:pPr>
            <w:r>
              <w:rPr>
                <w:rFonts w:ascii="Arial" w:cs="Arial" w:eastAsia="Arial" w:hAnsi="Arial"/>
                <w:sz w:val="14"/>
                <w:szCs w:val="14"/>
                <w:b w:val="1"/>
                <w:bCs w:val="1"/>
                <w:color w:val="auto"/>
                <w:w w:val="83"/>
              </w:rPr>
              <w:t>decrease (or increase)</w:t>
            </w:r>
          </w:p>
        </w:tc>
        <w:tc>
          <w:tcPr>
            <w:tcW w:w="150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Trustee or Custodian</w:t>
            </w:r>
          </w:p>
        </w:tc>
      </w:tr>
    </w:tbl>
    <w:p>
      <w:pPr>
        <w:spacing w:after="0" w:line="181"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This schedule should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A-2-11</w:t>
      </w:r>
    </w:p>
    <w:p>
      <w:pPr>
        <w:sectPr>
          <w:pgSz w:w="11900" w:h="16838" w:orient="portrait"/>
          <w:cols w:equalWidth="0" w:num="1">
            <w:col w:w="11420"/>
          </w:cols>
          <w:pgMar w:left="240" w:top="2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4.25% Senior Notes due 2023</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Reference is hereby made to the Indenture, dated as of May 22, 2013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u w:val="single" w:color="auto"/>
          <w:color w:val="auto"/>
        </w:rPr>
        <w:t>Transferor</w:t>
      </w:r>
      <w:r>
        <w:rPr>
          <w:rFonts w:ascii="Arial" w:cs="Arial" w:eastAsia="Arial" w:hAnsi="Arial"/>
          <w:sz w:val="16"/>
          <w:szCs w:val="16"/>
          <w:color w:val="auto"/>
        </w:rPr>
        <w:t xml:space="preserve">”) owns and proposes to transfer the Note[s] or interest in such Note[s]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in the principal amount</w:t>
      </w:r>
    </w:p>
    <w:p>
      <w:pPr>
        <w:spacing w:after="0" w:line="38" w:lineRule="exact"/>
        <w:rPr>
          <w:sz w:val="20"/>
          <w:szCs w:val="20"/>
          <w:color w:val="auto"/>
        </w:rPr>
      </w:pPr>
    </w:p>
    <w:p>
      <w:pPr>
        <w:spacing w:after="0"/>
        <w:tabs>
          <w:tab w:leader="none" w:pos="800" w:val="left"/>
          <w:tab w:leader="none" w:pos="44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i w:val="1"/>
          <w:iCs w:val="1"/>
          <w:u w:val="single" w:color="auto"/>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u w:val="single" w:color="auto"/>
          <w:color w:val="auto"/>
        </w:rPr>
        <w:t>Transferee</w:t>
      </w:r>
      <w:r>
        <w:rPr>
          <w:rFonts w:ascii="Arial" w:cs="Arial" w:eastAsia="Arial" w:hAnsi="Arial"/>
          <w:sz w:val="16"/>
          <w:szCs w:val="16"/>
          <w:color w:val="auto"/>
        </w:rPr>
        <w:t xml:space="preserve">”), as further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In connection with the Transfer,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Transferor hereby certifies that: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39" w:lineRule="exact"/>
        <w:rPr>
          <w:sz w:val="20"/>
          <w:szCs w:val="20"/>
          <w:color w:val="auto"/>
        </w:rPr>
      </w:pPr>
    </w:p>
    <w:p>
      <w:pPr>
        <w:ind w:right="100" w:firstLine="464"/>
        <w:spacing w:after="0" w:line="221" w:lineRule="exact"/>
        <w:tabs>
          <w:tab w:leader="none" w:pos="764" w:val="left"/>
        </w:tabs>
        <w:numPr>
          <w:ilvl w:val="0"/>
          <w:numId w:val="15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144A Global Note or a Restricted Definitive Note pursuant to Rule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Securities Act of 1933, as amended (the “</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19" w:name="page120"/>
    <w:bookmarkEnd w:id="119"/>
    <w:p>
      <w:pPr>
        <w:ind w:left="-20" w:right="20" w:firstLine="464"/>
        <w:spacing w:after="0" w:line="220" w:lineRule="exact"/>
        <w:tabs>
          <w:tab w:leader="none" w:pos="744" w:val="left"/>
        </w:tabs>
        <w:numPr>
          <w:ilvl w:val="0"/>
          <w:numId w:val="155"/>
        </w:numPr>
        <w:rPr>
          <w:rFonts w:ascii="Arial" w:cs="Arial" w:eastAsia="Arial" w:hAnsi="Arial"/>
          <w:sz w:val="16"/>
          <w:szCs w:val="16"/>
          <w:color w:val="auto"/>
        </w:rPr>
      </w:pPr>
      <w:r>
        <w:rPr>
          <w:rFonts w:ascii="MS PGothic" w:cs="MS PGothic" w:eastAsia="MS PGothic" w:hAnsi="MS PGothic"/>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Temporary Global Note, the Regulation S Permanent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Global Note or a Restricted Definitive Note pursuant to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24" w:lineRule="exact"/>
        <w:rPr>
          <w:rFonts w:ascii="Arial" w:cs="Arial" w:eastAsia="Arial" w:hAnsi="Arial"/>
          <w:sz w:val="16"/>
          <w:szCs w:val="16"/>
          <w:color w:val="auto"/>
        </w:rPr>
      </w:pPr>
    </w:p>
    <w:p>
      <w:pPr>
        <w:ind w:left="-20" w:right="120" w:firstLine="464"/>
        <w:spacing w:after="0" w:line="226" w:lineRule="exact"/>
        <w:tabs>
          <w:tab w:leader="none" w:pos="744" w:val="left"/>
        </w:tabs>
        <w:numPr>
          <w:ilvl w:val="0"/>
          <w:numId w:val="155"/>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and complete if Transferee will take delivery of a beneficial interest in the IAI Global Note or a Restricted Definitive Note pursuant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to any provision of the Securities Act other than Rule 144A or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4" w:lineRule="exact"/>
        <w:rPr>
          <w:sz w:val="20"/>
          <w:szCs w:val="20"/>
          <w:color w:val="auto"/>
        </w:rPr>
      </w:pPr>
    </w:p>
    <w:p>
      <w:pPr>
        <w:ind w:left="5620" w:right="2820" w:hanging="4737"/>
        <w:spacing w:after="0" w:line="276" w:lineRule="exact"/>
        <w:tabs>
          <w:tab w:leader="none" w:pos="1252" w:val="left"/>
        </w:tabs>
        <w:numPr>
          <w:ilvl w:val="0"/>
          <w:numId w:val="15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42" w:lineRule="exact"/>
        <w:rPr>
          <w:rFonts w:ascii="Arial" w:cs="Arial" w:eastAsia="Arial" w:hAnsi="Arial"/>
          <w:sz w:val="18"/>
          <w:szCs w:val="18"/>
          <w:color w:val="auto"/>
        </w:rPr>
      </w:pPr>
    </w:p>
    <w:p>
      <w:pPr>
        <w:ind w:left="1260" w:hanging="377"/>
        <w:spacing w:after="0" w:line="207" w:lineRule="exact"/>
        <w:tabs>
          <w:tab w:leader="none" w:pos="1260" w:val="left"/>
        </w:tabs>
        <w:numPr>
          <w:ilvl w:val="0"/>
          <w:numId w:val="15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58" w:lineRule="exact"/>
        <w:rPr>
          <w:sz w:val="20"/>
          <w:szCs w:val="20"/>
          <w:color w:val="auto"/>
        </w:rPr>
      </w:pPr>
    </w:p>
    <w:p>
      <w:pPr>
        <w:ind w:left="440" w:firstLine="443"/>
        <w:spacing w:after="0" w:line="223" w:lineRule="exact"/>
        <w:tabs>
          <w:tab w:leader="none" w:pos="1248" w:val="left"/>
        </w:tabs>
        <w:numPr>
          <w:ilvl w:val="0"/>
          <w:numId w:val="15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60" w:top="247" w:right="239" w:bottom="1440" w:gutter="0" w:footer="0" w:header="0"/>
        </w:sectPr>
      </w:pPr>
    </w:p>
    <w:bookmarkStart w:id="120" w:name="page121"/>
    <w:bookmarkEnd w:id="12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11" w:lineRule="exact"/>
        <w:rPr>
          <w:sz w:val="20"/>
          <w:szCs w:val="20"/>
          <w:color w:val="auto"/>
        </w:rPr>
      </w:pPr>
    </w:p>
    <w:p>
      <w:pPr>
        <w:ind w:left="320" w:hanging="316"/>
        <w:spacing w:after="0" w:line="184" w:lineRule="exact"/>
        <w:tabs>
          <w:tab w:leader="none" w:pos="320" w:val="left"/>
        </w:tabs>
        <w:numPr>
          <w:ilvl w:val="0"/>
          <w:numId w:val="1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b w:val="1"/>
          <w:bCs w:val="1"/>
          <w:color w:val="auto"/>
        </w:rPr>
        <w:t>.</w:t>
      </w:r>
    </w:p>
    <w:p>
      <w:pPr>
        <w:spacing w:after="0" w:line="113" w:lineRule="exact"/>
        <w:rPr>
          <w:rFonts w:ascii="Arial" w:cs="Arial" w:eastAsia="Arial" w:hAnsi="Arial"/>
          <w:sz w:val="16"/>
          <w:szCs w:val="16"/>
          <w:color w:val="auto"/>
        </w:rPr>
      </w:pPr>
    </w:p>
    <w:p>
      <w:pPr>
        <w:ind w:right="100" w:firstLine="443"/>
        <w:spacing w:after="0" w:line="223" w:lineRule="exact"/>
        <w:tabs>
          <w:tab w:leader="none" w:pos="808" w:val="left"/>
        </w:tabs>
        <w:numPr>
          <w:ilvl w:val="1"/>
          <w:numId w:val="1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Rule 144. </w:t>
      </w:r>
      <w:r>
        <w:rPr>
          <w:rFonts w:ascii="Arial" w:cs="Arial" w:eastAsia="Arial" w:hAnsi="Arial"/>
          <w:sz w:val="16"/>
          <w:szCs w:val="16"/>
          <w:color w:val="auto"/>
        </w:rPr>
        <w:t>(i) The Transfer is being effected pursuant to and in accordance with Rule 144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43" w:lineRule="exact"/>
        <w:rPr>
          <w:rFonts w:ascii="Arial" w:cs="Arial" w:eastAsia="Arial" w:hAnsi="Arial"/>
          <w:sz w:val="16"/>
          <w:szCs w:val="16"/>
          <w:color w:val="auto"/>
        </w:rPr>
      </w:pPr>
    </w:p>
    <w:p>
      <w:pPr>
        <w:ind w:right="60" w:firstLine="443"/>
        <w:spacing w:after="0" w:line="223" w:lineRule="exact"/>
        <w:tabs>
          <w:tab w:leader="none" w:pos="818" w:val="left"/>
        </w:tabs>
        <w:numPr>
          <w:ilvl w:val="1"/>
          <w:numId w:val="1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Regulation S. </w:t>
      </w:r>
      <w:r>
        <w:rPr>
          <w:rFonts w:ascii="Arial" w:cs="Arial" w:eastAsia="Arial" w:hAnsi="Arial"/>
          <w:sz w:val="16"/>
          <w:szCs w:val="16"/>
          <w:color w:val="auto"/>
        </w:rPr>
        <w:t>(i) The Transfer is being effected pursuant to and in accordance with Rule 903 or Rule 904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43" w:lineRule="exact"/>
        <w:rPr>
          <w:rFonts w:ascii="Arial" w:cs="Arial" w:eastAsia="Arial" w:hAnsi="Arial"/>
          <w:sz w:val="16"/>
          <w:szCs w:val="16"/>
          <w:color w:val="auto"/>
        </w:rPr>
      </w:pPr>
    </w:p>
    <w:p>
      <w:pPr>
        <w:ind w:firstLine="443"/>
        <w:spacing w:after="0" w:line="223" w:lineRule="exact"/>
        <w:tabs>
          <w:tab w:leader="none" w:pos="808" w:val="left"/>
        </w:tabs>
        <w:numPr>
          <w:ilvl w:val="1"/>
          <w:numId w:val="15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 </w:t>
      </w:r>
      <w:r>
        <w:rPr>
          <w:rFonts w:ascii="Arial" w:cs="Arial" w:eastAsia="Arial" w:hAnsi="Arial"/>
          <w:sz w:val="16"/>
          <w:szCs w:val="16"/>
          <w:color w:val="auto"/>
        </w:rPr>
        <w:t>(i) The Transfer is being effected pursuant to and in compliance with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700" w:top="280" w:right="239" w:bottom="1440" w:gutter="0" w:footer="0" w:header="0"/>
        </w:sectPr>
      </w:pPr>
    </w:p>
    <w:bookmarkStart w:id="121" w:name="page122"/>
    <w:bookmarkEnd w:id="121"/>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Name of Transferor]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80" w:right="1440" w:bottom="1440" w:gutter="0" w:footer="0" w:header="0"/>
        </w:sectPr>
      </w:pPr>
    </w:p>
    <w:bookmarkStart w:id="122" w:name="page123"/>
    <w:bookmarkEnd w:id="122"/>
    <w:p>
      <w:pPr>
        <w:ind w:left="40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The Transferor owns and proposes to transfer the following:</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[CHECK ONE OF (a) OR (b)]</w:t>
      </w:r>
    </w:p>
    <w:p>
      <w:pPr>
        <w:spacing w:after="0" w:line="58" w:lineRule="exact"/>
        <w:rPr>
          <w:sz w:val="20"/>
          <w:szCs w:val="20"/>
          <w:color w:val="auto"/>
        </w:rPr>
      </w:pPr>
    </w:p>
    <w:p>
      <w:pPr>
        <w:ind w:left="900" w:hanging="446"/>
        <w:spacing w:after="0" w:line="207" w:lineRule="exact"/>
        <w:tabs>
          <w:tab w:leader="none" w:pos="900" w:val="left"/>
        </w:tabs>
        <w:numPr>
          <w:ilvl w:val="0"/>
          <w:numId w:val="15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ectPr>
          <w:pgSz w:w="11900" w:h="16838" w:orient="portrait"/>
          <w:cols w:equalWidth="0" w:num="1">
            <w:col w:w="10219"/>
          </w:cols>
          <w:pgMar w:left="240" w:top="280" w:right="1440" w:bottom="1440" w:gutter="0" w:footer="0" w:header="0"/>
        </w:sectPr>
      </w:pPr>
    </w:p>
    <w:p>
      <w:pPr>
        <w:spacing w:after="0" w:line="90" w:lineRule="exact"/>
        <w:rPr>
          <w:sz w:val="20"/>
          <w:szCs w:val="20"/>
          <w:color w:val="auto"/>
        </w:rPr>
      </w:pPr>
    </w:p>
    <w:p>
      <w:pPr>
        <w:ind w:left="920"/>
        <w:spacing w:after="0" w:line="207" w:lineRule="exact"/>
        <w:tabs>
          <w:tab w:leader="none" w:pos="1460" w:val="left"/>
          <w:tab w:leader="none" w:pos="4140" w:val="left"/>
        </w:tabs>
        <w:rPr>
          <w:sz w:val="20"/>
          <w:szCs w:val="20"/>
          <w:color w:val="auto"/>
        </w:rPr>
      </w:pPr>
      <w:r>
        <w:rPr>
          <w:rFonts w:ascii="Arial" w:cs="Arial" w:eastAsia="Arial" w:hAnsi="Arial"/>
          <w:sz w:val="18"/>
          <w:szCs w:val="18"/>
          <w:color w:val="auto"/>
        </w:rPr>
        <w:t>(i)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r>
        <w:rPr>
          <w:sz w:val="20"/>
          <w:szCs w:val="20"/>
          <w:color w:val="auto"/>
        </w:rPr>
        <w:tab/>
      </w:r>
      <w:r>
        <w:rPr>
          <w:rFonts w:ascii="Arial" w:cs="Arial" w:eastAsia="Arial" w:hAnsi="Arial"/>
          <w:sz w:val="15"/>
          <w:szCs w:val="15"/>
          <w:color w:val="auto"/>
        </w:rPr>
        <w:t>), or</w:t>
      </w:r>
    </w:p>
    <w:p>
      <w:pPr>
        <w:spacing w:after="0" w:line="97" w:lineRule="exact"/>
        <w:rPr>
          <w:sz w:val="20"/>
          <w:szCs w:val="20"/>
          <w:color w:val="auto"/>
        </w:rPr>
      </w:pPr>
    </w:p>
    <w:p>
      <w:pPr>
        <w:ind w:left="920"/>
        <w:spacing w:after="0" w:line="207" w:lineRule="exact"/>
        <w:tabs>
          <w:tab w:leader="none" w:pos="1460" w:val="left"/>
        </w:tabs>
        <w:rPr>
          <w:sz w:val="20"/>
          <w:szCs w:val="20"/>
          <w:color w:val="auto"/>
        </w:rPr>
      </w:pPr>
      <w:r>
        <w:rPr>
          <w:rFonts w:ascii="Arial" w:cs="Arial" w:eastAsia="Arial" w:hAnsi="Arial"/>
          <w:sz w:val="18"/>
          <w:szCs w:val="18"/>
          <w:color w:val="auto"/>
        </w:rPr>
        <w:t>(ii)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p>
      <w:pPr>
        <w:spacing w:after="0" w:line="90" w:lineRule="exact"/>
        <w:rPr>
          <w:sz w:val="20"/>
          <w:szCs w:val="20"/>
          <w:color w:val="auto"/>
        </w:rPr>
      </w:pPr>
    </w:p>
    <w:p>
      <w:pPr>
        <w:ind w:left="920"/>
        <w:spacing w:after="0" w:line="207" w:lineRule="exact"/>
        <w:tabs>
          <w:tab w:leader="none" w:pos="1460" w:val="left"/>
          <w:tab w:leader="none" w:pos="3980" w:val="left"/>
        </w:tabs>
        <w:rPr>
          <w:sz w:val="20"/>
          <w:szCs w:val="20"/>
          <w:color w:val="auto"/>
        </w:rPr>
      </w:pPr>
      <w:r>
        <w:rPr>
          <w:rFonts w:ascii="Arial" w:cs="Arial" w:eastAsia="Arial" w:hAnsi="Arial"/>
          <w:sz w:val="18"/>
          <w:szCs w:val="18"/>
          <w:color w:val="auto"/>
        </w:rPr>
        <w:t>(iii)</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r>
        <w:rPr>
          <w:sz w:val="20"/>
          <w:szCs w:val="20"/>
          <w:color w:val="auto"/>
        </w:rPr>
        <w:tab/>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 or</w:t>
      </w:r>
    </w:p>
    <w:p>
      <w:pPr>
        <w:spacing w:after="0" w:line="389" w:lineRule="exact"/>
        <w:rPr>
          <w:sz w:val="20"/>
          <w:szCs w:val="20"/>
          <w:color w:val="auto"/>
        </w:rPr>
      </w:pPr>
    </w:p>
    <w:p>
      <w:pPr>
        <w:sectPr>
          <w:pgSz w:w="11900" w:h="16838" w:orient="portrait"/>
          <w:cols w:equalWidth="0" w:num="2">
            <w:col w:w="4440" w:space="240"/>
            <w:col w:w="5539"/>
          </w:cols>
          <w:pgMar w:left="240" w:top="280" w:right="1440" w:bottom="1440" w:gutter="0" w:footer="0" w:header="0"/>
          <w:type w:val="continuous"/>
        </w:sectPr>
      </w:pPr>
    </w:p>
    <w:p>
      <w:pPr>
        <w:ind w:left="900" w:hanging="446"/>
        <w:spacing w:after="0" w:line="207" w:lineRule="exact"/>
        <w:tabs>
          <w:tab w:leader="none" w:pos="900" w:val="left"/>
        </w:tabs>
        <w:numPr>
          <w:ilvl w:val="1"/>
          <w:numId w:val="16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122" w:lineRule="exact"/>
        <w:rPr>
          <w:rFonts w:ascii="Arial" w:cs="Arial" w:eastAsia="Arial" w:hAnsi="Arial"/>
          <w:sz w:val="18"/>
          <w:szCs w:val="18"/>
          <w:color w:val="auto"/>
        </w:rPr>
      </w:pPr>
    </w:p>
    <w:p>
      <w:pPr>
        <w:ind w:left="220" w:hanging="212"/>
        <w:spacing w:after="0"/>
        <w:tabs>
          <w:tab w:leader="none" w:pos="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[CHECK ONE]</w:t>
      </w:r>
    </w:p>
    <w:p>
      <w:pPr>
        <w:spacing w:after="0" w:line="81" w:lineRule="exact"/>
        <w:rPr>
          <w:sz w:val="20"/>
          <w:szCs w:val="20"/>
          <w:color w:val="auto"/>
        </w:rPr>
      </w:pPr>
    </w:p>
    <w:p>
      <w:pPr>
        <w:ind w:left="900" w:hanging="446"/>
        <w:spacing w:after="0" w:line="207" w:lineRule="exact"/>
        <w:tabs>
          <w:tab w:leader="none" w:pos="900" w:val="left"/>
        </w:tabs>
        <w:numPr>
          <w:ilvl w:val="0"/>
          <w:numId w:val="1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24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144A Global Note (CUSIP</w:t>
            </w:r>
          </w:p>
        </w:tc>
        <w:tc>
          <w:tcPr>
            <w:tcW w:w="32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 or</w:t>
            </w:r>
          </w:p>
        </w:tc>
      </w:tr>
      <w:tr>
        <w:trPr>
          <w:trHeight w:val="297"/>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28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Regulation S Global Note (CUSIP</w:t>
            </w:r>
          </w:p>
        </w:tc>
        <w:tc>
          <w:tcPr>
            <w:tcW w:w="840" w:type="dxa"/>
            <w:vAlign w:val="bottom"/>
          </w:tcPr>
          <w:p>
            <w:pPr>
              <w:ind w:left="560"/>
              <w:spacing w:after="0"/>
              <w:rPr>
                <w:sz w:val="20"/>
                <w:szCs w:val="20"/>
                <w:color w:val="auto"/>
              </w:rPr>
            </w:pPr>
            <w:r>
              <w:rPr>
                <w:rFonts w:ascii="Arial" w:cs="Arial" w:eastAsia="Arial" w:hAnsi="Arial"/>
                <w:sz w:val="18"/>
                <w:szCs w:val="18"/>
                <w:color w:val="auto"/>
                <w:w w:val="81"/>
              </w:rPr>
              <w:t>), or</w:t>
            </w:r>
          </w:p>
        </w:tc>
      </w:tr>
      <w:tr>
        <w:trPr>
          <w:trHeight w:val="297"/>
        </w:trPr>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24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 or</w:t>
            </w:r>
          </w:p>
        </w:tc>
      </w:tr>
      <w:tr>
        <w:trPr>
          <w:trHeight w:val="297"/>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280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Unrestricted Global Note (CUSIP</w:t>
            </w:r>
          </w:p>
        </w:tc>
        <w:tc>
          <w:tcPr>
            <w:tcW w:w="840" w:type="dxa"/>
            <w:vAlign w:val="bottom"/>
          </w:tcPr>
          <w:p>
            <w:pPr>
              <w:ind w:left="520"/>
              <w:spacing w:after="0"/>
              <w:rPr>
                <w:sz w:val="20"/>
                <w:szCs w:val="20"/>
                <w:color w:val="auto"/>
              </w:rPr>
            </w:pPr>
            <w:r>
              <w:rPr>
                <w:rFonts w:ascii="Arial" w:cs="Arial" w:eastAsia="Arial" w:hAnsi="Arial"/>
                <w:sz w:val="18"/>
                <w:szCs w:val="18"/>
                <w:color w:val="auto"/>
                <w:w w:val="93"/>
              </w:rPr>
              <w:t>); or</w:t>
            </w:r>
          </w:p>
        </w:tc>
      </w:tr>
    </w:tbl>
    <w:p>
      <w:pPr>
        <w:spacing w:after="0" w:line="22" w:lineRule="exact"/>
        <w:rPr>
          <w:sz w:val="20"/>
          <w:szCs w:val="20"/>
          <w:color w:val="auto"/>
        </w:rPr>
      </w:pPr>
    </w:p>
    <w:p>
      <w:pPr>
        <w:ind w:left="1480" w:hanging="567"/>
        <w:spacing w:after="0" w:line="207" w:lineRule="exact"/>
        <w:tabs>
          <w:tab w:leader="none" w:pos="1480" w:val="left"/>
        </w:tabs>
        <w:numPr>
          <w:ilvl w:val="1"/>
          <w:numId w:val="16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1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terms of the Indenture.</w:t>
      </w:r>
    </w:p>
    <w:p>
      <w:pPr>
        <w:sectPr>
          <w:pgSz w:w="11900" w:h="16838" w:orient="portrait"/>
          <w:cols w:equalWidth="0" w:num="1">
            <w:col w:w="10219"/>
          </w:cols>
          <w:pgMar w:left="240" w:top="280" w:right="1440"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4.25% Senior Notes due 2023</w:t>
      </w:r>
    </w:p>
    <w:p>
      <w:pPr>
        <w:spacing w:after="0" w:line="171" w:lineRule="exact"/>
        <w:rPr>
          <w:sz w:val="20"/>
          <w:szCs w:val="20"/>
          <w:color w:val="auto"/>
        </w:rPr>
      </w:pPr>
    </w:p>
    <w:p>
      <w:pPr>
        <w:ind w:left="5120"/>
        <w:spacing w:after="0"/>
        <w:tabs>
          <w:tab w:leader="none" w:pos="62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Reference is hereby made to the Indenture, dated as of May 22, 2013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60" w:type="dxa"/>
            <w:vAlign w:val="bottom"/>
            <w:gridSpan w:val="5"/>
          </w:tcPr>
          <w:p>
            <w:pPr>
              <w:ind w:left="1340"/>
              <w:spacing w:after="0"/>
              <w:rPr>
                <w:sz w:val="20"/>
                <w:szCs w:val="20"/>
                <w:color w:val="auto"/>
              </w:rPr>
            </w:pPr>
            <w:r>
              <w:rPr>
                <w:rFonts w:ascii="Arial" w:cs="Arial" w:eastAsia="Arial" w:hAnsi="Arial"/>
                <w:sz w:val="18"/>
                <w:szCs w:val="18"/>
                <w:color w:val="auto"/>
                <w:w w:val="91"/>
              </w:rPr>
              <w:t>, (the “</w:t>
            </w:r>
            <w:r>
              <w:rPr>
                <w:rFonts w:ascii="Arial" w:cs="Arial" w:eastAsia="Arial" w:hAnsi="Arial"/>
                <w:sz w:val="18"/>
                <w:szCs w:val="18"/>
                <w:i w:val="1"/>
                <w:iCs w:val="1"/>
                <w:color w:val="auto"/>
                <w:w w:val="91"/>
              </w:rPr>
              <w:t>Owner</w:t>
            </w:r>
            <w:r>
              <w:rPr>
                <w:rFonts w:ascii="Arial" w:cs="Arial" w:eastAsia="Arial" w:hAnsi="Arial"/>
                <w:sz w:val="18"/>
                <w:szCs w:val="18"/>
                <w:color w:val="auto"/>
                <w:w w:val="91"/>
              </w:rPr>
              <w:t>”) owns and proposes to exchange the Note[s] or interest in such Note[s] specified herein, in the principal amount of $</w:t>
            </w:r>
          </w:p>
        </w:tc>
        <w:tc>
          <w:tcPr>
            <w:tcW w:w="400" w:type="dxa"/>
            <w:vAlign w:val="bottom"/>
          </w:tcPr>
          <w:p>
            <w:pPr>
              <w:ind w:left="280"/>
              <w:spacing w:after="0"/>
              <w:rPr>
                <w:sz w:val="20"/>
                <w:szCs w:val="20"/>
                <w:color w:val="auto"/>
              </w:rPr>
            </w:pPr>
            <w:r>
              <w:rPr>
                <w:rFonts w:ascii="Arial" w:cs="Arial" w:eastAsia="Arial" w:hAnsi="Arial"/>
                <w:sz w:val="18"/>
                <w:szCs w:val="18"/>
                <w:color w:val="auto"/>
                <w:w w:val="71"/>
              </w:rPr>
              <w:t>in</w:t>
            </w:r>
          </w:p>
        </w:tc>
      </w:tr>
      <w:tr>
        <w:trPr>
          <w:trHeight w:val="20"/>
        </w:trPr>
        <w:tc>
          <w:tcPr>
            <w:tcW w:w="1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860" w:type="dxa"/>
            <w:vAlign w:val="bottom"/>
            <w:gridSpan w:val="5"/>
          </w:tcPr>
          <w:p>
            <w:pPr>
              <w:spacing w:after="0" w:line="196" w:lineRule="exact"/>
              <w:rPr>
                <w:sz w:val="20"/>
                <w:szCs w:val="20"/>
                <w:color w:val="auto"/>
              </w:rPr>
            </w:pPr>
            <w:r>
              <w:rPr>
                <w:rFonts w:ascii="Arial" w:cs="Arial" w:eastAsia="Arial" w:hAnsi="Arial"/>
                <w:sz w:val="18"/>
                <w:szCs w:val="18"/>
                <w:color w:val="auto"/>
              </w:rPr>
              <w:t>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tc>
        <w:tc>
          <w:tcPr>
            <w:tcW w:w="400" w:type="dxa"/>
            <w:vAlign w:val="bottom"/>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40" w:firstLine="464"/>
        <w:spacing w:after="0" w:line="275" w:lineRule="auto"/>
        <w:tabs>
          <w:tab w:leader="none" w:pos="632"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93" w:lineRule="exact"/>
        <w:rPr>
          <w:sz w:val="20"/>
          <w:szCs w:val="20"/>
          <w:color w:val="auto"/>
        </w:rPr>
      </w:pPr>
    </w:p>
    <w:p>
      <w:pPr>
        <w:ind w:right="60" w:firstLine="464"/>
        <w:spacing w:after="0" w:line="222" w:lineRule="exact"/>
        <w:tabs>
          <w:tab w:leader="none" w:pos="827" w:val="left"/>
        </w:tabs>
        <w:numPr>
          <w:ilvl w:val="0"/>
          <w:numId w:val="16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beneficial interest in an Unrestricted Global Note.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24" w:name="page125"/>
    <w:bookmarkEnd w:id="124"/>
    <w:p>
      <w:pPr>
        <w:ind w:left="-20" w:firstLine="464"/>
        <w:spacing w:after="0" w:line="223" w:lineRule="exact"/>
        <w:tabs>
          <w:tab w:leader="none" w:pos="817" w:val="left"/>
        </w:tabs>
        <w:numPr>
          <w:ilvl w:val="0"/>
          <w:numId w:val="16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 xml:space="preserve"> Check if Exchange is from beneficial interest in a Restricted Global Note to Unrestricted Definitive Note. </w:t>
      </w:r>
      <w:r>
        <w:rPr>
          <w:rFonts w:ascii="Arial" w:cs="Arial" w:eastAsia="Arial" w:hAnsi="Arial"/>
          <w:sz w:val="18"/>
          <w:szCs w:val="18"/>
          <w:color w:val="auto"/>
        </w:rPr>
        <w:t>In connection with the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23" w:lineRule="exact"/>
        <w:rPr>
          <w:rFonts w:ascii="Arial" w:cs="Arial" w:eastAsia="Arial" w:hAnsi="Arial"/>
          <w:sz w:val="18"/>
          <w:szCs w:val="18"/>
          <w:color w:val="auto"/>
        </w:rPr>
      </w:pPr>
    </w:p>
    <w:p>
      <w:pPr>
        <w:ind w:left="-20" w:right="140" w:firstLine="464"/>
        <w:spacing w:after="0" w:line="223" w:lineRule="exact"/>
        <w:tabs>
          <w:tab w:leader="none" w:pos="807" w:val="left"/>
        </w:tabs>
        <w:numPr>
          <w:ilvl w:val="0"/>
          <w:numId w:val="16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an Unrestricted Global Note. </w:t>
      </w:r>
      <w:r>
        <w:rPr>
          <w:rFonts w:ascii="Arial" w:cs="Arial" w:eastAsia="Arial" w:hAnsi="Arial"/>
          <w:sz w:val="16"/>
          <w:szCs w:val="16"/>
          <w:color w:val="auto"/>
        </w:rPr>
        <w:t>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24" w:lineRule="exact"/>
        <w:rPr>
          <w:rFonts w:ascii="Arial" w:cs="Arial" w:eastAsia="Arial" w:hAnsi="Arial"/>
          <w:sz w:val="16"/>
          <w:szCs w:val="16"/>
          <w:color w:val="auto"/>
        </w:rPr>
      </w:pPr>
    </w:p>
    <w:p>
      <w:pPr>
        <w:ind w:left="-20" w:right="180" w:firstLine="464"/>
        <w:spacing w:after="0" w:line="223" w:lineRule="exact"/>
        <w:tabs>
          <w:tab w:leader="none" w:pos="817" w:val="left"/>
        </w:tabs>
        <w:numPr>
          <w:ilvl w:val="0"/>
          <w:numId w:val="16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 </w:t>
      </w:r>
      <w:r>
        <w:rPr>
          <w:rFonts w:ascii="Arial" w:cs="Arial" w:eastAsia="Arial" w:hAnsi="Arial"/>
          <w:sz w:val="18"/>
          <w:szCs w:val="18"/>
          <w:color w:val="auto"/>
        </w:rPr>
        <w:t>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50" w:lineRule="exact"/>
        <w:rPr>
          <w:sz w:val="20"/>
          <w:szCs w:val="20"/>
          <w:color w:val="auto"/>
        </w:rPr>
      </w:pPr>
    </w:p>
    <w:p>
      <w:pPr>
        <w:ind w:left="-20" w:right="80" w:firstLine="464"/>
        <w:spacing w:after="0" w:line="275" w:lineRule="auto"/>
        <w:tabs>
          <w:tab w:leader="none" w:pos="612"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93" w:lineRule="exact"/>
        <w:rPr>
          <w:sz w:val="20"/>
          <w:szCs w:val="20"/>
          <w:color w:val="auto"/>
        </w:rPr>
      </w:pPr>
    </w:p>
    <w:p>
      <w:pPr>
        <w:ind w:left="-20" w:right="20" w:firstLine="464"/>
        <w:spacing w:after="0" w:line="224" w:lineRule="exact"/>
        <w:tabs>
          <w:tab w:leader="none" w:pos="807" w:val="left"/>
        </w:tabs>
        <w:numPr>
          <w:ilvl w:val="0"/>
          <w:numId w:val="16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 Exchange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3" w:lineRule="exact"/>
        <w:rPr>
          <w:rFonts w:ascii="Arial" w:cs="Arial" w:eastAsia="Arial" w:hAnsi="Arial"/>
          <w:sz w:val="16"/>
          <w:szCs w:val="16"/>
          <w:color w:val="auto"/>
        </w:rPr>
      </w:pPr>
    </w:p>
    <w:p>
      <w:pPr>
        <w:ind w:left="-20" w:right="180" w:firstLine="464"/>
        <w:spacing w:after="0" w:line="236" w:lineRule="exact"/>
        <w:tabs>
          <w:tab w:leader="none" w:pos="817" w:val="left"/>
        </w:tabs>
        <w:numPr>
          <w:ilvl w:val="0"/>
          <w:numId w:val="16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 Restricted Global Note. </w:t>
      </w:r>
      <w:r>
        <w:rPr>
          <w:rFonts w:ascii="Arial" w:cs="Arial" w:eastAsia="Arial" w:hAnsi="Arial"/>
          <w:sz w:val="18"/>
          <w:szCs w:val="18"/>
          <w:color w:val="auto"/>
        </w:rPr>
        <w:t>In connection with the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60" w:top="247" w:right="239" w:bottom="1440" w:gutter="0" w:footer="0" w:header="0"/>
        </w:sectPr>
      </w:pPr>
    </w:p>
    <w:bookmarkStart w:id="125" w:name="page126"/>
    <w:bookmarkEnd w:id="125"/>
    <w:p>
      <w:pPr>
        <w:spacing w:after="0" w:line="223" w:lineRule="exact"/>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247" w:right="2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(702) 770-1100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(651) 495-8097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4.25% Senior Notes due 2023</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Reference is hereby made to the Indenture, dated as of May 22, 2013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among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i w:val="1"/>
          <w:iCs w:val="1"/>
          <w:u w:val="single" w:color="auto"/>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the Guarantors party thereto and U.S. Bank National Association, as trustee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 Capitalized terms used but not defined herein shall have the meanings given to them in the Indenture.</w:t>
      </w:r>
    </w:p>
    <w:p>
      <w:pPr>
        <w:spacing w:after="0" w:line="143" w:lineRule="exact"/>
        <w:rPr>
          <w:sz w:val="20"/>
          <w:szCs w:val="20"/>
          <w:color w:val="auto"/>
        </w:rPr>
      </w:pPr>
    </w:p>
    <w:p>
      <w:pPr>
        <w:ind w:left="460"/>
        <w:spacing w:after="0"/>
        <w:tabs>
          <w:tab w:leader="none" w:pos="42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5"/>
          <w:szCs w:val="15"/>
          <w:color w:val="auto"/>
        </w:rPr>
        <w:t>aggregate principal amount of:</w:t>
      </w:r>
    </w:p>
    <w:p>
      <w:pPr>
        <w:spacing w:after="0" w:line="58" w:lineRule="exact"/>
        <w:rPr>
          <w:sz w:val="20"/>
          <w:szCs w:val="20"/>
          <w:color w:val="auto"/>
        </w:rPr>
      </w:pPr>
    </w:p>
    <w:p>
      <w:pPr>
        <w:ind w:left="900" w:hanging="446"/>
        <w:spacing w:after="0" w:line="207" w:lineRule="exact"/>
        <w:tabs>
          <w:tab w:leader="none" w:pos="900" w:val="left"/>
        </w:tabs>
        <w:numPr>
          <w:ilvl w:val="0"/>
          <w:numId w:val="17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90" w:lineRule="exact"/>
        <w:rPr>
          <w:rFonts w:ascii="Arial" w:cs="Arial" w:eastAsia="Arial" w:hAnsi="Arial"/>
          <w:sz w:val="18"/>
          <w:szCs w:val="18"/>
          <w:color w:val="auto"/>
        </w:rPr>
      </w:pPr>
    </w:p>
    <w:p>
      <w:pPr>
        <w:ind w:left="900" w:hanging="446"/>
        <w:spacing w:after="0" w:line="207" w:lineRule="exact"/>
        <w:tabs>
          <w:tab w:leader="none" w:pos="900" w:val="left"/>
        </w:tabs>
        <w:numPr>
          <w:ilvl w:val="0"/>
          <w:numId w:val="17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right="160" w:firstLine="464"/>
        <w:spacing w:after="0" w:line="259"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27" w:name="page128"/>
    <w:bookmarkEnd w:id="127"/>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16" w:lineRule="exact"/>
        <w:rPr>
          <w:sz w:val="20"/>
          <w:szCs w:val="20"/>
          <w:color w:val="auto"/>
        </w:rPr>
      </w:pPr>
    </w:p>
    <w:p>
      <w:pPr>
        <w:ind w:firstLine="464"/>
        <w:spacing w:after="0" w:line="306" w:lineRule="auto"/>
        <w:tabs>
          <w:tab w:leader="none" w:pos="63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06" w:lineRule="exact"/>
        <w:rPr>
          <w:rFonts w:ascii="Arial" w:cs="Arial" w:eastAsia="Arial" w:hAnsi="Arial"/>
          <w:sz w:val="16"/>
          <w:szCs w:val="16"/>
          <w:color w:val="auto"/>
        </w:rPr>
      </w:pPr>
    </w:p>
    <w:p>
      <w:pPr>
        <w:ind w:right="300" w:firstLine="464"/>
        <w:spacing w:after="0" w:line="259" w:lineRule="auto"/>
        <w:tabs>
          <w:tab w:leader="none" w:pos="6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40" w:lineRule="exact"/>
        <w:rPr>
          <w:rFonts w:ascii="Arial" w:cs="Arial" w:eastAsia="Arial" w:hAnsi="Arial"/>
          <w:sz w:val="18"/>
          <w:szCs w:val="18"/>
          <w:color w:val="auto"/>
        </w:rPr>
      </w:pPr>
    </w:p>
    <w:p>
      <w:pPr>
        <w:ind w:right="760" w:firstLine="464"/>
        <w:spacing w:after="0" w:line="268" w:lineRule="auto"/>
        <w:tabs>
          <w:tab w:leader="none" w:pos="6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NOTATION OF GUARANTEE]</w:t>
      </w:r>
    </w:p>
    <w:p>
      <w:pPr>
        <w:spacing w:after="0" w:line="17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May 22, 2013 (the “</w:t>
      </w:r>
      <w:r>
        <w:rPr>
          <w:rFonts w:ascii="Arial" w:cs="Arial" w:eastAsia="Arial" w:hAnsi="Arial"/>
          <w:sz w:val="16"/>
          <w:szCs w:val="16"/>
          <w:i w:val="1"/>
          <w:iCs w:val="1"/>
          <w:u w:val="single" w:color="auto"/>
          <w:color w:val="auto"/>
        </w:rPr>
        <w:t>Indenture</w:t>
      </w:r>
      <w:r>
        <w:rPr>
          <w:rFonts w:ascii="Arial" w:cs="Arial" w:eastAsia="Arial" w:hAnsi="Arial"/>
          <w:sz w:val="16"/>
          <w:szCs w:val="16"/>
          <w:color w:val="auto"/>
        </w:rPr>
        <w:t>”) among Wynn Las Vegas, LLC, a Nevada limited liability company (“</w:t>
      </w:r>
      <w:r>
        <w:rPr>
          <w:rFonts w:ascii="Arial" w:cs="Arial" w:eastAsia="Arial" w:hAnsi="Arial"/>
          <w:sz w:val="16"/>
          <w:szCs w:val="16"/>
          <w:i w:val="1"/>
          <w:iCs w:val="1"/>
          <w:u w:val="single" w:color="auto"/>
          <w:color w:val="auto"/>
        </w:rPr>
        <w:t>Wynn Las Vegas</w:t>
      </w:r>
      <w:r>
        <w:rPr>
          <w:rFonts w:ascii="Arial" w:cs="Arial" w:eastAsia="Arial" w:hAnsi="Arial"/>
          <w:sz w:val="16"/>
          <w:szCs w:val="16"/>
          <w:color w:val="auto"/>
        </w:rPr>
        <w:t>”) and Wynn Las Vegas Capital Corp., a Nevada corporation (“</w:t>
      </w:r>
      <w:r>
        <w:rPr>
          <w:rFonts w:ascii="Arial" w:cs="Arial" w:eastAsia="Arial" w:hAnsi="Arial"/>
          <w:sz w:val="16"/>
          <w:szCs w:val="16"/>
          <w:i w:val="1"/>
          <w:iCs w:val="1"/>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i w:val="1"/>
          <w:iCs w:val="1"/>
          <w:u w:val="single" w:color="auto"/>
          <w:color w:val="auto"/>
        </w:rPr>
        <w:t>Issuers</w:t>
      </w:r>
      <w:r>
        <w:rPr>
          <w:rFonts w:ascii="Arial" w:cs="Arial" w:eastAsia="Arial" w:hAnsi="Arial"/>
          <w:sz w:val="16"/>
          <w:szCs w:val="16"/>
          <w:color w:val="auto"/>
        </w:rPr>
        <w:t>”), as joint and several obligors, and Kevyn, LLC, a Nevada limited liability company, Las Vegas Jet,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16"/>
          <w:szCs w:val="16"/>
          <w:i w:val="1"/>
          <w:iCs w:val="1"/>
          <w:u w:val="single" w:color="auto"/>
          <w:color w:val="auto"/>
        </w:rPr>
        <w:t>Guarantors</w:t>
      </w:r>
      <w:r>
        <w:rPr>
          <w:rFonts w:ascii="Arial" w:cs="Arial" w:eastAsia="Arial" w:hAnsi="Arial"/>
          <w:sz w:val="16"/>
          <w:szCs w:val="16"/>
          <w:color w:val="auto"/>
        </w:rPr>
        <w:t>”) and U.S. Bank National Association, as trustee (the “</w:t>
      </w:r>
      <w:r>
        <w:rPr>
          <w:rFonts w:ascii="Arial" w:cs="Arial" w:eastAsia="Arial" w:hAnsi="Arial"/>
          <w:sz w:val="16"/>
          <w:szCs w:val="16"/>
          <w:i w:val="1"/>
          <w:iCs w:val="1"/>
          <w:u w:val="single" w:color="auto"/>
          <w:color w:val="auto"/>
        </w:rPr>
        <w:t>Trustee</w:t>
      </w:r>
      <w:r>
        <w:rPr>
          <w:rFonts w:ascii="Arial" w:cs="Arial" w:eastAsia="Arial" w:hAnsi="Arial"/>
          <w:sz w:val="16"/>
          <w:szCs w:val="16"/>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u w:val="single" w:color="auto"/>
          <w:color w:val="auto"/>
        </w:rPr>
        <w:t>Supplemental Indenture</w:t>
      </w:r>
      <w:r>
        <w:rPr>
          <w:rFonts w:ascii="Arial" w:cs="Arial" w:eastAsia="Arial" w:hAnsi="Arial"/>
          <w:sz w:val="18"/>
          <w:szCs w:val="18"/>
          <w:color w:val="auto"/>
        </w:rPr>
        <w:t>”), dated as of , 20 , among (the “</w:t>
      </w:r>
      <w:r>
        <w:rPr>
          <w:rFonts w:ascii="Arial" w:cs="Arial" w:eastAsia="Arial" w:hAnsi="Arial"/>
          <w:sz w:val="18"/>
          <w:szCs w:val="18"/>
          <w:i w:val="1"/>
          <w:iCs w:val="1"/>
          <w:u w:val="single" w:color="auto"/>
          <w:color w:val="auto"/>
        </w:rPr>
        <w:t>Guaranteeing Subsidiary</w:t>
      </w:r>
      <w:r>
        <w:rPr>
          <w:rFonts w:ascii="Arial" w:cs="Arial" w:eastAsia="Arial" w:hAnsi="Arial"/>
          <w:sz w:val="18"/>
          <w:szCs w:val="18"/>
          <w:color w:val="auto"/>
        </w:rPr>
        <w:t>”), a subsidiary of Wynn Las Vegas, LLC, a Nevada limited liability company (“</w:t>
      </w:r>
      <w:r>
        <w:rPr>
          <w:rFonts w:ascii="Arial" w:cs="Arial" w:eastAsia="Arial" w:hAnsi="Arial"/>
          <w:sz w:val="18"/>
          <w:szCs w:val="18"/>
          <w:i w:val="1"/>
          <w:iCs w:val="1"/>
          <w:u w:val="single" w:color="auto"/>
          <w:color w:val="auto"/>
        </w:rPr>
        <w:t>Wynn Las Vegas</w:t>
      </w:r>
      <w:r>
        <w:rPr>
          <w:rFonts w:ascii="Arial" w:cs="Arial" w:eastAsia="Arial" w:hAnsi="Arial"/>
          <w:sz w:val="18"/>
          <w:szCs w:val="18"/>
          <w:color w:val="auto"/>
        </w:rPr>
        <w:t>”), Wynn Las Vegas, Wynn Las Vegas Capital Corp., a Nevada corporation (“</w:t>
      </w:r>
      <w:r>
        <w:rPr>
          <w:rFonts w:ascii="Arial" w:cs="Arial" w:eastAsia="Arial" w:hAnsi="Arial"/>
          <w:sz w:val="18"/>
          <w:szCs w:val="18"/>
          <w:i w:val="1"/>
          <w:iCs w:val="1"/>
          <w:u w:val="single" w:color="auto"/>
          <w:color w:val="auto"/>
        </w:rPr>
        <w:t>Wynn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Capital</w:t>
      </w:r>
      <w:r>
        <w:rPr>
          <w:rFonts w:ascii="Arial" w:cs="Arial" w:eastAsia="Arial" w:hAnsi="Arial"/>
          <w:sz w:val="18"/>
          <w:szCs w:val="18"/>
          <w:color w:val="auto"/>
        </w:rPr>
        <w:t>,” and together with Wynn Las Vegas, the “</w:t>
      </w:r>
      <w:r>
        <w:rPr>
          <w:rFonts w:ascii="Arial" w:cs="Arial" w:eastAsia="Arial" w:hAnsi="Arial"/>
          <w:sz w:val="18"/>
          <w:szCs w:val="18"/>
          <w:i w:val="1"/>
          <w:iCs w:val="1"/>
          <w:u w:val="single" w:color="auto"/>
          <w:color w:val="auto"/>
        </w:rPr>
        <w:t>Issuers</w:t>
      </w:r>
      <w:r>
        <w:rPr>
          <w:rFonts w:ascii="Arial" w:cs="Arial" w:eastAsia="Arial" w:hAnsi="Arial"/>
          <w:sz w:val="18"/>
          <w:szCs w:val="18"/>
          <w:color w:val="auto"/>
        </w:rPr>
        <w:t>”) and the Guarantors (as defined in the Indenture referred to herein) and U.S.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as trustee under the Indenture referred to below (the “</w:t>
      </w:r>
      <w:r>
        <w:rPr>
          <w:rFonts w:ascii="Arial" w:cs="Arial" w:eastAsia="Arial" w:hAnsi="Arial"/>
          <w:sz w:val="18"/>
          <w:szCs w:val="18"/>
          <w:i w:val="1"/>
          <w:iCs w:val="1"/>
          <w:u w:val="single" w:color="auto"/>
          <w:color w:val="auto"/>
        </w:rPr>
        <w:t>Trustee</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Issuers have heretofore executed and delivered to the Trustee an indenture (the “</w:t>
      </w:r>
      <w:r>
        <w:rPr>
          <w:rFonts w:ascii="Arial" w:cs="Arial" w:eastAsia="Arial" w:hAnsi="Arial"/>
          <w:sz w:val="18"/>
          <w:szCs w:val="18"/>
          <w:i w:val="1"/>
          <w:iCs w:val="1"/>
          <w:u w:val="single" w:color="auto"/>
          <w:color w:val="auto"/>
        </w:rPr>
        <w:t>Indenture</w:t>
      </w:r>
      <w:r>
        <w:rPr>
          <w:rFonts w:ascii="Arial" w:cs="Arial" w:eastAsia="Arial" w:hAnsi="Arial"/>
          <w:sz w:val="18"/>
          <w:szCs w:val="18"/>
          <w:color w:val="auto"/>
        </w:rPr>
        <w:t>”), dated as of May 22, 2013 providing for the issuance of an aggregate principal amount of $500,000,000 of 4.25% Senior Notes due 2023 (the “</w:t>
      </w:r>
      <w:r>
        <w:rPr>
          <w:rFonts w:ascii="Arial" w:cs="Arial" w:eastAsia="Arial" w:hAnsi="Arial"/>
          <w:sz w:val="18"/>
          <w:szCs w:val="18"/>
          <w:i w:val="1"/>
          <w:iCs w:val="1"/>
          <w:u w:val="single" w:color="auto"/>
          <w:color w:val="auto"/>
        </w:rPr>
        <w:t>Notes</w:t>
      </w:r>
      <w:r>
        <w:rPr>
          <w:rFonts w:ascii="Arial" w:cs="Arial" w:eastAsia="Arial" w:hAnsi="Arial"/>
          <w:sz w:val="18"/>
          <w:szCs w:val="18"/>
          <w:color w:val="auto"/>
        </w:rPr>
        <w:t>”);</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i w:val="1"/>
          <w:iCs w:val="1"/>
          <w:u w:val="single" w:color="auto"/>
          <w:color w:val="auto"/>
        </w:rPr>
        <w:t>Note Guarantee</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Guaranteeing Subsidiary and the Trustee mutually covenant and agree for the equal and ratable benefit of the Holders of the Notes as follows:</w:t>
      </w:r>
    </w:p>
    <w:p>
      <w:pPr>
        <w:spacing w:after="0" w:line="84" w:lineRule="exact"/>
        <w:rPr>
          <w:sz w:val="20"/>
          <w:szCs w:val="20"/>
          <w:color w:val="auto"/>
        </w:rPr>
      </w:pPr>
    </w:p>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Capitalized Terms. Capitalized terms used herein without definition shall have the meanings assigned to them in the Indenture.</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agrees as follows:</w:t>
      </w:r>
    </w:p>
    <w:p>
      <w:pPr>
        <w:spacing w:after="0" w:line="90" w:lineRule="exact"/>
        <w:rPr>
          <w:rFonts w:ascii="Arial" w:cs="Arial" w:eastAsia="Arial" w:hAnsi="Arial"/>
          <w:sz w:val="18"/>
          <w:szCs w:val="18"/>
          <w:color w:val="auto"/>
        </w:rPr>
      </w:pPr>
    </w:p>
    <w:p>
      <w:pPr>
        <w:ind w:left="460" w:right="80" w:firstLine="443"/>
        <w:spacing w:after="0" w:line="332" w:lineRule="auto"/>
        <w:tabs>
          <w:tab w:leader="none" w:pos="113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4" w:lineRule="exact"/>
        <w:rPr>
          <w:rFonts w:ascii="Arial" w:cs="Arial" w:eastAsia="Arial" w:hAnsi="Arial"/>
          <w:sz w:val="16"/>
          <w:szCs w:val="16"/>
          <w:color w:val="auto"/>
        </w:rPr>
      </w:pPr>
    </w:p>
    <w:p>
      <w:pPr>
        <w:ind w:left="920" w:right="20" w:firstLine="421"/>
        <w:spacing w:after="0" w:line="256" w:lineRule="auto"/>
        <w:tabs>
          <w:tab w:leader="none" w:pos="1549"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130" w:name="page131"/>
    <w:bookmarkEnd w:id="130"/>
    <w:p>
      <w:pPr>
        <w:ind w:left="920" w:right="160" w:firstLine="421"/>
        <w:spacing w:after="0" w:line="332" w:lineRule="auto"/>
        <w:tabs>
          <w:tab w:leader="none" w:pos="1598"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Failing payment when due of any amount so guaranteed or any performance so guaranteed for whatever reason, the Guarantors shall be jointly and severally obligated to pay the same immediately.</w:t>
      </w:r>
    </w:p>
    <w:p>
      <w:pPr>
        <w:spacing w:after="0" w:line="51" w:lineRule="exact"/>
        <w:rPr>
          <w:sz w:val="20"/>
          <w:szCs w:val="20"/>
          <w:color w:val="auto"/>
        </w:rPr>
      </w:pPr>
    </w:p>
    <w:p>
      <w:pPr>
        <w:ind w:left="460" w:right="60" w:firstLine="443"/>
        <w:spacing w:after="0" w:line="256"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62" w:lineRule="exact"/>
        <w:rPr>
          <w:rFonts w:ascii="Arial" w:cs="Arial" w:eastAsia="Arial" w:hAnsi="Arial"/>
          <w:sz w:val="18"/>
          <w:szCs w:val="18"/>
          <w:color w:val="auto"/>
        </w:rPr>
      </w:pPr>
    </w:p>
    <w:p>
      <w:pPr>
        <w:ind w:left="460" w:right="300" w:firstLine="443"/>
        <w:spacing w:after="0" w:line="294" w:lineRule="auto"/>
        <w:tabs>
          <w:tab w:leader="none" w:pos="113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34"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Guaranteeing Subsidiary shall not be entitled to any right of subrogation in relation to the Holders in respect of any obligations guaranteed hereby until payment in full of all obligations guaranteed hereby.</w:t>
      </w:r>
    </w:p>
    <w:p>
      <w:pPr>
        <w:spacing w:after="0" w:line="50" w:lineRule="exact"/>
        <w:rPr>
          <w:rFonts w:ascii="Arial" w:cs="Arial" w:eastAsia="Arial" w:hAnsi="Arial"/>
          <w:sz w:val="18"/>
          <w:szCs w:val="18"/>
          <w:color w:val="auto"/>
        </w:rPr>
      </w:pPr>
    </w:p>
    <w:p>
      <w:pPr>
        <w:ind w:left="460" w:right="140" w:firstLine="443"/>
        <w:spacing w:after="0" w:line="255"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80" w:right="279" w:bottom="1440" w:gutter="0" w:footer="0" w:header="0"/>
        </w:sectPr>
      </w:pPr>
    </w:p>
    <w:bookmarkStart w:id="131" w:name="page132"/>
    <w:bookmarkEnd w:id="131"/>
    <w:p>
      <w:pPr>
        <w:ind w:left="460" w:right="100" w:firstLine="443"/>
        <w:spacing w:after="0" w:line="268" w:lineRule="auto"/>
        <w:tabs>
          <w:tab w:leader="none" w:pos="11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Guarantors shall have the right to seek contribution from any non-paying Guarantor so long as the exercise of such right does not impair the rights of the Holders under the Note Guarantee.</w:t>
      </w:r>
    </w:p>
    <w:p>
      <w:pPr>
        <w:spacing w:after="0" w:line="50" w:lineRule="exact"/>
        <w:rPr>
          <w:rFonts w:ascii="Arial" w:cs="Arial" w:eastAsia="Arial" w:hAnsi="Arial"/>
          <w:sz w:val="18"/>
          <w:szCs w:val="18"/>
          <w:color w:val="auto"/>
        </w:rPr>
      </w:pPr>
    </w:p>
    <w:p>
      <w:pPr>
        <w:ind w:left="460" w:firstLine="443"/>
        <w:spacing w:after="0" w:line="255" w:lineRule="auto"/>
        <w:tabs>
          <w:tab w:leader="none" w:pos="110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42"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Execution and Delivery. Each Guaranteeing Subsidiary agrees that the Note Guarantees shall remain in full force and effect notwithstanding any failure to endorse on each Note a notation of such Note Guarantee.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Guaranteeing Subsidiary may Consolidate, etc. on Certain Terms.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4 or the provisions of Section 11.04 of the Indenture, each Guarantor is permitted to reorganize as a corporation pursuant to a Permitted C-Corp. Conversion.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Releases.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compliance with the provisions described in Section 4 above and under Article 11 of the Indenture, the Note Guarantee of a Guaranteeing Subsidiary will be released on the terms set forth in the Indenture.</w:t>
      </w:r>
    </w:p>
    <w:p>
      <w:pPr>
        <w:spacing w:after="0" w:line="132" w:lineRule="exact"/>
        <w:rPr>
          <w:sz w:val="20"/>
          <w:szCs w:val="20"/>
          <w:color w:val="auto"/>
        </w:rPr>
      </w:pPr>
    </w:p>
    <w:p>
      <w:pPr>
        <w:ind w:firstLine="464"/>
        <w:spacing w:after="0" w:line="255" w:lineRule="auto"/>
        <w:tabs>
          <w:tab w:leader="none" w:pos="6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2"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NEW YORK LAW TO GOVERN. THIS SUPPLEMENTAL INDENTURE SHALL BE GOVERNED BY AND CONSTRUED IN ACCORDANCE WITH THE LAWS OF THE STATE OF NEW YORK, INCLUDING, WITHOUT LIMITATION, SECTION 4-1401 OF THE NEW YORK OBLIGATIONS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280" w:right="259" w:bottom="1440" w:gutter="0" w:footer="0" w:header="0"/>
        </w:sectPr>
      </w:pPr>
    </w:p>
    <w:bookmarkStart w:id="132" w:name="page133"/>
    <w:bookmarkEnd w:id="132"/>
    <w:p>
      <w:pPr>
        <w:ind w:left="-20" w:firstLine="464"/>
        <w:spacing w:after="0" w:line="268" w:lineRule="auto"/>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18"/>
          <w:szCs w:val="18"/>
          <w:color w:val="auto"/>
        </w:rPr>
      </w:pPr>
    </w:p>
    <w:p>
      <w:pPr>
        <w:ind w:left="-20" w:right="80" w:firstLine="464"/>
        <w:spacing w:after="0" w:line="268" w:lineRule="auto"/>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171" w:lineRule="exact"/>
        <w:rPr>
          <w:rFonts w:ascii="Arial" w:cs="Arial" w:eastAsia="Arial" w:hAnsi="Arial"/>
          <w:sz w:val="18"/>
          <w:szCs w:val="18"/>
          <w:color w:val="auto"/>
        </w:rPr>
      </w:pPr>
    </w:p>
    <w:p>
      <w:pPr>
        <w:ind w:left="-20" w:right="640" w:firstLine="464"/>
        <w:spacing w:after="0" w:line="370" w:lineRule="auto"/>
        <w:tabs>
          <w:tab w:leader="none" w:pos="69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60" w:top="280" w:right="259" w:bottom="1440" w:gutter="0" w:footer="0" w:header="0"/>
        </w:sectPr>
      </w:pPr>
    </w:p>
    <w:bookmarkStart w:id="133" w:name="page134"/>
    <w:bookmarkEnd w:id="13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32"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[Guaranteeing Subsidiary]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Issuers: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109855</wp:posOffset>
            </wp:positionV>
            <wp:extent cx="25126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5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r>
        <w:rPr>
          <w:rFonts w:ascii="Arial" w:cs="Arial" w:eastAsia="Arial" w:hAnsi="Arial"/>
          <w:sz w:val="18"/>
          <w:szCs w:val="18"/>
          <w:color w:val="auto"/>
        </w:rPr>
        <w: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[Existing Guarantors]</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880"/>
          </w:cols>
          <w:pgMar w:left="240" w:top="280" w:right="7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DOCUMENTS</w:t>
      </w:r>
    </w:p>
    <w:p>
      <w:pPr>
        <w:spacing w:after="0" w:line="96"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Intercreditor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Pledge Agreement;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UCC Financing Statement of Wynn Resorts Holdings, LLC in favor of Deutsche Bank Trust Company Americas, as collateral agent</w:t>
      </w:r>
    </w:p>
    <w:p>
      <w:pPr>
        <w:spacing w:after="0" w:line="90"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Capitalized terms not defined herein shall have the meanings assigned to such terms in the Indenture to which this Exhibit G is attached or the Collateral Documents, as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7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WYNN LAS VEGAS CAPITAL CORP.,</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and several obligors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U.S. BANK NATIONAL ASSOCIATION,</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 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22, 2013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Supplementing the 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7.875% First Mortgage Notes due 2017</w:t>
      </w:r>
    </w:p>
    <w:p>
      <w:pPr>
        <w:sectPr>
          <w:pgSz w:w="11900" w:h="16838" w:orient="portrait"/>
          <w:cols w:equalWidth="0" w:num="1">
            <w:col w:w="10220"/>
          </w:cols>
          <w:pgMar w:left="1440" w:top="125" w:right="239" w:bottom="1440" w:gutter="0" w:footer="0" w:header="0"/>
        </w:sectPr>
      </w:pPr>
    </w:p>
    <w:bookmarkStart w:id="136" w:name="page137"/>
    <w:bookmarkEnd w:id="136"/>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SUPPLEMENTAL INDENTURE </w:t>
      </w:r>
      <w:r>
        <w:rPr>
          <w:rFonts w:ascii="Arial" w:cs="Arial" w:eastAsia="Arial" w:hAnsi="Arial"/>
          <w:sz w:val="18"/>
          <w:szCs w:val="18"/>
          <w:color w:val="auto"/>
        </w:rPr>
        <w:t>(this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 dated as of May 22, 2013, among Wynn Las Vegas, LLC, a Nevada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Wynn Las Vegas</w:t>
      </w:r>
      <w:r>
        <w:rPr>
          <w:rFonts w:ascii="Arial" w:cs="Arial" w:eastAsia="Arial" w:hAnsi="Arial"/>
          <w:sz w:val="18"/>
          <w:szCs w:val="18"/>
          <w:color w:val="auto"/>
        </w:rPr>
        <w:t>”), and Wynn Las Vegas Capital Corp., a Nevada corporation (“</w:t>
      </w:r>
      <w:r>
        <w:rPr>
          <w:rFonts w:ascii="Arial" w:cs="Arial" w:eastAsia="Arial" w:hAnsi="Arial"/>
          <w:sz w:val="18"/>
          <w:szCs w:val="18"/>
          <w:b w:val="1"/>
          <w:bCs w:val="1"/>
          <w:color w:val="auto"/>
        </w:rPr>
        <w:t>Wynn Capital</w:t>
      </w:r>
      <w:r>
        <w:rPr>
          <w:rFonts w:ascii="Arial" w:cs="Arial" w:eastAsia="Arial" w:hAnsi="Arial"/>
          <w:sz w:val="18"/>
          <w:szCs w:val="18"/>
          <w:color w:val="auto"/>
        </w:rPr>
        <w:t>,” and together with Wynn Las Vegas, the “</w:t>
      </w:r>
      <w:r>
        <w:rPr>
          <w:rFonts w:ascii="Arial" w:cs="Arial" w:eastAsia="Arial" w:hAnsi="Arial"/>
          <w:sz w:val="18"/>
          <w:szCs w:val="18"/>
          <w:b w:val="1"/>
          <w:bCs w:val="1"/>
          <w:color w:val="auto"/>
        </w:rPr>
        <w:t>Issuers</w:t>
      </w:r>
      <w:r>
        <w:rPr>
          <w:rFonts w:ascii="Arial" w:cs="Arial" w:eastAsia="Arial" w:hAnsi="Arial"/>
          <w:sz w:val="18"/>
          <w:szCs w:val="18"/>
          <w:color w:val="auto"/>
        </w:rPr>
        <w:t>”), as joint and several obligors, and Kevyn, LLC, a Nevada limited liability company, Las Vegas Jet,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18"/>
          <w:szCs w:val="18"/>
          <w:b w:val="1"/>
          <w:bCs w:val="1"/>
          <w:color w:val="auto"/>
        </w:rPr>
        <w:t>Guarantors</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under the Indenture, dated as of October 19, 2009 (as supplemented to date, the “</w:t>
      </w:r>
      <w:r>
        <w:rPr>
          <w:rFonts w:ascii="Arial" w:cs="Arial" w:eastAsia="Arial" w:hAnsi="Arial"/>
          <w:sz w:val="18"/>
          <w:szCs w:val="18"/>
          <w:b w:val="1"/>
          <w:bCs w:val="1"/>
          <w:color w:val="auto"/>
        </w:rPr>
        <w:t>Indenture</w:t>
      </w:r>
      <w:r>
        <w:rPr>
          <w:rFonts w:ascii="Arial" w:cs="Arial" w:eastAsia="Arial" w:hAnsi="Arial"/>
          <w:sz w:val="18"/>
          <w:szCs w:val="18"/>
          <w:color w:val="auto"/>
        </w:rPr>
        <w:t>”). Capitalized terms used herein and not otherwise defined shall have the meaning ascribed to them in the Indenture.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Issuers, the Trustee and the Guarantors have heretofore executed and delivered the Indenture providing for the issuance by the Issuers of</w:t>
      </w:r>
      <w:r>
        <w:rPr>
          <w:rFonts w:ascii="Arial" w:cs="Arial" w:eastAsia="Arial" w:hAnsi="Arial"/>
          <w:sz w:val="18"/>
          <w:szCs w:val="18"/>
          <w:b w:val="1"/>
          <w:bCs w:val="1"/>
          <w:color w:val="auto"/>
        </w:rPr>
        <w:t xml:space="preserve"> </w:t>
      </w:r>
      <w:r>
        <w:rPr>
          <w:rFonts w:ascii="Arial" w:cs="Arial" w:eastAsia="Arial" w:hAnsi="Arial"/>
          <w:sz w:val="18"/>
          <w:szCs w:val="18"/>
          <w:color w:val="auto"/>
        </w:rPr>
        <w:t>7.875% First Mortgage Notes due 2017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to refinance the Issuers’ existing debt, Wynn Las Vegas has, among other things, (i) made an offer to purchase for cash any and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Notes (the “</w:t>
      </w:r>
      <w:r>
        <w:rPr>
          <w:rFonts w:ascii="Arial" w:cs="Arial" w:eastAsia="Arial" w:hAnsi="Arial"/>
          <w:sz w:val="18"/>
          <w:szCs w:val="18"/>
          <w:b w:val="1"/>
          <w:bCs w:val="1"/>
          <w:color w:val="auto"/>
        </w:rPr>
        <w:t>Tender Offer</w:t>
      </w:r>
      <w:r>
        <w:rPr>
          <w:rFonts w:ascii="Arial" w:cs="Arial" w:eastAsia="Arial" w:hAnsi="Arial"/>
          <w:sz w:val="18"/>
          <w:szCs w:val="18"/>
          <w:color w:val="auto"/>
        </w:rPr>
        <w:t>”) and (ii) solicited consents from the Holders of the Notes to certain proposed amendments to the Indenture (the “</w:t>
      </w:r>
      <w:r>
        <w:rPr>
          <w:rFonts w:ascii="Arial" w:cs="Arial" w:eastAsia="Arial" w:hAnsi="Arial"/>
          <w:sz w:val="18"/>
          <w:szCs w:val="18"/>
          <w:b w:val="1"/>
          <w:bCs w:val="1"/>
          <w:color w:val="auto"/>
        </w:rPr>
        <w:t>Consent</w:t>
      </w:r>
      <w:r>
        <w:rPr>
          <w:rFonts w:ascii="Arial" w:cs="Arial" w:eastAsia="Arial" w:hAnsi="Arial"/>
          <w:sz w:val="18"/>
          <w:szCs w:val="18"/>
          <w:color w:val="auto"/>
        </w:rPr>
        <w:t xml:space="preserve"> </w:t>
      </w:r>
      <w:r>
        <w:rPr>
          <w:rFonts w:ascii="Arial" w:cs="Arial" w:eastAsia="Arial" w:hAnsi="Arial"/>
          <w:sz w:val="18"/>
          <w:szCs w:val="18"/>
          <w:b w:val="1"/>
          <w:bCs w:val="1"/>
          <w:color w:val="auto"/>
        </w:rPr>
        <w:t>Solicitation</w:t>
      </w:r>
      <w:r>
        <w:rPr>
          <w:rFonts w:ascii="Arial" w:cs="Arial" w:eastAsia="Arial" w:hAnsi="Arial"/>
          <w:sz w:val="18"/>
          <w:szCs w:val="18"/>
          <w:color w:val="auto"/>
        </w:rPr>
        <w:t>”), in each case, in accordance with the terms and conditions of an Offer to Purchase and Consent Solicitation Statement, dated May 15, 2013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Solicitation Statement</w:t>
      </w:r>
      <w:r>
        <w:rPr>
          <w:rFonts w:ascii="Arial" w:cs="Arial" w:eastAsia="Arial" w:hAnsi="Arial"/>
          <w:sz w:val="18"/>
          <w:szCs w:val="18"/>
          <w:color w:val="auto"/>
        </w:rPr>
        <w:t>”);</w:t>
      </w:r>
    </w:p>
    <w:p>
      <w:pPr>
        <w:spacing w:after="0" w:line="136" w:lineRule="exact"/>
        <w:rPr>
          <w:sz w:val="20"/>
          <w:szCs w:val="20"/>
          <w:color w:val="auto"/>
        </w:rPr>
      </w:pPr>
    </w:p>
    <w:p>
      <w:pPr>
        <w:jc w:val="both"/>
        <w:ind w:right="38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9.02 of the Indenture provides that, subject to the terms of the Indenture, with the consent of the Holders of at least a majority in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principal amount of the Notes then outstanding, voting as a single class, the Issuers, the Guarantors and the Trustee may amend or supplement the Indenture and the Notes;</w:t>
      </w:r>
    </w:p>
    <w:p>
      <w:pPr>
        <w:spacing w:after="0" w:line="13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Holders of at least a majority in aggregate principal amount of the Notes outstanding have duly consented to the proposed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Supplemental Indenture in accordance with Sections 9.02 and 2.09 of the Indenture;</w:t>
      </w:r>
    </w:p>
    <w:p>
      <w:pPr>
        <w:spacing w:after="0" w:line="12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Issuers have heretofore delivered or are delivering contemporaneously herewith to the Trustee (i) copies of resolutions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each of the Issuers and the Guarantors authorizing the execution of this Supplemental Indenture, (ii) evidence of the written consent of the Holders referred to in the immediately preceding paragraph, and (iii) the Officers’ Certificate and the Opinion of Counsel described in Sections 14.04 and 14.05 of the Indenture; and</w:t>
      </w:r>
    </w:p>
    <w:p>
      <w:pPr>
        <w:spacing w:after="0" w:line="136" w:lineRule="exact"/>
        <w:rPr>
          <w:sz w:val="20"/>
          <w:szCs w:val="20"/>
          <w:color w:val="auto"/>
        </w:rPr>
      </w:pPr>
    </w:p>
    <w:p>
      <w:pPr>
        <w:jc w:val="both"/>
        <w:ind w:right="38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 other acts and proceedings required by law and the Indenture necessary to authorize the execution and delivery of this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to make this Supplemental Indenture a valid and binding agreement for the purposes expressed herein, in accordance with its terms, have been complied with or have been duly done or performed.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137" w:name="page138"/>
    <w:bookmarkEnd w:id="137"/>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THEREFORE, </w:t>
      </w:r>
      <w:r>
        <w:rPr>
          <w:rFonts w:ascii="Arial" w:cs="Arial" w:eastAsia="Arial" w:hAnsi="Arial"/>
          <w:sz w:val="18"/>
          <w:szCs w:val="18"/>
          <w:color w:val="auto"/>
        </w:rPr>
        <w:t>in consideration of the foregoing and notwithstanding any provision of the Indenture which, absent this Supplemental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might operate to limit such action, the parties hereto, intending to be legally bound hereby, agree as follows:</w:t>
      </w: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ONE</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AMENDMENTS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of Definitions</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Indenture is hereby amended by deleting the definitions of any terms that are only used in sections eliminated as a result of the amendments of the Indenture pursuant to this Supplemental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Amendments</w:t>
      </w:r>
      <w:r>
        <w:rPr>
          <w:rFonts w:ascii="Arial" w:cs="Arial" w:eastAsia="Arial" w:hAnsi="Arial"/>
          <w:sz w:val="18"/>
          <w:szCs w:val="18"/>
          <w:color w:val="auto"/>
        </w:rPr>
        <w:t>.</w:t>
      </w:r>
    </w:p>
    <w:p>
      <w:pPr>
        <w:spacing w:after="0" w:line="171" w:lineRule="exact"/>
        <w:rPr>
          <w:sz w:val="20"/>
          <w:szCs w:val="20"/>
          <w:color w:val="auto"/>
        </w:rPr>
      </w:pPr>
    </w:p>
    <w:p>
      <w:pPr>
        <w:ind w:right="740" w:firstLine="464"/>
        <w:spacing w:after="0" w:line="268"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Indenture is hereby amended to delete the text of each of the following sections in their entirety and to insert in lieu thereof the phrase “Intentionally Omitted”: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3.10 entitled “Offer to Purchase by Application of Excess Proceeds;”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4.03 entitled “Reports;”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4.04 entitled “Compliance Certificate;”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4.05 entitled “Taxes;”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Section 4.06 entitled “Stay, Extension and Usury Laws;”</w:t>
      </w:r>
    </w:p>
    <w:p>
      <w:pPr>
        <w:spacing w:after="0" w:line="90" w:lineRule="exact"/>
        <w:rPr>
          <w:sz w:val="20"/>
          <w:szCs w:val="20"/>
          <w:color w:val="auto"/>
        </w:rPr>
      </w:pPr>
    </w:p>
    <w:p>
      <w:pPr>
        <w:ind w:left="1200" w:hanging="297"/>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4.07 entitled “Restricted Payments;”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4.08 entitled “Dividend and Other Payment Restrictions Affecting Restricted Subsidiaries of Wynn Las Vegas;”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4.09 entitled “Incurrence of Indebtedness and Issuance of Disqualified Stock;”</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4.10 entitled “Asset Sales;”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4.11 entitled “Transactions With Affiliates;”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4.12 entitled “Liens;”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4.13 entitled “Line of Business;”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4.14 entitled “Corporate and Organizational Existence;”</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4.15 entitled “Offer to Purchase Upon Change of Control;”</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180"/>
          </w:cols>
          <w:pgMar w:left="240" w:top="274" w:right="479" w:bottom="1440" w:gutter="0" w:footer="0" w:header="0"/>
        </w:sectPr>
      </w:pPr>
    </w:p>
    <w:bookmarkStart w:id="138" w:name="page139"/>
    <w:bookmarkEnd w:id="138"/>
    <w:p>
      <w:pPr>
        <w:ind w:left="1240" w:hanging="337"/>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4.16 entitled “Events of Loss;”</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4.17 entitled “Designation of Restricted and Unrestricted Subsidiaries;”</w:t>
      </w:r>
    </w:p>
    <w:p>
      <w:pPr>
        <w:spacing w:after="0" w:line="90" w:lineRule="exact"/>
        <w:rPr>
          <w:rFonts w:ascii="Arial" w:cs="Arial" w:eastAsia="Arial" w:hAnsi="Arial"/>
          <w:sz w:val="18"/>
          <w:szCs w:val="18"/>
          <w:color w:val="auto"/>
        </w:rPr>
      </w:pPr>
    </w:p>
    <w:p>
      <w:pPr>
        <w:ind w:left="1340" w:hanging="437"/>
        <w:spacing w:after="0"/>
        <w:tabs>
          <w:tab w:leader="none" w:pos="1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4.18 entitled “Limitation on Status as Investment Company;”</w:t>
      </w:r>
    </w:p>
    <w:p>
      <w:pPr>
        <w:spacing w:after="0" w:line="90" w:lineRule="exact"/>
        <w:rPr>
          <w:rFonts w:ascii="Arial" w:cs="Arial" w:eastAsia="Arial" w:hAnsi="Arial"/>
          <w:sz w:val="18"/>
          <w:szCs w:val="18"/>
          <w:color w:val="auto"/>
        </w:rPr>
      </w:pPr>
    </w:p>
    <w:p>
      <w:pPr>
        <w:ind w:left="1380" w:hanging="477"/>
        <w:spacing w:after="0"/>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4.19 entitled “Limitation on Sale and Leaseback Transactions;”</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4.20 entitled “Limitation on Development of Golf Course Land;”</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4.21 entitled “Restrictions on Payments of Management Fees;”</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4.22 entitled “Limitation on Issuances and Sales of Equity Interests in Wholly Owned Restricted Subsidiaries;”</w:t>
      </w:r>
    </w:p>
    <w:p>
      <w:pPr>
        <w:spacing w:after="0" w:line="90" w:lineRule="exact"/>
        <w:rPr>
          <w:rFonts w:ascii="Arial" w:cs="Arial" w:eastAsia="Arial" w:hAnsi="Arial"/>
          <w:sz w:val="18"/>
          <w:szCs w:val="18"/>
          <w:color w:val="auto"/>
        </w:rPr>
      </w:pPr>
    </w:p>
    <w:p>
      <w:pPr>
        <w:ind w:left="1340" w:hanging="437"/>
        <w:spacing w:after="0"/>
        <w:tabs>
          <w:tab w:leader="none" w:pos="1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4.23 entitled “Amendments to Certain Agreements;”</w:t>
      </w:r>
    </w:p>
    <w:p>
      <w:pPr>
        <w:spacing w:after="0" w:line="90" w:lineRule="exact"/>
        <w:rPr>
          <w:rFonts w:ascii="Arial" w:cs="Arial" w:eastAsia="Arial" w:hAnsi="Arial"/>
          <w:sz w:val="18"/>
          <w:szCs w:val="18"/>
          <w:color w:val="auto"/>
        </w:rPr>
      </w:pPr>
    </w:p>
    <w:p>
      <w:pPr>
        <w:ind w:left="1380" w:hanging="477"/>
        <w:spacing w:after="0"/>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4.24 entitled “Amendments to Operating Agreements and Charter Documents;”</w:t>
      </w:r>
    </w:p>
    <w:p>
      <w:pPr>
        <w:spacing w:after="0" w:line="90" w:lineRule="exact"/>
        <w:rPr>
          <w:rFonts w:ascii="Arial" w:cs="Arial" w:eastAsia="Arial" w:hAnsi="Arial"/>
          <w:sz w:val="18"/>
          <w:szCs w:val="18"/>
          <w:color w:val="auto"/>
        </w:rPr>
      </w:pPr>
    </w:p>
    <w:p>
      <w:pPr>
        <w:ind w:left="1380" w:hanging="477"/>
        <w:spacing w:after="0"/>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4.25 entitled “Insurance;”</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3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4.26 entitled “Additional Collateral; Formation or Acquisition of Restricted Subsidiaries, Designation of Unrestricted Subsidiaries as Restricted Subsidiaries or Permitted C-Corp. Conversion;”</w:t>
      </w:r>
    </w:p>
    <w:p>
      <w:pPr>
        <w:spacing w:after="0" w:line="50" w:lineRule="exact"/>
        <w:rPr>
          <w:rFonts w:ascii="Arial" w:cs="Arial" w:eastAsia="Arial" w:hAnsi="Arial"/>
          <w:sz w:val="18"/>
          <w:szCs w:val="18"/>
          <w:color w:val="auto"/>
        </w:rPr>
      </w:pPr>
    </w:p>
    <w:p>
      <w:pPr>
        <w:ind w:left="1380" w:hanging="477"/>
        <w:spacing w:after="0"/>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4.27 entitled “Additional Collateral; Acquisition of Assets or Property;”</w:t>
      </w:r>
    </w:p>
    <w:p>
      <w:pPr>
        <w:spacing w:after="0" w:line="90" w:lineRule="exact"/>
        <w:rPr>
          <w:rFonts w:ascii="Arial" w:cs="Arial" w:eastAsia="Arial" w:hAnsi="Arial"/>
          <w:sz w:val="18"/>
          <w:szCs w:val="18"/>
          <w:color w:val="auto"/>
        </w:rPr>
      </w:pPr>
    </w:p>
    <w:p>
      <w:pPr>
        <w:ind w:left="1420" w:hanging="517"/>
        <w:spacing w:after="0"/>
        <w:tabs>
          <w:tab w:leader="none" w:pos="14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4.28 entitled “Further Assurances;”</w:t>
      </w:r>
    </w:p>
    <w:p>
      <w:pPr>
        <w:spacing w:after="0" w:line="90" w:lineRule="exact"/>
        <w:rPr>
          <w:rFonts w:ascii="Arial" w:cs="Arial" w:eastAsia="Arial" w:hAnsi="Arial"/>
          <w:sz w:val="18"/>
          <w:szCs w:val="18"/>
          <w:color w:val="auto"/>
        </w:rPr>
      </w:pPr>
    </w:p>
    <w:p>
      <w:pPr>
        <w:ind w:left="1480" w:hanging="57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4.29 entitled “Payments for Consent;”</w:t>
      </w:r>
    </w:p>
    <w:p>
      <w:pPr>
        <w:spacing w:after="0" w:line="90" w:lineRule="exact"/>
        <w:rPr>
          <w:rFonts w:ascii="Arial" w:cs="Arial" w:eastAsia="Arial" w:hAnsi="Arial"/>
          <w:sz w:val="18"/>
          <w:szCs w:val="18"/>
          <w:color w:val="auto"/>
        </w:rPr>
      </w:pPr>
    </w:p>
    <w:p>
      <w:pPr>
        <w:ind w:left="1380" w:hanging="477"/>
        <w:spacing w:after="0"/>
        <w:tabs>
          <w:tab w:leader="none" w:pos="1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4.30 entitled “Restrictions on Activities of Wynn Capital;”</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and all references to the foregoing sections and any and all obligations thereunder related solely to such sections are hereby deleted throughout the Indenture and shall be of no further force or effect.</w:t>
      </w:r>
    </w:p>
    <w:p>
      <w:pPr>
        <w:spacing w:after="0" w:line="132" w:lineRule="exact"/>
        <w:rPr>
          <w:sz w:val="20"/>
          <w:szCs w:val="20"/>
          <w:color w:val="auto"/>
        </w:rPr>
      </w:pPr>
    </w:p>
    <w:p>
      <w:pPr>
        <w:ind w:left="720" w:hanging="256"/>
        <w:spacing w:after="0"/>
        <w:tabs>
          <w:tab w:leader="none" w:pos="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Indenture is hereby amended to delete paragraphs (4), (5) and (6) of subsection (a) of Section 5.01 entitled “Merger, Consolidation, or Sale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164" w:lineRule="exact"/>
        <w:rPr>
          <w:rFonts w:ascii="Arial" w:cs="Arial" w:eastAsia="Arial" w:hAnsi="Arial"/>
          <w:sz w:val="16"/>
          <w:szCs w:val="16"/>
          <w:color w:val="auto"/>
        </w:rPr>
      </w:pPr>
    </w:p>
    <w:p>
      <w:pPr>
        <w:ind w:left="700" w:hanging="236"/>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Indenture is hereby amended to delete subsections (c) through (n), inclusive, of Section 6.01 entitled “Events of Default.”</w:t>
      </w:r>
    </w:p>
    <w:p>
      <w:pPr>
        <w:spacing w:after="0" w:line="17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and all references in the Indenture to any of the foregoing sections, subsections, paragraphs, clauses or other terms that are deleted pursuant to any of the foregoing provisions, and any and all obligations thereunder related solely to such sections, subsections, paragraphs, clauses and terms are hereby deleted throughout the Indenture, and shall be of no further force or effect.</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60"/>
          </w:cols>
          <w:pgMar w:left="240" w:top="280" w:right="29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TWO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Reference to and Effect on the Indenture</w:t>
      </w:r>
      <w:r>
        <w:rPr>
          <w:rFonts w:ascii="Arial" w:cs="Arial" w:eastAsia="Arial" w:hAnsi="Arial"/>
          <w:sz w:val="18"/>
          <w:szCs w:val="18"/>
          <w:color w:val="auto"/>
        </w:rPr>
        <w:t>. This Supplemental Indenture shall become operative (the “</w:t>
      </w:r>
      <w:r>
        <w:rPr>
          <w:rFonts w:ascii="Arial" w:cs="Arial" w:eastAsia="Arial" w:hAnsi="Arial"/>
          <w:sz w:val="18"/>
          <w:szCs w:val="18"/>
          <w:b w:val="1"/>
          <w:bCs w:val="1"/>
          <w:color w:val="auto"/>
        </w:rPr>
        <w:t>Operative Date</w:t>
      </w:r>
      <w:r>
        <w:rPr>
          <w:rFonts w:ascii="Arial" w:cs="Arial" w:eastAsia="Arial" w:hAnsi="Arial"/>
          <w:sz w:val="18"/>
          <w:szCs w:val="18"/>
          <w:color w:val="auto"/>
        </w:rPr>
        <w:t>”) on the Settlement Date (as defined in the Solicitation Statement) only if Wynn Las Vegas receives the Requisite Consents (as defined in the Solicitation Statement) and accepts for payment Notes representing at least a majority in aggregate principal amount of the Outstanding Notes (as defined in the Solicitation Statement). On and after the Operative Date, each reference in the Indenture to “this Indenture,” “hereunder,” “hereof,” or “herein” shall mean and be a reference to the Indenture as supplemented by this Supplemental Indenture unless the context otherwise requires. The Indenture, as supplemented by this Supplemental Indenture, shall be read, taken and construed as one and the same instrument. Except as specifically amended above, the Indenture shall remain in full force and effect and is hereby ratified and confirmed.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THE INTERNAL LAW OF THE STATE OF NEW YORK, INCLUDING, WITHOUT LIMITATION, SECTION 5-</w:t>
      </w:r>
    </w:p>
    <w:p>
      <w:pPr>
        <w:spacing w:after="0" w:line="4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color w:val="auto"/>
        </w:rPr>
        <w:t>1401 OF THE NEW YORK GENERAL OBLIGATIONS LAW, SHALL GOVERN AND BE USED TO CONSTRUE THIS SUPPLEMENTAL INDENTURE, SUBJECT TO APPLICABLE GAMING LAWS.</w:t>
      </w:r>
    </w:p>
    <w:p>
      <w:pPr>
        <w:spacing w:after="0" w:line="138"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 No modification of any provisions of the Indenture effected by this Supplemental Indenture is intended to eliminate or limit any provision of the Indenture that is required to be included therein by the Trust Indenture Act of 1939, as amended, as in force as of the effectiveness of this Supplemental Indenture (the “</w:t>
      </w:r>
      <w:r>
        <w:rPr>
          <w:rFonts w:ascii="Arial" w:cs="Arial" w:eastAsia="Arial" w:hAnsi="Arial"/>
          <w:sz w:val="16"/>
          <w:szCs w:val="16"/>
          <w:b w:val="1"/>
          <w:bCs w:val="1"/>
          <w:color w:val="auto"/>
        </w:rPr>
        <w:t>TIA</w:t>
      </w:r>
      <w:r>
        <w:rPr>
          <w:rFonts w:ascii="Arial" w:cs="Arial" w:eastAsia="Arial" w:hAnsi="Arial"/>
          <w:sz w:val="16"/>
          <w:szCs w:val="16"/>
          <w:color w:val="auto"/>
        </w:rPr>
        <w:t>”). Without limiting the generality of the foregoing, notwithstanding anything to the contrary in Section 1.02(a)(2) and (3) hereof, nothing herein shall eliminate the Issuers obligations under Sections §314(a) of the TIA.</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Trustee Disclaimer; Trust</w:t>
      </w:r>
      <w:r>
        <w:rPr>
          <w:rFonts w:ascii="Arial" w:cs="Arial" w:eastAsia="Arial" w:hAnsi="Arial"/>
          <w:sz w:val="18"/>
          <w:szCs w:val="18"/>
          <w:color w:val="auto"/>
        </w:rPr>
        <w:t>. The recitals contained in this Supplemental Indenture shall be taken as the statements of the Issuers, and the Trustee assumes no responsibility for their correctness. The Trustee makes no representations as to the validity or sufficiency of this Supplemental Indenture. The Trustee accepts the trust created by the Indenture, as supplemented by this Supplemental Indenture, and agrees to perform the same upon the terms and conditions of the Indenture, as supplemented hereby.</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shall be an original, but such counterparts shall constitute but one and the same instrument.</w:t>
      </w:r>
    </w:p>
    <w:p>
      <w:pPr>
        <w:spacing w:after="0" w:line="132" w:lineRule="exact"/>
        <w:rPr>
          <w:sz w:val="20"/>
          <w:szCs w:val="20"/>
          <w:color w:val="auto"/>
        </w:rPr>
      </w:pPr>
    </w:p>
    <w:p>
      <w:pPr>
        <w:jc w:val="center"/>
        <w:ind w:right="440"/>
        <w:spacing w:after="0" w:line="440"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Article and Section headings herein are for convenience only and shall not affect the construction hereof. - 4 -</w:t>
      </w:r>
    </w:p>
    <w:p>
      <w:pPr>
        <w:sectPr>
          <w:pgSz w:w="11900" w:h="16838" w:orient="portrait"/>
          <w:cols w:equalWidth="0" w:num="1">
            <w:col w:w="11400"/>
          </w:cols>
          <w:pgMar w:left="240" w:top="280" w:right="259" w:bottom="1440" w:gutter="0" w:footer="0" w:header="0"/>
        </w:sectPr>
      </w:pPr>
    </w:p>
    <w:bookmarkStart w:id="140" w:name="page141"/>
    <w:bookmarkEnd w:id="14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Supplemental Indenture shall be invalid, illegal or unenforceable, the validity, legality and enforceability of the remaining provisions shall not in any way be effected or impaired thereby.</w:t>
      </w:r>
    </w:p>
    <w:p>
      <w:pPr>
        <w:spacing w:after="0" w:line="132"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680"/>
          </w:cols>
          <w:pgMar w:left="240" w:top="280" w:right="979" w:bottom="1440" w:gutter="0" w:footer="0" w:header="0"/>
        </w:sectPr>
      </w:pPr>
    </w:p>
    <w:bookmarkStart w:id="141" w:name="page142"/>
    <w:bookmarkEnd w:id="14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Supplemental Indenture to be duly executed all as of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Senior Vice President and Secretary</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15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0219"/>
          </w:cols>
          <w:pgMar w:left="240" w:top="274"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KEVYN,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Senior Vice President and Secretary</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LAS VEGAS JET,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Title: Senior Vice President and Secretary</w:t>
      </w:r>
    </w:p>
    <w:p>
      <w:pPr>
        <w:spacing w:after="0" w:line="18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10219"/>
          </w:cols>
          <w:pgMar w:left="240" w:top="274" w:right="1440" w:bottom="1440" w:gutter="0" w:footer="0" w:header="0"/>
        </w:sectPr>
      </w:pPr>
    </w:p>
    <w:bookmarkStart w:id="143" w:name="page144"/>
    <w:bookmarkEnd w:id="14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 Nevada corporation, its sole member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Title: Senior Vice President and Secretary</w:t>
      </w:r>
    </w:p>
    <w:p>
      <w:pPr>
        <w:spacing w:after="0" w:line="18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019"/>
          </w:cols>
          <w:pgMar w:left="1440" w:top="274" w:right="1440"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Title: Senior Vice President and Secretary</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Title: Senior Vice President and Secretary</w:t>
      </w:r>
    </w:p>
    <w:p>
      <w:pPr>
        <w:spacing w:after="0" w:line="18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019"/>
          </w:cols>
          <w:pgMar w:left="1440" w:top="274" w:right="1440" w:bottom="1440" w:gutter="0" w:footer="0" w:header="0"/>
        </w:sectPr>
      </w:pPr>
    </w:p>
    <w:bookmarkStart w:id="145" w:name="page146"/>
    <w:bookmarkEnd w:id="14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Raymond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Raymond S. Haverstock</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to Supplemental Indenture]</w:t>
      </w:r>
    </w:p>
    <w:p>
      <w:pPr>
        <w:sectPr>
          <w:pgSz w:w="11900" w:h="16838" w:orient="portrait"/>
          <w:cols w:equalWidth="0" w:num="1">
            <w:col w:w="9019"/>
          </w:cols>
          <w:pgMar w:left="1440" w:top="274"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Completion of Tender Offer and Consent Solicitation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 of Private Offering of Wynn Las Vegas 4.25% Senior Notes due 2023</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LAS VEGAS, May 22, 2013 (BUSINESS WIRE) – Wynn Resorts, Limited (NASDAQ: WYNN) announced today that Wynn Las Vegas, LLC, an indirect wholly owned subsidiary of Wynn Resorts, Limited, completed its previously announced cash tender offer (the “Tender Offer”) for any and all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issued by Wynn Las Vegas, LLC and Wynn Las Vegas Capital Corp. (the “issuers”) and a solicitation of consents to certain proposed amendments to the indenture (the “Indenture”) governing the 2017 Notes (the “Consent Solicitation”). The Tender Offer and Consent Solicitation expired at midnight, New York City time, in the evening of May 21, 2013 (the “Expiration Time”), and the issuers have received the requisite consents from holders of the 2017 Notes in connection with the Consent Solicitation to amend the Indenture. At the Expiration Time, valid tenders had been received with respect to approximately $274.7 million of the $500.0 million aggregate principal amount of 2017 Notes outstanding.</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Wynn Las Vegas, LLC has accepted for payment all 2017 Notes validly tendered prior to the Expiration Date. On May 22, 2013, tendering holders received the tender offer consideration in the amount of $1,071.45 for each $1,000 principal amount of 2017 Notes tendered.</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expiration of the Consent Solicitation, on May 22, 2013, the issuers entered into a supplemental indenture (the “Supplemental Indenture”). The Supplemental Indenture became operative when Wynn Las Vegas, LLC accepted for payment the 2017 Notes and the related consents tendered prior to the Expiration Time. The Supplemental Indenture amended the Indenture to eliminate substantially all of the restrictive covenants and certain events of default from the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D.F. King &amp; Co., Inc. acted as the information agent and tender agent.</w:t>
      </w:r>
    </w:p>
    <w:p>
      <w:pPr>
        <w:spacing w:after="0" w:line="17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May 22, 2013, the issuers also completed their previously announced offering of $500.0 million aggregate principal amount of 4.25% Senior Notes due 2023 (the “2023 Notes”). Wynn Las Vegas, LLC used a portion of the net proceeds of the 2023 Notes offering to purchase the 2017 Notes tendered in the Tender Offer. Wynn Las Vegas, LLC intends to satisfy and discharge the Indenture governing the 2017 Notes and use the remaining net proceeds from the 2023 Notes offering to redeem the 2017 Notes not tendered.</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press release shall not constitute an offer to purchase or the solicitation of an offer to sell or a solicitation of consents with respect to the 2017 Notes. The Tender Offer and Consent Solicitation were conducted in accordance with the terms of and subject to the conditions specified in the Offer to Purchase and Consent Solicitation Statement, dated May 15, 2013, and the related Letter of Transmittal, which more fully set forth the terms and conditions of the Tender Offer and Consent Solicitation.</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2023 Notes have not been and will not be registered under the Securities Act of 1933, as amended (the “Securities Act”), or under any state securities laws. Therefore, the issuers may not offer or sell the 2023 Notes within the United States to, or for the account or benefit of, any United States person unless the offer or sale would qualify for a registration exemption from the Securities Act and applicable state securities laws. This press release does not constitute an offer to sell or a solicitation of an offer to buy the 2023 Notes described in this press release, nor shall there be any sale of the 2023 Notes in any state or jurisdiction in which such an offer, sale or solicitation would be unlawful prior to registration or qualification under the securities laws of any such jurisdiction.</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release contains forward-looking statements, including those related to the Tender Offer, the Consent Solicitation and the offering of 2023 Notes.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2012 and Quarterly Report on Form 10-Q for the fiscal quarter ended March 31, 2013 and Wynn Las Vegas, LLC’ s and Wynn Resorts, Limited’s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Matt Maddox,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1)"/>
      <w:numFmt w:val="decimal"/>
      <w:start w:val="1"/>
    </w:lvl>
  </w:abstractNum>
  <w:abstractNum w:abstractNumId="2">
    <w:nsid w:val="43F18422"/>
    <w:multiLevelType w:val="hybridMultilevel"/>
    <w:lvl w:ilvl="0">
      <w:lvlJc w:val="left"/>
      <w:lvlText w:val="(%1)"/>
      <w:numFmt w:val="decimal"/>
      <w:start w:val="2"/>
    </w:lvl>
  </w:abstractNum>
  <w:abstractNum w:abstractNumId="3">
    <w:nsid w:val="60EF0119"/>
    <w:multiLevelType w:val="hybridMultilevel"/>
    <w:lvl w:ilvl="0">
      <w:lvlJc w:val="left"/>
      <w:lvlText w:val="(%1)"/>
      <w:numFmt w:val="decimal"/>
      <w:start w:val="1"/>
    </w:lvl>
  </w:abstractNum>
  <w:abstractNum w:abstractNumId="4">
    <w:nsid w:val="26F324BA"/>
    <w:multiLevelType w:val="hybridMultilevel"/>
    <w:lvl w:ilvl="0">
      <w:lvlJc w:val="left"/>
      <w:lvlText w:val="(%1)"/>
      <w:numFmt w:val="decimal"/>
      <w:start w:val="3"/>
    </w:lvl>
  </w:abstractNum>
  <w:abstractNum w:abstractNumId="5">
    <w:nsid w:val="7F01579B"/>
    <w:multiLevelType w:val="hybridMultilevel"/>
    <w:lvl w:ilvl="0">
      <w:lvlJc w:val="left"/>
      <w:lvlText w:val="(%1)"/>
      <w:numFmt w:val="decimal"/>
      <w:start w:val="4"/>
    </w:lvl>
  </w:abstractNum>
  <w:abstractNum w:abstractNumId="6">
    <w:nsid w:val="49DA307D"/>
    <w:multiLevelType w:val="hybridMultilevel"/>
    <w:lvl w:ilvl="0">
      <w:lvlJc w:val="left"/>
      <w:lvlText w:val="(%1)"/>
      <w:numFmt w:val="decimal"/>
      <w:start w:val="1"/>
    </w:lvl>
  </w:abstractNum>
  <w:abstractNum w:abstractNumId="7">
    <w:nsid w:val="7055A5F5"/>
    <w:multiLevelType w:val="hybridMultilevel"/>
    <w:lvl w:ilvl="0">
      <w:lvlJc w:val="left"/>
      <w:lvlText w:val="(%1)"/>
      <w:numFmt w:val="decimal"/>
      <w:start w:val="3"/>
    </w:lvl>
  </w:abstractNum>
  <w:abstractNum w:abstractNumId="8">
    <w:nsid w:val="5FB8370B"/>
    <w:multiLevelType w:val="hybridMultilevel"/>
    <w:lvl w:ilvl="0">
      <w:lvlJc w:val="left"/>
      <w:lvlText w:val="(%1)"/>
      <w:numFmt w:val="decimal"/>
      <w:start w:val="1"/>
    </w:lvl>
    <w:lvl w:ilvl="1">
      <w:lvlJc w:val="left"/>
      <w:lvlText w:val="(%2)"/>
      <w:numFmt w:val="lowerLetter"/>
      <w:start w:val="1"/>
    </w:lvl>
  </w:abstractNum>
  <w:abstractNum w:abstractNumId="9">
    <w:nsid w:val="50801EE1"/>
    <w:multiLevelType w:val="hybridMultilevel"/>
    <w:lvl w:ilvl="0">
      <w:lvlJc w:val="left"/>
      <w:lvlText w:val="(%1)"/>
      <w:numFmt w:val="decimal"/>
      <w:start w:val="8"/>
    </w:lvl>
  </w:abstractNum>
  <w:abstractNum w:abstractNumId="10">
    <w:nsid w:val="488AC1A"/>
    <w:multiLevelType w:val="hybridMultilevel"/>
    <w:lvl w:ilvl="0">
      <w:lvlJc w:val="left"/>
      <w:lvlText w:val="(%1)"/>
      <w:numFmt w:val="decimal"/>
      <w:start w:val="1"/>
    </w:lvl>
  </w:abstractNum>
  <w:abstractNum w:abstractNumId="11">
    <w:nsid w:val="5FB8011C"/>
    <w:multiLevelType w:val="hybridMultilevel"/>
    <w:lvl w:ilvl="0">
      <w:lvlJc w:val="left"/>
      <w:lvlText w:val="(%1)"/>
      <w:numFmt w:val="decimal"/>
      <w:start w:val="1"/>
    </w:lvl>
  </w:abstractNum>
  <w:abstractNum w:abstractNumId="12">
    <w:nsid w:val="6AA78F7F"/>
    <w:multiLevelType w:val="hybridMultilevel"/>
    <w:lvl w:ilvl="0">
      <w:lvlJc w:val="left"/>
      <w:lvlText w:val="(%1)"/>
      <w:numFmt w:val="decimal"/>
      <w:start w:val="1"/>
    </w:lvl>
  </w:abstractNum>
  <w:abstractNum w:abstractNumId="13">
    <w:nsid w:val="7672BD23"/>
    <w:multiLevelType w:val="hybridMultilevel"/>
    <w:lvl w:ilvl="0">
      <w:lvlJc w:val="left"/>
      <w:lvlText w:val="(%1)"/>
      <w:numFmt w:val="decimal"/>
      <w:start w:val="4"/>
    </w:lvl>
  </w:abstractNum>
  <w:abstractNum w:abstractNumId="14">
    <w:nsid w:val="6FC75AF8"/>
    <w:multiLevelType w:val="hybridMultilevel"/>
    <w:lvl w:ilvl="0">
      <w:lvlJc w:val="left"/>
      <w:lvlText w:val="(%1)"/>
      <w:numFmt w:val="decimal"/>
      <w:start w:val="2"/>
    </w:lvl>
  </w:abstractNum>
  <w:abstractNum w:abstractNumId="15">
    <w:nsid w:val="6A5F7029"/>
    <w:multiLevelType w:val="hybridMultilevel"/>
    <w:lvl w:ilvl="0">
      <w:lvlJc w:val="left"/>
      <w:lvlText w:val="(%1)"/>
      <w:numFmt w:val="decimal"/>
      <w:start w:val="1"/>
    </w:lvl>
  </w:abstractNum>
  <w:abstractNum w:abstractNumId="16">
    <w:nsid w:val="7D5E18F8"/>
    <w:multiLevelType w:val="hybridMultilevel"/>
    <w:lvl w:ilvl="0">
      <w:lvlJc w:val="left"/>
      <w:lvlText w:val="(%1)"/>
      <w:numFmt w:val="decimal"/>
      <w:start w:val="1"/>
    </w:lvl>
    <w:lvl w:ilvl="1">
      <w:lvlJc w:val="left"/>
      <w:lvlText w:val="(%2)"/>
      <w:numFmt w:val="lowerLetter"/>
      <w:start w:val="3"/>
    </w:lvl>
  </w:abstractNum>
  <w:abstractNum w:abstractNumId="17">
    <w:nsid w:val="5F3534A4"/>
    <w:multiLevelType w:val="hybridMultilevel"/>
    <w:lvl w:ilvl="0">
      <w:lvlJc w:val="left"/>
      <w:lvlText w:val="(%1)"/>
      <w:numFmt w:val="decimal"/>
      <w:start w:val="1"/>
    </w:lvl>
  </w:abstractNum>
  <w:abstractNum w:abstractNumId="18">
    <w:nsid w:val="73A1821B"/>
    <w:multiLevelType w:val="hybridMultilevel"/>
    <w:lvl w:ilvl="0">
      <w:lvlJc w:val="left"/>
      <w:lvlText w:val="(%1)"/>
      <w:numFmt w:val="decimal"/>
      <w:start w:val="1"/>
    </w:lvl>
  </w:abstractNum>
  <w:abstractNum w:abstractNumId="19">
    <w:nsid w:val="7DE67713"/>
    <w:multiLevelType w:val="hybridMultilevel"/>
    <w:lvl w:ilvl="0">
      <w:lvlJc w:val="left"/>
      <w:lvlText w:val="(%1)"/>
      <w:numFmt w:val="decimal"/>
      <w:start w:val="1"/>
    </w:lvl>
  </w:abstractNum>
  <w:abstractNum w:abstractNumId="20">
    <w:nsid w:val="555C55B5"/>
    <w:multiLevelType w:val="hybridMultilevel"/>
    <w:lvl w:ilvl="0">
      <w:lvlJc w:val="left"/>
      <w:lvlText w:val="%1"/>
      <w:numFmt w:val="lowerLetter"/>
      <w:start w:val="1"/>
    </w:lvl>
    <w:lvl w:ilvl="1">
      <w:lvlJc w:val="left"/>
      <w:lvlText w:val="(%2)"/>
      <w:numFmt w:val="decimal"/>
      <w:start w:val="2"/>
    </w:lvl>
  </w:abstractNum>
  <w:abstractNum w:abstractNumId="21">
    <w:nsid w:val="3FA62ACA"/>
    <w:multiLevelType w:val="hybridMultilevel"/>
    <w:lvl w:ilvl="0">
      <w:lvlJc w:val="left"/>
      <w:lvlText w:val="(%1)"/>
      <w:numFmt w:val="lowerLetter"/>
      <w:start w:val="1"/>
    </w:lvl>
    <w:lvl w:ilvl="1">
      <w:lvlJc w:val="left"/>
      <w:lvlText w:val="(%2)"/>
      <w:numFmt w:val="decimal"/>
      <w:start w:val="3"/>
    </w:lvl>
  </w:abstractNum>
  <w:abstractNum w:abstractNumId="22">
    <w:nsid w:val="14FCE74E"/>
    <w:multiLevelType w:val="hybridMultilevel"/>
    <w:lvl w:ilvl="0">
      <w:lvlJc w:val="left"/>
      <w:lvlText w:val="(%1)"/>
      <w:numFmt w:val="decimal"/>
      <w:start w:val="1"/>
    </w:lvl>
  </w:abstractNum>
  <w:abstractNum w:abstractNumId="23">
    <w:nsid w:val="6A3DD3E8"/>
    <w:multiLevelType w:val="hybridMultilevel"/>
    <w:lvl w:ilvl="0">
      <w:lvlJc w:val="left"/>
      <w:lvlText w:val="(%1)"/>
      <w:numFmt w:val="decimal"/>
      <w:start w:val="2"/>
    </w:lvl>
  </w:abstractNum>
  <w:abstractNum w:abstractNumId="24">
    <w:nsid w:val="71C91298"/>
    <w:multiLevelType w:val="hybridMultilevel"/>
    <w:lvl w:ilvl="0">
      <w:lvlJc w:val="left"/>
      <w:lvlText w:val="(%1)"/>
      <w:numFmt w:val="decimal"/>
      <w:start w:val="1"/>
    </w:lvl>
  </w:abstractNum>
  <w:abstractNum w:abstractNumId="25">
    <w:nsid w:val="9DAF632"/>
    <w:multiLevelType w:val="hybridMultilevel"/>
    <w:lvl w:ilvl="0">
      <w:lvlJc w:val="left"/>
      <w:lvlText w:val="(%1)"/>
      <w:numFmt w:val="decimal"/>
      <w:start w:val="1"/>
    </w:lvl>
  </w:abstractNum>
  <w:abstractNum w:abstractNumId="26">
    <w:nsid w:val="53299938"/>
    <w:multiLevelType w:val="hybridMultilevel"/>
    <w:lvl w:ilvl="0">
      <w:lvlJc w:val="left"/>
      <w:lvlText w:val="(%1)"/>
      <w:numFmt w:val="decimal"/>
      <w:start w:val="5"/>
    </w:lvl>
  </w:abstractNum>
  <w:abstractNum w:abstractNumId="27">
    <w:nsid w:val="1FBFE8E0"/>
    <w:multiLevelType w:val="hybridMultilevel"/>
    <w:lvl w:ilvl="0">
      <w:lvlJc w:val="left"/>
      <w:lvlText w:val="(%1)"/>
      <w:numFmt w:val="lowerLetter"/>
      <w:start w:val="1"/>
    </w:lvl>
  </w:abstractNum>
  <w:abstractNum w:abstractNumId="28">
    <w:nsid w:val="5092CA79"/>
    <w:multiLevelType w:val="hybridMultilevel"/>
    <w:lvl w:ilvl="0">
      <w:lvlJc w:val="left"/>
      <w:lvlText w:val="(%1)"/>
      <w:numFmt w:val="lowerLetter"/>
      <w:start w:val="2"/>
    </w:lvl>
    <w:lvl w:ilvl="1">
      <w:lvlJc w:val="left"/>
      <w:lvlText w:val="(%2)"/>
      <w:numFmt w:val="decimal"/>
      <w:start w:val="1"/>
    </w:lvl>
  </w:abstractNum>
  <w:abstractNum w:abstractNumId="29">
    <w:nsid w:val="1D545C4D"/>
    <w:multiLevelType w:val="hybridMultilevel"/>
    <w:lvl w:ilvl="0">
      <w:lvlJc w:val="left"/>
      <w:lvlText w:val="(%1)"/>
      <w:numFmt w:val="lowerLetter"/>
      <w:start w:val="4"/>
    </w:lvl>
  </w:abstractNum>
  <w:abstractNum w:abstractNumId="30">
    <w:nsid w:val="59ADEA3D"/>
    <w:multiLevelType w:val="hybridMultilevel"/>
    <w:lvl w:ilvl="0">
      <w:lvlJc w:val="left"/>
      <w:lvlText w:val="(%1)"/>
      <w:numFmt w:val="lowerLetter"/>
      <w:start w:val="1"/>
    </w:lvl>
    <w:lvl w:ilvl="1">
      <w:lvlJc w:val="left"/>
      <w:lvlText w:val="(%2)"/>
      <w:numFmt w:val="decimal"/>
      <w:start w:val="1"/>
    </w:lvl>
  </w:abstractNum>
  <w:abstractNum w:abstractNumId="31">
    <w:nsid w:val="288F1A34"/>
    <w:multiLevelType w:val="hybridMultilevel"/>
    <w:lvl w:ilvl="0">
      <w:lvlJc w:val="left"/>
      <w:lvlText w:val="(%1)"/>
      <w:numFmt w:val="decimal"/>
      <w:start w:val="3"/>
    </w:lvl>
  </w:abstractNum>
  <w:abstractNum w:abstractNumId="32">
    <w:nsid w:val="2A155DB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33">
    <w:nsid w:val="1D9F6E5F"/>
    <w:multiLevelType w:val="hybridMultilevel"/>
    <w:lvl w:ilvl="0">
      <w:lvlJc w:val="left"/>
      <w:lvlText w:val="%1"/>
      <w:numFmt w:val="upperLetter"/>
      <w:start w:val="1"/>
    </w:lvl>
    <w:lvl w:ilvl="1">
      <w:lvlJc w:val="left"/>
      <w:lvlText w:val="(%2)"/>
      <w:numFmt w:val="lowerRoman"/>
      <w:start w:val="2"/>
    </w:lvl>
  </w:abstractNum>
  <w:abstractNum w:abstractNumId="34">
    <w:nsid w:val="97E1B4E"/>
    <w:multiLevelType w:val="hybridMultilevel"/>
    <w:lvl w:ilvl="0">
      <w:lvlJc w:val="left"/>
      <w:lvlText w:val="(%1)"/>
      <w:numFmt w:val="upperLetter"/>
      <w:start w:val="2"/>
    </w:lvl>
    <w:lvl w:ilvl="1">
      <w:lvlJc w:val="left"/>
      <w:lvlText w:val="(%2)"/>
      <w:numFmt w:val="lowerRoman"/>
      <w:start w:val="1"/>
    </w:lvl>
  </w:abstractNum>
  <w:abstractNum w:abstractNumId="35">
    <w:nsid w:val="51088277"/>
    <w:multiLevelType w:val="hybridMultilevel"/>
    <w:lvl w:ilvl="0">
      <w:lvlJc w:val="left"/>
      <w:lvlText w:val="(%1)"/>
      <w:numFmt w:val="decimal"/>
      <w:start w:val="3"/>
    </w:lvl>
    <w:lvl w:ilvl="1">
      <w:lvlJc w:val="left"/>
      <w:lvlText w:val="(%2)"/>
      <w:numFmt w:val="upperLetter"/>
      <w:start w:val="1"/>
    </w:lvl>
  </w:abstractNum>
  <w:abstractNum w:abstractNumId="36">
    <w:nsid w:val="1CA0C5FA"/>
    <w:multiLevelType w:val="hybridMultilevel"/>
    <w:lvl w:ilvl="0">
      <w:lvlJc w:val="left"/>
      <w:lvlText w:val="(%1)"/>
      <w:numFmt w:val="decimal"/>
      <w:start w:val="4"/>
    </w:lvl>
    <w:lvl w:ilvl="1">
      <w:lvlJc w:val="left"/>
      <w:lvlText w:val="(%2)"/>
      <w:numFmt w:val="upperLetter"/>
      <w:start w:val="1"/>
    </w:lvl>
  </w:abstractNum>
  <w:abstractNum w:abstractNumId="37">
    <w:nsid w:val="53584BC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8">
    <w:nsid w:val="415E286C"/>
    <w:multiLevelType w:val="hybridMultilevel"/>
    <w:lvl w:ilvl="0">
      <w:lvlJc w:val="left"/>
      <w:lvlText w:val="(%1)"/>
      <w:numFmt w:val="upperLetter"/>
      <w:start w:val="2"/>
    </w:lvl>
  </w:abstractNum>
  <w:abstractNum w:abstractNumId="39">
    <w:nsid w:val="7C58FD05"/>
    <w:multiLevelType w:val="hybridMultilevel"/>
    <w:lvl w:ilvl="0">
      <w:lvlJc w:val="left"/>
      <w:lvlText w:val="(%1)"/>
      <w:numFmt w:val="decimal"/>
      <w:start w:val="2"/>
    </w:lvl>
  </w:abstractNum>
  <w:abstractNum w:abstractNumId="40">
    <w:nsid w:val="23D86AAC"/>
    <w:multiLevelType w:val="hybridMultilevel"/>
    <w:lvl w:ilvl="0">
      <w:lvlJc w:val="left"/>
      <w:lvlText w:val="(%1)"/>
      <w:numFmt w:val="decimal"/>
      <w:start w:val="3"/>
    </w:lvl>
    <w:lvl w:ilvl="1">
      <w:lvlJc w:val="left"/>
      <w:lvlText w:val="(%2)"/>
      <w:numFmt w:val="lowerRoman"/>
      <w:start w:val="1"/>
    </w:lvl>
  </w:abstractNum>
  <w:abstractNum w:abstractNumId="41">
    <w:nsid w:val="45E6D486"/>
    <w:multiLevelType w:val="hybridMultilevel"/>
    <w:lvl w:ilvl="0">
      <w:lvlJc w:val="left"/>
      <w:lvlText w:val="%1"/>
      <w:numFmt w:val="lowerLetter"/>
      <w:start w:val="1"/>
    </w:lvl>
    <w:lvl w:ilvl="1">
      <w:lvlJc w:val="left"/>
      <w:lvlText w:val="(%2)"/>
      <w:numFmt w:val="decimal"/>
      <w:start w:val="4"/>
    </w:lvl>
  </w:abstractNum>
  <w:abstractNum w:abstractNumId="42">
    <w:nsid w:val="5C10FE21"/>
    <w:multiLevelType w:val="hybridMultilevel"/>
    <w:lvl w:ilvl="0">
      <w:lvlJc w:val="left"/>
      <w:lvlText w:val="(%1)"/>
      <w:numFmt w:val="lowerLetter"/>
      <w:start w:val="4"/>
    </w:lvl>
    <w:lvl w:ilvl="1">
      <w:lvlJc w:val="left"/>
      <w:lvlText w:val="(%2)"/>
      <w:numFmt w:val="decimal"/>
      <w:start w:val="1"/>
    </w:lvl>
  </w:abstractNum>
  <w:abstractNum w:abstractNumId="43">
    <w:nsid w:val="E7FFA2B"/>
    <w:multiLevelType w:val="hybridMultilevel"/>
    <w:lvl w:ilvl="0">
      <w:lvlJc w:val="left"/>
      <w:lvlText w:val="(%1)"/>
      <w:numFmt w:val="upperLetter"/>
      <w:start w:val="1"/>
    </w:lvl>
  </w:abstractNum>
  <w:abstractNum w:abstractNumId="44">
    <w:nsid w:val="3C5991AA"/>
    <w:multiLevelType w:val="hybridMultilevel"/>
    <w:lvl w:ilvl="0">
      <w:lvlJc w:val="left"/>
      <w:lvlText w:val="(%1)"/>
      <w:numFmt w:val="decimal"/>
      <w:start w:val="2"/>
    </w:lvl>
    <w:lvl w:ilvl="1">
      <w:lvlJc w:val="left"/>
      <w:lvlText w:val="(%2)"/>
      <w:numFmt w:val="upperLetter"/>
      <w:start w:val="1"/>
    </w:lvl>
  </w:abstractNum>
  <w:abstractNum w:abstractNumId="45">
    <w:nsid w:val="4BD8591A"/>
    <w:multiLevelType w:val="hybridMultilevel"/>
    <w:lvl w:ilvl="0">
      <w:lvlJc w:val="left"/>
      <w:lvlText w:val="(%1)"/>
      <w:numFmt w:val="decimal"/>
      <w:start w:val="3"/>
    </w:lvl>
  </w:abstractNum>
  <w:abstractNum w:abstractNumId="46">
    <w:nsid w:val="78DF6A55"/>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39B7AAA2"/>
    <w:multiLevelType w:val="hybridMultilevel"/>
    <w:lvl w:ilvl="0">
      <w:lvlJc w:val="left"/>
      <w:lvlText w:val="%1"/>
      <w:numFmt w:val="decimal"/>
      <w:start w:val="1"/>
    </w:lvl>
    <w:lvl w:ilvl="1">
      <w:lvlJc w:val="left"/>
      <w:lvlText w:val="(%2)"/>
      <w:numFmt w:val="upperLetter"/>
      <w:start w:val="3"/>
    </w:lvl>
  </w:abstractNum>
  <w:abstractNum w:abstractNumId="48">
    <w:nsid w:val="2B0D8DBE"/>
    <w:multiLevelType w:val="hybridMultilevel"/>
    <w:lvl w:ilvl="0">
      <w:lvlJc w:val="left"/>
      <w:lvlText w:val="(%1)"/>
      <w:numFmt w:val="decimal"/>
      <w:start w:val="2"/>
    </w:lvl>
    <w:lvl w:ilvl="1">
      <w:lvlJc w:val="left"/>
      <w:lvlText w:val="(%2)"/>
      <w:numFmt w:val="upperLetter"/>
      <w:start w:val="1"/>
    </w:lvl>
  </w:abstractNum>
  <w:abstractNum w:abstractNumId="49">
    <w:nsid w:val="6C80EC70"/>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upperLetter"/>
      <w:start w:val="1"/>
    </w:lvl>
  </w:abstractNum>
  <w:abstractNum w:abstractNumId="50">
    <w:nsid w:val="379E21B5"/>
    <w:multiLevelType w:val="hybridMultilevel"/>
    <w:lvl w:ilvl="0">
      <w:lvlJc w:val="left"/>
      <w:lvlText w:val="(%1)"/>
      <w:numFmt w:val="lowerLetter"/>
      <w:start w:val="6"/>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51">
    <w:nsid w:val="69E373"/>
    <w:multiLevelType w:val="hybridMultilevel"/>
    <w:lvl w:ilvl="0">
      <w:lvlJc w:val="left"/>
      <w:lvlText w:val="(%1)"/>
      <w:numFmt w:val="upperLetter"/>
      <w:start w:val="2"/>
    </w:lvl>
  </w:abstractNum>
  <w:abstractNum w:abstractNumId="52">
    <w:nsid w:val="2C27173B"/>
    <w:multiLevelType w:val="hybridMultilevel"/>
    <w:lvl w:ilvl="0">
      <w:lvlJc w:val="left"/>
      <w:lvlText w:val="(%1)"/>
      <w:numFmt w:val="lowerLetter"/>
      <w:start w:val="7"/>
    </w:lvl>
  </w:abstractNum>
  <w:abstractNum w:abstractNumId="53">
    <w:nsid w:val="4C9B0904"/>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4">
    <w:nsid w:val="6AA7B75C"/>
    <w:multiLevelType w:val="hybridMultilevel"/>
    <w:lvl w:ilvl="0">
      <w:lvlJc w:val="left"/>
      <w:lvlText w:val="(%1)"/>
      <w:numFmt w:val="decimal"/>
      <w:start w:val="7"/>
    </w:lvl>
  </w:abstractNum>
  <w:abstractNum w:abstractNumId="55">
    <w:nsid w:val="1DF029D3"/>
    <w:multiLevelType w:val="hybridMultilevel"/>
    <w:lvl w:ilvl="0">
      <w:lvlJc w:val="left"/>
      <w:lvlText w:val="(%1)"/>
      <w:numFmt w:val="lowerLetter"/>
      <w:start w:val="1"/>
    </w:lvl>
  </w:abstractNum>
  <w:abstractNum w:abstractNumId="56">
    <w:nsid w:val="5675FF36"/>
    <w:multiLevelType w:val="hybridMultilevel"/>
    <w:lvl w:ilvl="0">
      <w:lvlJc w:val="left"/>
      <w:lvlText w:val="(%1)"/>
      <w:numFmt w:val="lowerLetter"/>
      <w:start w:val="1"/>
    </w:lvl>
  </w:abstractNum>
  <w:abstractNum w:abstractNumId="57">
    <w:nsid w:val="3DD15094"/>
    <w:multiLevelType w:val="hybridMultilevel"/>
    <w:lvl w:ilvl="0">
      <w:lvlJc w:val="left"/>
      <w:lvlText w:val="(%1)"/>
      <w:numFmt w:val="lowerLetter"/>
      <w:start w:val="1"/>
    </w:lvl>
  </w:abstractNum>
  <w:abstractNum w:abstractNumId="58">
    <w:nsid w:val="3DB012B3"/>
    <w:multiLevelType w:val="hybridMultilevel"/>
    <w:lvl w:ilvl="0">
      <w:lvlJc w:val="left"/>
      <w:lvlText w:val="(%1)"/>
      <w:numFmt w:val="lowerLetter"/>
      <w:start w:val="1"/>
    </w:lvl>
  </w:abstractNum>
  <w:abstractNum w:abstractNumId="59">
    <w:nsid w:val="2708C9AF"/>
    <w:multiLevelType w:val="hybridMultilevel"/>
    <w:lvl w:ilvl="0">
      <w:lvlJc w:val="left"/>
      <w:lvlText w:val="(%1)"/>
      <w:numFmt w:val="lowerLetter"/>
      <w:start w:val="1"/>
    </w:lvl>
    <w:lvl w:ilvl="1">
      <w:lvlJc w:val="left"/>
      <w:lvlText w:val="(%2)"/>
      <w:numFmt w:val="decimal"/>
      <w:start w:val="1"/>
    </w:lvl>
  </w:abstractNum>
  <w:abstractNum w:abstractNumId="60">
    <w:nsid w:val="5B25ACE2"/>
    <w:multiLevelType w:val="hybridMultilevel"/>
    <w:lvl w:ilvl="0">
      <w:lvlJc w:val="left"/>
      <w:lvlText w:val="(%1)"/>
      <w:numFmt w:val="lowerLetter"/>
      <w:start w:val="2"/>
    </w:lvl>
  </w:abstractNum>
  <w:abstractNum w:abstractNumId="61">
    <w:nsid w:val="175DFCF0"/>
    <w:multiLevelType w:val="hybridMultilevel"/>
    <w:lvl w:ilvl="0">
      <w:lvlJc w:val="left"/>
      <w:lvlText w:val="(%1)"/>
      <w:numFmt w:val="lowerLetter"/>
      <w:start w:val="1"/>
    </w:lvl>
    <w:lvl w:ilvl="1">
      <w:lvlJc w:val="left"/>
      <w:lvlText w:val="(%2)"/>
      <w:numFmt w:val="decimal"/>
      <w:start w:val="1"/>
    </w:lvl>
  </w:abstractNum>
  <w:abstractNum w:abstractNumId="62">
    <w:nsid w:val="4F97E3E4"/>
    <w:multiLevelType w:val="hybridMultilevel"/>
    <w:lvl w:ilvl="0">
      <w:lvlJc w:val="left"/>
      <w:lvlText w:val="(%1)"/>
      <w:numFmt w:val="decimal"/>
      <w:start w:val="1"/>
    </w:lvl>
    <w:lvl w:ilvl="1">
      <w:lvlJc w:val="left"/>
      <w:lvlText w:val="(%2)"/>
      <w:numFmt w:val="upperLetter"/>
      <w:start w:val="1"/>
    </w:lvl>
  </w:abstractNum>
  <w:abstractNum w:abstractNumId="63">
    <w:nsid w:val="53B0A9E"/>
    <w:multiLevelType w:val="hybridMultilevel"/>
    <w:lvl w:ilvl="0">
      <w:lvlJc w:val="left"/>
      <w:lvlText w:val="(%1)"/>
      <w:numFmt w:val="lowerLetter"/>
      <w:start w:val="1"/>
    </w:lvl>
  </w:abstractNum>
  <w:abstractNum w:abstractNumId="64">
    <w:nsid w:val="34FD6B4F"/>
    <w:multiLevelType w:val="hybridMultilevel"/>
    <w:lvl w:ilvl="0">
      <w:lvlJc w:val="left"/>
      <w:lvlText w:val="(%1)"/>
      <w:numFmt w:val="lowerLetter"/>
      <w:start w:val="1"/>
    </w:lvl>
  </w:abstractNum>
  <w:abstractNum w:abstractNumId="65">
    <w:nsid w:val="5915FF32"/>
    <w:multiLevelType w:val="hybridMultilevel"/>
    <w:lvl w:ilvl="0">
      <w:lvlJc w:val="left"/>
      <w:lvlText w:val="(%1)"/>
      <w:numFmt w:val="lowerLetter"/>
      <w:start w:val="3"/>
    </w:lvl>
  </w:abstractNum>
  <w:abstractNum w:abstractNumId="66">
    <w:nsid w:val="56438D15"/>
    <w:multiLevelType w:val="hybridMultilevel"/>
    <w:lvl w:ilvl="0">
      <w:lvlJc w:val="left"/>
      <w:lvlText w:val="(%1)"/>
      <w:numFmt w:val="lowerLetter"/>
      <w:start w:val="1"/>
    </w:lvl>
  </w:abstractNum>
  <w:abstractNum w:abstractNumId="67">
    <w:nsid w:val="519E3149"/>
    <w:multiLevelType w:val="hybridMultilevel"/>
    <w:lvl w:ilvl="0">
      <w:lvlJc w:val="left"/>
      <w:lvlText w:val="(%1)"/>
      <w:numFmt w:val="decimal"/>
      <w:start w:val="3"/>
    </w:lvl>
  </w:abstractNum>
  <w:abstractNum w:abstractNumId="68">
    <w:nsid w:val="2C6E4AFD"/>
    <w:multiLevelType w:val="hybridMultilevel"/>
    <w:lvl w:ilvl="0">
      <w:lvlJc w:val="left"/>
      <w:lvlText w:val="(%1)"/>
      <w:numFmt w:val="lowerLetter"/>
      <w:start w:val="1"/>
    </w:lvl>
  </w:abstractNum>
  <w:abstractNum w:abstractNumId="69">
    <w:nsid w:val="17A1B582"/>
    <w:multiLevelType w:val="hybridMultilevel"/>
    <w:lvl w:ilvl="0">
      <w:lvlJc w:val="left"/>
      <w:lvlText w:val="(%1)"/>
      <w:numFmt w:val="decimal"/>
      <w:start w:val="1"/>
    </w:lvl>
  </w:abstractNum>
  <w:abstractNum w:abstractNumId="70">
    <w:nsid w:val="4DF72E4E"/>
    <w:multiLevelType w:val="hybridMultilevel"/>
    <w:lvl w:ilvl="0">
      <w:lvlJc w:val="left"/>
      <w:lvlText w:val="(%1)"/>
      <w:numFmt w:val="lowerLetter"/>
      <w:start w:val="1"/>
    </w:lvl>
  </w:abstractNum>
  <w:abstractNum w:abstractNumId="71">
    <w:nsid w:val="5046B5A9"/>
    <w:multiLevelType w:val="hybridMultilevel"/>
    <w:lvl w:ilvl="0">
      <w:lvlJc w:val="left"/>
      <w:lvlText w:val="(%1)"/>
      <w:numFmt w:val="lowerLetter"/>
      <w:start w:val="7"/>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lowerLetter"/>
      <w:start w:val="1"/>
    </w:lvl>
  </w:abstractNum>
  <w:abstractNum w:abstractNumId="75">
    <w:nsid w:val="19E21BB2"/>
    <w:multiLevelType w:val="hybridMultilevel"/>
    <w:lvl w:ilvl="0">
      <w:lvlJc w:val="left"/>
      <w:lvlText w:val="(%1)"/>
      <w:numFmt w:val="lowerLetter"/>
      <w:start w:val="1"/>
    </w:lvl>
    <w:lvl w:ilvl="1">
      <w:lvlJc w:val="left"/>
      <w:lvlText w:val="(%2)"/>
      <w:numFmt w:val="decimal"/>
      <w:start w:val="1"/>
    </w:lvl>
  </w:abstractNum>
  <w:abstractNum w:abstractNumId="76">
    <w:nsid w:val="75E0858A"/>
    <w:multiLevelType w:val="hybridMultilevel"/>
    <w:lvl w:ilvl="0">
      <w:lvlJc w:val="left"/>
      <w:lvlText w:val="(%1)"/>
      <w:numFmt w:val="lowerLetter"/>
      <w:start w:val="2"/>
    </w:lvl>
    <w:lvl w:ilvl="1">
      <w:lvlJc w:val="left"/>
      <w:lvlText w:val="(%2)"/>
      <w:numFmt w:val="decimal"/>
      <w:start w:val="1"/>
    </w:lvl>
  </w:abstractNum>
  <w:abstractNum w:abstractNumId="77">
    <w:nsid w:val="57A61A29"/>
    <w:multiLevelType w:val="hybridMultilevel"/>
    <w:lvl w:ilvl="0">
      <w:lvlJc w:val="left"/>
      <w:lvlText w:val="(%1)"/>
      <w:numFmt w:val="lowerLetter"/>
      <w:start w:val="3"/>
    </w:lvl>
  </w:abstractNum>
  <w:abstractNum w:abstractNumId="78">
    <w:nsid w:val="5399C6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9">
    <w:nsid w:val="20EE134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80">
    <w:nsid w:val="4427069A"/>
    <w:multiLevelType w:val="hybridMultilevel"/>
    <w:lvl w:ilvl="0">
      <w:lvlJc w:val="left"/>
      <w:lvlText w:val="(%1)"/>
      <w:numFmt w:val="decimal"/>
      <w:start w:val="2"/>
    </w:lvl>
  </w:abstractNum>
  <w:abstractNum w:abstractNumId="81">
    <w:nsid w:val="B37E80A"/>
    <w:multiLevelType w:val="hybridMultilevel"/>
    <w:lvl w:ilvl="0">
      <w:lvlJc w:val="left"/>
      <w:lvlText w:val="(%1)"/>
      <w:numFmt w:val="lowerLetter"/>
      <w:start w:val="1"/>
    </w:lvl>
  </w:abstractNum>
  <w:abstractNum w:abstractNumId="82">
    <w:nsid w:val="2157F6BC"/>
    <w:multiLevelType w:val="hybridMultilevel"/>
    <w:lvl w:ilvl="0">
      <w:lvlJc w:val="left"/>
      <w:lvlText w:val="%1"/>
      <w:numFmt w:val="lowerLetter"/>
      <w:start w:val="1"/>
    </w:lvl>
    <w:lvl w:ilvl="1">
      <w:lvlJc w:val="left"/>
      <w:lvlText w:val="(%2)"/>
      <w:numFmt w:val="decimal"/>
      <w:start w:val="1"/>
    </w:lvl>
  </w:abstractNum>
  <w:abstractNum w:abstractNumId="83">
    <w:nsid w:val="704E1DD5"/>
    <w:multiLevelType w:val="hybridMultilevel"/>
    <w:lvl w:ilvl="0">
      <w:lvlJc w:val="left"/>
      <w:lvlText w:val="(%1)"/>
      <w:numFmt w:val="lowerLetter"/>
      <w:start w:val="4"/>
    </w:lvl>
    <w:lvl w:ilvl="1">
      <w:lvlJc w:val="left"/>
      <w:lvlText w:val="(%2)"/>
      <w:numFmt w:val="decimal"/>
      <w:start w:val="1"/>
    </w:lvl>
  </w:abstractNum>
  <w:abstractNum w:abstractNumId="84">
    <w:nsid w:val="57D2F10E"/>
    <w:multiLevelType w:val="hybridMultilevel"/>
    <w:lvl w:ilvl="0">
      <w:lvlJc w:val="left"/>
      <w:lvlText w:val="(%1)"/>
      <w:numFmt w:val="decimal"/>
      <w:start w:val="1"/>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lvl w:ilvl="1">
      <w:lvlJc w:val="left"/>
      <w:lvlText w:val="(%2)"/>
      <w:numFmt w:val="decimal"/>
      <w:start w:val="1"/>
    </w:lvl>
  </w:abstractNum>
  <w:abstractNum w:abstractNumId="87">
    <w:nsid w:val="2E48F044"/>
    <w:multiLevelType w:val="hybridMultilevel"/>
    <w:lvl w:ilvl="0">
      <w:lvlJc w:val="left"/>
      <w:lvlText w:val="(%1)"/>
      <w:numFmt w:val="lowerLetter"/>
      <w:start w:val="3"/>
    </w:lvl>
    <w:lvl w:ilvl="1">
      <w:lvlJc w:val="left"/>
      <w:lvlText w:val="(%2)"/>
      <w:numFmt w:val="decimal"/>
      <w:start w:val="1"/>
    </w:lvl>
  </w:abstractNum>
  <w:abstractNum w:abstractNumId="88">
    <w:nsid w:val="49D0FEAC"/>
    <w:multiLevelType w:val="hybridMultilevel"/>
    <w:lvl w:ilvl="0">
      <w:lvlJc w:val="left"/>
      <w:lvlText w:val="(%1)"/>
      <w:numFmt w:val="lowerLetter"/>
      <w:start w:val="7"/>
    </w:lvl>
  </w:abstractNum>
  <w:abstractNum w:abstractNumId="89">
    <w:nsid w:val="4BEE5A5B"/>
    <w:multiLevelType w:val="hybridMultilevel"/>
    <w:lvl w:ilvl="0">
      <w:lvlJc w:val="left"/>
      <w:lvlText w:val="(%1)"/>
      <w:numFmt w:val="lowerLetter"/>
      <w:start w:val="10"/>
    </w:lvl>
  </w:abstractNum>
  <w:abstractNum w:abstractNumId="90">
    <w:nsid w:val="5551B9F3"/>
    <w:multiLevelType w:val="hybridMultilevel"/>
    <w:lvl w:ilvl="0">
      <w:lvlJc w:val="left"/>
      <w:lvlText w:val="(%1)"/>
      <w:numFmt w:val="lowerLetter"/>
      <w:start w:val="15"/>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3"/>
    </w:lvl>
  </w:abstractNum>
  <w:abstractNum w:abstractNumId="93">
    <w:nsid w:val="24E99DD7"/>
    <w:multiLevelType w:val="hybridMultilevel"/>
    <w:lvl w:ilvl="0">
      <w:lvlJc w:val="left"/>
      <w:lvlText w:val="(%1)"/>
      <w:numFmt w:val="lowerLetter"/>
      <w:start w:val="1"/>
    </w:lvl>
    <w:lvl w:ilvl="1">
      <w:lvlJc w:val="left"/>
      <w:lvlText w:val="(%2)"/>
      <w:numFmt w:val="decimal"/>
      <w:start w:val="1"/>
    </w:lvl>
  </w:abstractNum>
  <w:abstractNum w:abstractNumId="94">
    <w:nsid w:val="2A31B62D"/>
    <w:multiLevelType w:val="hybridMultilevel"/>
    <w:lvl w:ilvl="0">
      <w:lvlJc w:val="left"/>
      <w:lvlText w:val="(%1)"/>
      <w:numFmt w:val="lowerLetter"/>
      <w:start w:val="4"/>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1)"/>
      <w:numFmt w:val="lowerLetter"/>
      <w:start w:val="1"/>
    </w:lvl>
  </w:abstractNum>
  <w:abstractNum w:abstractNumId="97">
    <w:nsid w:val="754342"/>
    <w:multiLevelType w:val="hybridMultilevel"/>
    <w:lvl w:ilvl="0">
      <w:lvlJc w:val="left"/>
      <w:lvlText w:val="(%1)"/>
      <w:numFmt w:val="lowerLetter"/>
      <w:start w:val="6"/>
    </w:lvl>
  </w:abstractNum>
  <w:abstractNum w:abstractNumId="98">
    <w:nsid w:val="69E7F3E5"/>
    <w:multiLevelType w:val="hybridMultilevel"/>
    <w:lvl w:ilvl="0">
      <w:lvlJc w:val="left"/>
      <w:lvlText w:val="(%1)"/>
      <w:numFmt w:val="lowerLetter"/>
      <w:start w:val="1"/>
    </w:lvl>
  </w:abstractNum>
  <w:abstractNum w:abstractNumId="99">
    <w:nsid w:val="2A6DE806"/>
    <w:multiLevelType w:val="hybridMultilevel"/>
    <w:lvl w:ilvl="0">
      <w:lvlJc w:val="left"/>
      <w:lvlText w:val="(%1)"/>
      <w:numFmt w:val="lowerLetter"/>
      <w:start w:val="4"/>
    </w:lvl>
  </w:abstractNum>
  <w:abstractNum w:abstractNumId="100">
    <w:nsid w:val="1816F8C4"/>
    <w:multiLevelType w:val="hybridMultilevel"/>
    <w:lvl w:ilvl="0">
      <w:lvlJc w:val="left"/>
      <w:lvlText w:val="(%1)"/>
      <w:numFmt w:val="lowerLetter"/>
      <w:start w:val="1"/>
    </w:lvl>
  </w:abstractNum>
  <w:abstractNum w:abstractNumId="101">
    <w:nsid w:val="37DF2233"/>
    <w:multiLevelType w:val="hybridMultilevel"/>
    <w:lvl w:ilvl="0">
      <w:lvlJc w:val="left"/>
      <w:lvlText w:val="(%1)"/>
      <w:numFmt w:val="lowerLetter"/>
      <w:start w:val="4"/>
    </w:lvl>
  </w:abstractNum>
  <w:abstractNum w:abstractNumId="102">
    <w:nsid w:val="7AB49DAF"/>
    <w:multiLevelType w:val="hybridMultilevel"/>
    <w:lvl w:ilvl="0">
      <w:lvlJc w:val="left"/>
      <w:lvlText w:val="(%1)"/>
      <w:numFmt w:val="lowerLetter"/>
      <w:start w:val="1"/>
    </w:lvl>
  </w:abstractNum>
  <w:abstractNum w:abstractNumId="103">
    <w:nsid w:val="759F82CD"/>
    <w:multiLevelType w:val="hybridMultilevel"/>
    <w:lvl w:ilvl="0">
      <w:lvlJc w:val="left"/>
      <w:lvlText w:val="(%1)"/>
      <w:numFmt w:val="lowerLetter"/>
      <w:start w:val="2"/>
    </w:lvl>
  </w:abstractNum>
  <w:abstractNum w:abstractNumId="104">
    <w:nsid w:val="61E74EA3"/>
    <w:multiLevelType w:val="hybridMultilevel"/>
    <w:lvl w:ilvl="0">
      <w:lvlJc w:val="left"/>
      <w:lvlText w:val="(%1)"/>
      <w:numFmt w:val="lowerLetter"/>
      <w:start w:val="1"/>
    </w:lvl>
  </w:abstractNum>
  <w:abstractNum w:abstractNumId="105">
    <w:nsid w:val="597B4D8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06">
    <w:nsid w:val="F819E7F"/>
    <w:multiLevelType w:val="hybridMultilevel"/>
    <w:lvl w:ilvl="0">
      <w:lvlJc w:val="left"/>
      <w:lvlText w:val="(%1)"/>
      <w:numFmt w:val="decimal"/>
      <w:start w:val="2"/>
    </w:lvl>
    <w:lvl w:ilvl="1">
      <w:lvlJc w:val="left"/>
      <w:lvlText w:val="(%2)"/>
      <w:numFmt w:val="lowerLetter"/>
      <w:start w:val="3"/>
    </w:lvl>
    <w:lvl w:ilvl="2">
      <w:lvlJc w:val="left"/>
      <w:lvlText w:val="(%3)"/>
      <w:numFmt w:val="decimal"/>
      <w:start w:val="1"/>
    </w:lvl>
  </w:abstractNum>
  <w:abstractNum w:abstractNumId="107">
    <w:nsid w:val="57C7D42D"/>
    <w:multiLevelType w:val="hybridMultilevel"/>
    <w:lvl w:ilvl="0">
      <w:lvlJc w:val="left"/>
      <w:lvlText w:val="(%1)"/>
      <w:numFmt w:val="lowerLetter"/>
      <w:start w:val="1"/>
    </w:lvl>
  </w:abstractNum>
  <w:abstractNum w:abstractNumId="108">
    <w:nsid w:val="312167AD"/>
    <w:multiLevelType w:val="hybridMultilevel"/>
    <w:lvl w:ilvl="0">
      <w:lvlJc w:val="left"/>
      <w:lvlText w:val="(%1)"/>
      <w:numFmt w:val="lowerLetter"/>
      <w:start w:val="1"/>
    </w:lvl>
  </w:abstractNum>
  <w:abstractNum w:abstractNumId="109">
    <w:nsid w:val="631B64D4"/>
    <w:multiLevelType w:val="hybridMultilevel"/>
    <w:lvl w:ilvl="0">
      <w:lvlJc w:val="left"/>
      <w:lvlText w:val="(%1)"/>
      <w:numFmt w:val="lowerLetter"/>
      <w:start w:val="2"/>
    </w:lvl>
  </w:abstractNum>
  <w:abstractNum w:abstractNumId="110">
    <w:nsid w:val="78B5E776"/>
    <w:multiLevelType w:val="hybridMultilevel"/>
    <w:lvl w:ilvl="0">
      <w:lvlJc w:val="left"/>
      <w:lvlText w:val="(%1)"/>
      <w:numFmt w:val="lowerLetter"/>
      <w:start w:val="1"/>
    </w:lvl>
    <w:lvl w:ilvl="1">
      <w:lvlJc w:val="left"/>
      <w:lvlText w:val="(%2)"/>
      <w:numFmt w:val="decimal"/>
      <w:start w:val="1"/>
    </w:lvl>
  </w:abstractNum>
  <w:abstractNum w:abstractNumId="111">
    <w:nsid w:val="75486E47"/>
    <w:multiLevelType w:val="hybridMultilevel"/>
    <w:lvl w:ilvl="0">
      <w:lvlJc w:val="left"/>
      <w:lvlText w:val="(%1)"/>
      <w:numFmt w:val="lowerLetter"/>
      <w:start w:val="2"/>
    </w:lvl>
  </w:abstractNum>
  <w:abstractNum w:abstractNumId="112">
    <w:nsid w:val="6E534CDE"/>
    <w:multiLevelType w:val="hybridMultilevel"/>
    <w:lvl w:ilvl="0">
      <w:lvlJc w:val="left"/>
      <w:lvlText w:val="(%1)"/>
      <w:numFmt w:val="lowerLetter"/>
      <w:start w:val="1"/>
    </w:lvl>
    <w:lvl w:ilvl="1">
      <w:lvlJc w:val="left"/>
      <w:lvlText w:val="(%2)"/>
      <w:numFmt w:val="decimal"/>
      <w:start w:val="1"/>
    </w:lvl>
  </w:abstractNum>
  <w:abstractNum w:abstractNumId="113">
    <w:nsid w:val="1A0DDE32"/>
    <w:multiLevelType w:val="hybridMultilevel"/>
    <w:lvl w:ilvl="0">
      <w:lvlJc w:val="left"/>
      <w:lvlText w:val="(%1)"/>
      <w:numFmt w:val="lowerLetter"/>
      <w:start w:val="3"/>
    </w:lvl>
  </w:abstractNum>
  <w:abstractNum w:abstractNumId="114">
    <w:nsid w:val="65968C1C"/>
    <w:multiLevelType w:val="hybridMultilevel"/>
    <w:lvl w:ilvl="0">
      <w:lvlJc w:val="left"/>
      <w:lvlText w:val="(%1)"/>
      <w:numFmt w:val="lowerLetter"/>
      <w:start w:val="1"/>
    </w:lvl>
  </w:abstractNum>
  <w:abstractNum w:abstractNumId="115">
    <w:nsid w:val="46263DEC"/>
    <w:multiLevelType w:val="hybridMultilevel"/>
    <w:lvl w:ilvl="0">
      <w:lvlJc w:val="left"/>
      <w:lvlText w:val="(%1)"/>
      <w:numFmt w:val="lowerLetter"/>
      <w:start w:val="1"/>
    </w:lvl>
    <w:lvl w:ilvl="1">
      <w:lvlJc w:val="left"/>
      <w:lvlText w:val="(%2)"/>
      <w:numFmt w:val="decimal"/>
      <w:start w:val="1"/>
    </w:lvl>
  </w:abstractNum>
  <w:abstractNum w:abstractNumId="116">
    <w:nsid w:val="260D8C4A"/>
    <w:multiLevelType w:val="hybridMultilevel"/>
    <w:lvl w:ilvl="0">
      <w:lvlJc w:val="left"/>
      <w:lvlText w:val="%1"/>
      <w:numFmt w:val="lowerLetter"/>
      <w:start w:val="1"/>
    </w:lvl>
    <w:lvl w:ilvl="1">
      <w:lvlJc w:val="left"/>
      <w:lvlText w:val="(%2)"/>
      <w:numFmt w:val="decimal"/>
      <w:start w:val="2"/>
    </w:lvl>
  </w:abstractNum>
  <w:abstractNum w:abstractNumId="117">
    <w:nsid w:val="73D4D3C4"/>
    <w:multiLevelType w:val="hybridMultilevel"/>
    <w:lvl w:ilvl="0">
      <w:lvlJc w:val="left"/>
      <w:lvlText w:val="(%1)"/>
      <w:numFmt w:val="lowerLetter"/>
      <w:start w:val="2"/>
    </w:lvl>
    <w:lvl w:ilvl="1">
      <w:lvlJc w:val="left"/>
      <w:lvlText w:val="%2"/>
      <w:numFmt w:val="decimal"/>
      <w:start w:val="1"/>
    </w:lvl>
  </w:abstractNum>
  <w:abstractNum w:abstractNumId="118">
    <w:nsid w:val="746F2E30"/>
    <w:multiLevelType w:val="hybridMultilevel"/>
    <w:lvl w:ilvl="0">
      <w:lvlJc w:val="left"/>
      <w:lvlText w:val="(%1)"/>
      <w:numFmt w:val="lowerLetter"/>
      <w:start w:val="1"/>
    </w:lvl>
  </w:abstractNum>
  <w:abstractNum w:abstractNumId="119">
    <w:nsid w:val="6FDE8AF6"/>
    <w:multiLevelType w:val="hybridMultilevel"/>
    <w:lvl w:ilvl="0">
      <w:lvlJc w:val="left"/>
      <w:lvlText w:val="(%1)"/>
      <w:numFmt w:val="lowerRoman"/>
      <w:start w:val="3"/>
    </w:lvl>
  </w:abstractNum>
  <w:abstractNum w:abstractNumId="120">
    <w:nsid w:val="3FC32E20"/>
    <w:multiLevelType w:val="hybridMultilevel"/>
    <w:lvl w:ilvl="0">
      <w:lvlJc w:val="left"/>
      <w:lvlText w:val="(%1)"/>
      <w:numFmt w:val="lowerLetter"/>
      <w:start w:val="3"/>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1"/>
    </w:lvl>
  </w:abstractNum>
  <w:abstractNum w:abstractNumId="123">
    <w:nsid w:val="230F856C"/>
    <w:multiLevelType w:val="hybridMultilevel"/>
    <w:lvl w:ilvl="0">
      <w:lvlJc w:val="left"/>
      <w:lvlText w:val="(%1)"/>
      <w:numFmt w:val="decimal"/>
      <w:start w:val="1"/>
    </w:lvl>
  </w:abstractNum>
  <w:abstractNum w:abstractNumId="124">
    <w:nsid w:val="6EAA85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1"/>
      <w:numFmt w:val="lowerRoman"/>
      <w:start w:val="1"/>
    </w:lvl>
    <w:lvl w:ilvl="1">
      <w:lvlJc w:val="left"/>
      <w:lvlText w:val="(%2)"/>
      <w:numFmt w:val="decimal"/>
      <w:start w:val="6"/>
    </w:lvl>
  </w:abstractNum>
  <w:abstractNum w:abstractNumId="127">
    <w:nsid w:val="6CAA2304"/>
    <w:multiLevelType w:val="hybridMultilevel"/>
    <w:lvl w:ilvl="0">
      <w:lvlJc w:val="left"/>
      <w:lvlText w:val="(%1)"/>
      <w:numFmt w:val="lowerRoman"/>
      <w:start w:val="1"/>
    </w:lvl>
    <w:lvl w:ilvl="1">
      <w:lvlJc w:val="left"/>
      <w:lvlText w:val="%2"/>
      <w:numFmt w:val="decimal"/>
      <w:start w:val="1"/>
    </w:lvl>
  </w:abstractNum>
  <w:abstractNum w:abstractNumId="128">
    <w:nsid w:val="3F7C2FF4"/>
    <w:multiLevelType w:val="hybridMultilevel"/>
    <w:lvl w:ilvl="0">
      <w:lvlJc w:val="left"/>
      <w:lvlText w:val="(%1)"/>
      <w:numFmt w:val="decimal"/>
      <w:start w:val="8"/>
    </w:lvl>
  </w:abstractNum>
  <w:abstractNum w:abstractNumId="129">
    <w:nsid w:val="25413BEC"/>
    <w:multiLevelType w:val="hybridMultilevel"/>
    <w:lvl w:ilvl="0">
      <w:lvlJc w:val="left"/>
      <w:lvlText w:val="(%1)"/>
      <w:numFmt w:val="decimal"/>
      <w:start w:val="11"/>
    </w:lvl>
    <w:lvl w:ilvl="1">
      <w:lvlJc w:val="left"/>
      <w:lvlText w:val="(%2)"/>
      <w:numFmt w:val="lowerLetter"/>
      <w:start w:val="1"/>
    </w:lvl>
  </w:abstractNum>
  <w:abstractNum w:abstractNumId="130">
    <w:nsid w:val="17180B0B"/>
    <w:multiLevelType w:val="hybridMultilevel"/>
    <w:lvl w:ilvl="0">
      <w:lvlJc w:val="left"/>
      <w:lvlText w:val="(%1)"/>
      <w:numFmt w:val="lowerRoman"/>
      <w:start w:val="4"/>
    </w:lvl>
    <w:lvl w:ilvl="1">
      <w:lvlJc w:val="left"/>
      <w:lvlText w:val="(%2)"/>
      <w:numFmt w:val="decimal"/>
      <w:start w:val="12"/>
    </w:lvl>
    <w:lvl w:ilvl="2">
      <w:lvlJc w:val="left"/>
      <w:lvlText w:val="(%3)"/>
      <w:numFmt w:val="lowerLetter"/>
      <w:start w:val="3"/>
    </w:lvl>
  </w:abstractNum>
  <w:abstractNum w:abstractNumId="131">
    <w:nsid w:val="579328B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32">
    <w:nsid w:val="5D205E20"/>
    <w:multiLevelType w:val="hybridMultilevel"/>
    <w:lvl w:ilvl="0">
      <w:lvlJc w:val="left"/>
      <w:lvlText w:val="(%1)"/>
      <w:numFmt w:val="decimal"/>
      <w:start w:val="14"/>
    </w:lvl>
  </w:abstractNum>
  <w:abstractNum w:abstractNumId="133">
    <w:nsid w:val="11CCA8BA"/>
    <w:multiLevelType w:val="hybridMultilevel"/>
    <w:lvl w:ilvl="0">
      <w:lvlJc w:val="left"/>
      <w:lvlText w:val="(%1)"/>
      <w:numFmt w:val="decimal"/>
      <w:start w:val="15"/>
    </w:lvl>
  </w:abstractNum>
  <w:abstractNum w:abstractNumId="134">
    <w:nsid w:val="4D32AB86"/>
    <w:multiLevelType w:val="hybridMultilevel"/>
    <w:lvl w:ilvl="0">
      <w:lvlJc w:val="left"/>
      <w:lvlText w:val="*"/>
      <w:numFmt w:val="bullet"/>
      <w:start w:val="1"/>
    </w:lvl>
  </w:abstractNum>
  <w:abstractNum w:abstractNumId="135">
    <w:nsid w:val="3F07ACC3"/>
    <w:multiLevelType w:val="hybridMultilevel"/>
    <w:lvl w:ilvl="0">
      <w:lvlJc w:val="left"/>
      <w:lvlText w:val="*"/>
      <w:numFmt w:val="bullet"/>
      <w:start w:val="1"/>
    </w:lvl>
  </w:abstractNum>
  <w:abstractNum w:abstractNumId="136">
    <w:nsid w:val="6B47F63E"/>
    <w:multiLevelType w:val="hybridMultilevel"/>
    <w:lvl w:ilvl="0">
      <w:lvlJc w:val="left"/>
      <w:lvlText w:val="*"/>
      <w:numFmt w:val="bullet"/>
      <w:start w:val="1"/>
    </w:lvl>
  </w:abstractNum>
  <w:abstractNum w:abstractNumId="137">
    <w:nsid w:val="5CB44A05"/>
    <w:multiLevelType w:val="hybridMultilevel"/>
    <w:lvl w:ilvl="0">
      <w:lvlJc w:val="left"/>
      <w:lvlText w:val="(%1)"/>
      <w:numFmt w:val="decimal"/>
      <w:start w:val="1"/>
    </w:lvl>
  </w:abstractNum>
  <w:abstractNum w:abstractNumId="138">
    <w:nsid w:val="16CF80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9">
    <w:nsid w:val="1C695DEC"/>
    <w:multiLevelType w:val="hybridMultilevel"/>
    <w:lvl w:ilvl="0">
      <w:lvlJc w:val="left"/>
      <w:lvlText w:val="(%1)"/>
      <w:numFmt w:val="lowerLetter"/>
      <w:start w:val="2"/>
    </w:lvl>
  </w:abstractNum>
  <w:abstractNum w:abstractNumId="140">
    <w:nsid w:val="3FCFAED9"/>
    <w:multiLevelType w:val="hybridMultilevel"/>
    <w:lvl w:ilvl="0">
      <w:lvlJc w:val="left"/>
      <w:lvlText w:val="%1"/>
      <w:numFmt w:val="lowerRoman"/>
      <w:start w:val="1"/>
    </w:lvl>
    <w:lvl w:ilvl="1">
      <w:lvlJc w:val="left"/>
      <w:lvlText w:val="(%2)"/>
      <w:numFmt w:val="decimal"/>
      <w:start w:val="6"/>
    </w:lvl>
  </w:abstractNum>
  <w:abstractNum w:abstractNumId="141">
    <w:nsid w:val="F856867"/>
    <w:multiLevelType w:val="hybridMultilevel"/>
    <w:lvl w:ilvl="0">
      <w:lvlJc w:val="left"/>
      <w:lvlText w:val="(%1)"/>
      <w:numFmt w:val="lowerRoman"/>
      <w:start w:val="1"/>
    </w:lvl>
    <w:lvl w:ilvl="1">
      <w:lvlJc w:val="left"/>
      <w:lvlText w:val="%2"/>
      <w:numFmt w:val="decimal"/>
      <w:start w:val="1"/>
    </w:lvl>
  </w:abstractNum>
  <w:abstractNum w:abstractNumId="142">
    <w:nsid w:val="11B1CC33"/>
    <w:multiLevelType w:val="hybridMultilevel"/>
    <w:lvl w:ilvl="0">
      <w:lvlJc w:val="left"/>
      <w:lvlText w:val="(%1)"/>
      <w:numFmt w:val="decimal"/>
      <w:start w:val="8"/>
    </w:lvl>
  </w:abstractNum>
  <w:abstractNum w:abstractNumId="143">
    <w:nsid w:val="2E22FBB7"/>
    <w:multiLevelType w:val="hybridMultilevel"/>
    <w:lvl w:ilvl="0">
      <w:lvlJc w:val="left"/>
      <w:lvlText w:val="(%1)"/>
      <w:numFmt w:val="decimal"/>
      <w:start w:val="9"/>
    </w:lvl>
  </w:abstractNum>
  <w:abstractNum w:abstractNumId="144">
    <w:nsid w:val="29934699"/>
    <w:multiLevelType w:val="hybridMultilevel"/>
    <w:lvl w:ilvl="0">
      <w:lvlJc w:val="left"/>
      <w:lvlText w:val="(%1)"/>
      <w:numFmt w:val="decimal"/>
      <w:start w:val="11"/>
    </w:lvl>
    <w:lvl w:ilvl="1">
      <w:lvlJc w:val="left"/>
      <w:lvlText w:val="(%2)"/>
      <w:numFmt w:val="lowerLetter"/>
      <w:start w:val="1"/>
    </w:lvl>
  </w:abstractNum>
  <w:abstractNum w:abstractNumId="145">
    <w:nsid w:val="7748585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46">
    <w:nsid w:val="744939A3"/>
    <w:multiLevelType w:val="hybridMultilevel"/>
    <w:lvl w:ilvl="0">
      <w:lvlJc w:val="left"/>
      <w:lvlText w:val="(%1)"/>
      <w:numFmt w:val="lowerRoman"/>
      <w:start w:val="11"/>
    </w:lvl>
    <w:lvl w:ilvl="1">
      <w:lvlJc w:val="left"/>
      <w:lvlText w:val="(%2)"/>
      <w:numFmt w:val="decimal"/>
      <w:start w:val="12"/>
    </w:lvl>
    <w:lvl w:ilvl="2">
      <w:lvlJc w:val="left"/>
      <w:lvlText w:val="(%3)"/>
      <w:numFmt w:val="lowerLetter"/>
      <w:start w:val="3"/>
    </w:lvl>
  </w:abstractNum>
  <w:abstractNum w:abstractNumId="147">
    <w:nsid w:val="4FA0D2E3"/>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48">
    <w:nsid w:val="6B1D2C14"/>
    <w:multiLevelType w:val="hybridMultilevel"/>
    <w:lvl w:ilvl="0">
      <w:lvlJc w:val="left"/>
      <w:lvlText w:val="(%1)"/>
      <w:numFmt w:val="decimal"/>
      <w:start w:val="14"/>
    </w:lvl>
  </w:abstractNum>
  <w:abstractNum w:abstractNumId="149">
    <w:nsid w:val="68B867D3"/>
    <w:multiLevelType w:val="hybridMultilevel"/>
    <w:lvl w:ilvl="0">
      <w:lvlJc w:val="left"/>
      <w:lvlText w:val="(%1)"/>
      <w:numFmt w:val="decimal"/>
      <w:start w:val="15"/>
    </w:lvl>
  </w:abstractNum>
  <w:abstractNum w:abstractNumId="150">
    <w:nsid w:val="3F7F5DD9"/>
    <w:multiLevelType w:val="hybridMultilevel"/>
    <w:lvl w:ilvl="0">
      <w:lvlJc w:val="left"/>
      <w:lvlText w:val="*"/>
      <w:numFmt w:val="bullet"/>
      <w:start w:val="1"/>
    </w:lvl>
  </w:abstractNum>
  <w:abstractNum w:abstractNumId="151">
    <w:nsid w:val="2AE05A34"/>
    <w:multiLevelType w:val="hybridMultilevel"/>
    <w:lvl w:ilvl="0">
      <w:lvlJc w:val="left"/>
      <w:lvlText w:val="*"/>
      <w:numFmt w:val="bullet"/>
      <w:start w:val="1"/>
    </w:lvl>
  </w:abstractNum>
  <w:abstractNum w:abstractNumId="152">
    <w:nsid w:val="32794FF7"/>
    <w:multiLevelType w:val="hybridMultilevel"/>
    <w:lvl w:ilvl="0">
      <w:lvlJc w:val="left"/>
      <w:lvlText w:val="*"/>
      <w:numFmt w:val="bullet"/>
      <w:start w:val="1"/>
    </w:lvl>
  </w:abstractNum>
  <w:abstractNum w:abstractNumId="153">
    <w:nsid w:val="5454945E"/>
    <w:multiLevelType w:val="hybridMultilevel"/>
    <w:lvl w:ilvl="0">
      <w:lvlJc w:val="left"/>
      <w:lvlText w:val="%1."/>
      <w:numFmt w:val="decimal"/>
      <w:start w:val="1"/>
    </w:lvl>
  </w:abstractNum>
  <w:abstractNum w:abstractNumId="154">
    <w:nsid w:val="4DEFDFA0"/>
    <w:multiLevelType w:val="hybridMultilevel"/>
    <w:lvl w:ilvl="0">
      <w:lvlJc w:val="left"/>
      <w:lvlText w:val="%1."/>
      <w:numFmt w:val="decimal"/>
      <w:start w:val="2"/>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lowerLetter"/>
      <w:start w:val="3"/>
    </w:lvl>
  </w:abstractNum>
  <w:abstractNum w:abstractNumId="157">
    <w:nsid w:val="94927A8"/>
    <w:multiLevelType w:val="hybridMultilevel"/>
    <w:lvl w:ilvl="0">
      <w:lvlJc w:val="left"/>
      <w:lvlText w:val="%1."/>
      <w:numFmt w:val="decimal"/>
      <w:start w:val="4"/>
    </w:lvl>
    <w:lvl w:ilvl="1">
      <w:lvlJc w:val="left"/>
      <w:lvlText w:val="(%2)"/>
      <w:numFmt w:val="lowerLetter"/>
      <w:start w:val="1"/>
    </w:lvl>
  </w:abstractNum>
  <w:abstractNum w:abstractNumId="158">
    <w:nsid w:val="DCDF8F6"/>
    <w:multiLevelType w:val="hybridMultilevel"/>
    <w:lvl w:ilvl="0">
      <w:lvlJc w:val="left"/>
      <w:lvlText w:val="(%1)"/>
      <w:numFmt w:val="lowerLetter"/>
      <w:start w:val="1"/>
    </w:lvl>
  </w:abstractNum>
  <w:abstractNum w:abstractNumId="159">
    <w:nsid w:val="52D7B105"/>
    <w:multiLevelType w:val="hybridMultilevel"/>
    <w:lvl w:ilvl="0">
      <w:lvlJc w:val="left"/>
      <w:lvlText w:val="%1"/>
      <w:numFmt w:val="decimal"/>
      <w:start w:val="1"/>
    </w:lvl>
    <w:lvl w:ilvl="1">
      <w:lvlJc w:val="left"/>
      <w:lvlText w:val="(%2)"/>
      <w:numFmt w:val="lowerLetter"/>
      <w:start w:val="2"/>
    </w:lvl>
  </w:abstractNum>
  <w:abstractNum w:abstractNumId="160">
    <w:nsid w:val="2E8A6394"/>
    <w:multiLevelType w:val="hybridMultilevel"/>
    <w:lvl w:ilvl="0">
      <w:lvlJc w:val="left"/>
      <w:lvlText w:val="%1."/>
      <w:numFmt w:val="decimal"/>
      <w:start w:val="2"/>
    </w:lvl>
    <w:lvl w:ilvl="1">
      <w:lvlJc w:val="left"/>
      <w:lvlText w:val="%2"/>
      <w:numFmt w:val="lowerLetter"/>
      <w:start w:val="1"/>
    </w:lvl>
  </w:abstractNum>
  <w:abstractNum w:abstractNumId="161">
    <w:nsid w:val="24E60401"/>
    <w:multiLevelType w:val="hybridMultilevel"/>
    <w:lvl w:ilvl="0">
      <w:lvlJc w:val="left"/>
      <w:lvlText w:val="(%1)"/>
      <w:numFmt w:val="lowerLetter"/>
      <w:start w:val="1"/>
    </w:lvl>
  </w:abstractNum>
  <w:abstractNum w:abstractNumId="162">
    <w:nsid w:val="2A6AD9BE"/>
    <w:multiLevelType w:val="hybridMultilevel"/>
    <w:lvl w:ilvl="0">
      <w:lvlJc w:val="left"/>
      <w:lvlText w:val="%1"/>
      <w:numFmt w:val="lowerLetter"/>
      <w:start w:val="1"/>
    </w:lvl>
    <w:lvl w:ilvl="1">
      <w:lvlJc w:val="left"/>
      <w:lvlText w:val="(%2)"/>
      <w:numFmt w:val="lowerLetter"/>
      <w:start w:val="2"/>
    </w:lvl>
  </w:abstractNum>
  <w:abstractNum w:abstractNumId="163">
    <w:nsid w:val="BAAC1B4"/>
    <w:multiLevelType w:val="hybridMultilevel"/>
    <w:lvl w:ilvl="0">
      <w:lvlJc w:val="left"/>
      <w:lvlText w:val="(%1)"/>
      <w:numFmt w:val="lowerLetter"/>
      <w:start w:val="3"/>
    </w:lvl>
    <w:lvl w:ilvl="1">
      <w:lvlJc w:val="left"/>
      <w:lvlText w:val="%2"/>
      <w:numFmt w:val="lowerLetter"/>
      <w:start w:val="1"/>
    </w:lvl>
  </w:abstractNum>
  <w:abstractNum w:abstractNumId="164">
    <w:nsid w:val="36B2ACBC"/>
    <w:multiLevelType w:val="hybridMultilevel"/>
    <w:lvl w:ilvl="0">
      <w:lvlJc w:val="left"/>
      <w:lvlText w:val="%1."/>
      <w:numFmt w:val="decimal"/>
      <w:start w:val="1"/>
    </w:lvl>
  </w:abstractNum>
  <w:abstractNum w:abstractNumId="165">
    <w:nsid w:val="779D8544"/>
    <w:multiLevelType w:val="hybridMultilevel"/>
    <w:lvl w:ilvl="0">
      <w:lvlJc w:val="left"/>
      <w:lvlText w:val="(%1)"/>
      <w:numFmt w:val="lowerLetter"/>
      <w:start w:val="1"/>
    </w:lvl>
  </w:abstractNum>
  <w:abstractNum w:abstractNumId="166">
    <w:nsid w:val="4AB26E78"/>
    <w:multiLevelType w:val="hybridMultilevel"/>
    <w:lvl w:ilvl="0">
      <w:lvlJc w:val="left"/>
      <w:lvlText w:val="(%1)"/>
      <w:numFmt w:val="lowerLetter"/>
      <w:start w:val="2"/>
    </w:lvl>
  </w:abstractNum>
  <w:abstractNum w:abstractNumId="167">
    <w:nsid w:val="21FAA2FA"/>
    <w:multiLevelType w:val="hybridMultilevel"/>
    <w:lvl w:ilvl="0">
      <w:lvlJc w:val="left"/>
      <w:lvlText w:val="%1."/>
      <w:numFmt w:val="decimal"/>
      <w:start w:val="2"/>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decimal"/>
      <w:start w:val="1"/>
    </w:lvl>
  </w:abstractNum>
  <w:abstractNum w:abstractNumId="171">
    <w:nsid w:val="14217E23"/>
    <w:multiLevelType w:val="hybridMultilevel"/>
    <w:lvl w:ilvl="0">
      <w:lvlJc w:val="left"/>
      <w:lvlText w:val="%1."/>
      <w:numFmt w:val="decimal"/>
      <w:start w:val="3"/>
    </w:lvl>
  </w:abstractNum>
  <w:abstractNum w:abstractNumId="172">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3">
    <w:nsid w:val="5015CD1A"/>
    <w:multiLevelType w:val="hybridMultilevel"/>
    <w:lvl w:ilvl="0">
      <w:lvlJc w:val="left"/>
      <w:lvlText w:val="(%1)"/>
      <w:numFmt w:val="lowerRoman"/>
      <w:start w:val="2"/>
    </w:lvl>
  </w:abstractNum>
  <w:abstractNum w:abstractNumId="174">
    <w:nsid w:val="424479DA"/>
    <w:multiLevelType w:val="hybridMultilevel"/>
    <w:lvl w:ilvl="0">
      <w:lvlJc w:val="left"/>
      <w:lvlText w:val="(%1)"/>
      <w:numFmt w:val="lowerLetter"/>
      <w:start w:val="2"/>
    </w:lvl>
  </w:abstractNum>
  <w:abstractNum w:abstractNumId="175">
    <w:nsid w:val="1A9A9E69"/>
    <w:multiLevelType w:val="hybridMultilevel"/>
    <w:lvl w:ilvl="0">
      <w:lvlJc w:val="left"/>
      <w:lvlText w:val="%1"/>
      <w:numFmt w:val="decimal"/>
      <w:start w:val="1"/>
    </w:lvl>
    <w:lvl w:ilvl="1">
      <w:lvlJc w:val="left"/>
      <w:lvlText w:val="(%2)"/>
      <w:numFmt w:val="lowerLetter"/>
      <w:start w:val="8"/>
    </w:lvl>
  </w:abstractNum>
  <w:abstractNum w:abstractNumId="176">
    <w:nsid w:val="475E256A"/>
    <w:multiLevelType w:val="hybridMultilevel"/>
    <w:lvl w:ilvl="0">
      <w:lvlJc w:val="left"/>
      <w:lvlText w:val="%1."/>
      <w:numFmt w:val="decimal"/>
      <w:start w:val="3"/>
    </w:lvl>
    <w:lvl w:ilvl="1">
      <w:lvlJc w:val="left"/>
      <w:lvlText w:val="(%2)"/>
      <w:numFmt w:val="lowerLetter"/>
      <w:start w:val="1"/>
    </w:lvl>
  </w:abstractNum>
  <w:abstractNum w:abstractNumId="177">
    <w:nsid w:val="368DB37E"/>
    <w:multiLevelType w:val="hybridMultilevel"/>
    <w:lvl w:ilvl="0">
      <w:lvlJc w:val="left"/>
      <w:lvlText w:val="%1."/>
      <w:numFmt w:val="decimal"/>
      <w:start w:val="6"/>
    </w:lvl>
  </w:abstractNum>
  <w:abstractNum w:abstractNumId="178">
    <w:nsid w:val="6A3B714C"/>
    <w:multiLevelType w:val="hybridMultilevel"/>
    <w:lvl w:ilvl="0">
      <w:lvlJc w:val="left"/>
      <w:lvlText w:val="%1."/>
      <w:numFmt w:val="decimal"/>
      <w:start w:val="8"/>
    </w:lvl>
  </w:abstractNum>
  <w:abstractNum w:abstractNumId="179">
    <w:nsid w:val="327B517E"/>
    <w:multiLevelType w:val="hybridMultilevel"/>
    <w:lvl w:ilvl="0">
      <w:lvlJc w:val="left"/>
      <w:lvlText w:val="%1."/>
      <w:numFmt w:val="decimal"/>
      <w:start w:val="1"/>
    </w:lvl>
  </w:abstractNum>
  <w:abstractNum w:abstractNumId="180">
    <w:nsid w:val="1F461B51"/>
    <w:multiLevelType w:val="hybridMultilevel"/>
    <w:lvl w:ilvl="0">
      <w:lvlJc w:val="left"/>
      <w:lvlText w:val="(%1)"/>
      <w:numFmt w:val="lowerLetter"/>
      <w:start w:val="1"/>
    </w:lvl>
    <w:lvl w:ilvl="1">
      <w:lvlJc w:val="left"/>
      <w:lvlText w:val="(%2)"/>
      <w:numFmt w:val="decimal"/>
      <w:start w:val="1"/>
    </w:lvl>
  </w:abstractNum>
  <w:abstractNum w:abstractNumId="181">
    <w:nsid w:val="29BACF25"/>
    <w:multiLevelType w:val="hybridMultilevel"/>
    <w:lvl w:ilvl="0">
      <w:lvlJc w:val="left"/>
      <w:lvlText w:val="(%1)"/>
      <w:numFmt w:val="lowerRoman"/>
      <w:start w:val="6"/>
    </w:lvl>
    <w:lvl w:ilvl="1">
      <w:lvlJc w:val="left"/>
      <w:lvlText w:val="-"/>
      <w:numFmt w:val="bullet"/>
      <w:start w:val="1"/>
    </w:lvl>
  </w:abstractNum>
  <w:abstractNum w:abstractNumId="182">
    <w:nsid w:val="5D5BABB3"/>
    <w:multiLevelType w:val="hybridMultilevel"/>
    <w:lvl w:ilvl="0">
      <w:lvlJc w:val="left"/>
      <w:lvlText w:val="(%1)"/>
      <w:numFmt w:val="lowerRoman"/>
      <w:start w:val="15"/>
    </w:lvl>
  </w:abstractNum>
  <w:abstractNum w:abstractNumId="183">
    <w:nsid w:val="51BF6B48"/>
    <w:multiLevelType w:val="hybridMultilevel"/>
    <w:lvl w:ilvl="0">
      <w:lvlJc w:val="left"/>
      <w:lvlText w:val="(%1)"/>
      <w:numFmt w:val="low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2019-12-07T04:24:32Z</dcterms:created>
  <dcterms:modified xsi:type="dcterms:W3CDTF">2019-12-07T04:24:32Z</dcterms:modified>
</cp:coreProperties>
</file>