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was effected by the reporting person, pursuant to their Rule 10b5-1 trading plan, adopted June 10,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2022-08-08T20:21:10Z</dcterms:created>
  <dcterms:modified xsi:type="dcterms:W3CDTF">2022-08-08T20:21:10Z</dcterms:modified>
</cp:coreProperties>
</file>