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932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93217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60" w:space="300"/>
            <w:col w:w="8520"/>
          </w:cols>
          <w:pgMar w:left="460" w:top="217" w:right="359" w:bottom="829"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CAMERON-DOE JULIE</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WYNN RESORTS, LIMITED</w:t>
            </w:r>
          </w:p>
        </w:tc>
        <w:tc>
          <w:tcPr>
            <w:tcW w:w="12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3131 LAS VEGAS BOULEVARD SOUTH</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NV</w:t>
            </w:r>
          </w:p>
        </w:tc>
        <w:tc>
          <w:tcPr>
            <w:tcW w:w="12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89109</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60"/>
              <w:spacing w:after="0"/>
              <w:rPr>
                <w:sz w:val="20"/>
                <w:szCs w:val="20"/>
                <w:color w:val="auto"/>
              </w:rPr>
            </w:pPr>
            <w:r>
              <w:rPr>
                <w:rFonts w:ascii="Arial" w:cs="Arial" w:eastAsia="Arial" w:hAnsi="Arial"/>
                <w:sz w:val="13"/>
                <w:szCs w:val="13"/>
                <w:color w:val="auto"/>
              </w:rPr>
              <w:t>(State)</w:t>
            </w:r>
          </w:p>
        </w:tc>
        <w:tc>
          <w:tcPr>
            <w:tcW w:w="122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WYNN RESORTS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WYNN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0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000" w:type="dxa"/>
            <w:vAlign w:val="bottom"/>
            <w:gridSpan w:val="3"/>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52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300" w:type="dxa"/>
            <w:vAlign w:val="bottom"/>
          </w:tcPr>
          <w:p>
            <w:pPr>
              <w:ind w:left="18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01/09/2024</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CFO</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20" w:right="32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7" w:right="359" w:bottom="82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jc w:val="center"/>
              <w:ind w:left="11"/>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01/09/2024</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1"/>
              </w:rPr>
              <w:t>10,969</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71,787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01/09/2024</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1"/>
              </w:rPr>
              <w:t>4,407</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95.26</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67,380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01/09/2024</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1"/>
              </w:rPr>
              <w:t>7,854</w:t>
            </w:r>
            <w:r>
              <w:rPr>
                <w:rFonts w:ascii="Times New Roman" w:cs="Times New Roman" w:eastAsia="Times New Roman" w:hAnsi="Times New Roman"/>
                <w:sz w:val="21"/>
                <w:szCs w:val="21"/>
                <w:color w:val="008000"/>
                <w:w w:val="91"/>
                <w:vertAlign w:val="superscript"/>
              </w:rPr>
              <w:t>(3)</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75,234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01/09/2024</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1"/>
              </w:rPr>
              <w:t>5,236</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80,470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5"/>
          </w:tcPr>
          <w:p>
            <w:pPr>
              <w:jc w:val="center"/>
              <w:ind w:left="71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00" w:type="dxa"/>
            <w:vAlign w:val="bottom"/>
            <w:gridSpan w:val="11"/>
          </w:tcPr>
          <w:p>
            <w:pPr>
              <w:jc w:val="center"/>
              <w:ind w:right="1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rPr>
              <w:t>01/09/2024</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12"/>
                <w:szCs w:val="12"/>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4,364</w:t>
            </w:r>
          </w:p>
        </w:tc>
        <w:tc>
          <w:tcPr>
            <w:tcW w:w="30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01/01/2027</w:t>
            </w: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01/01/2027</w:t>
            </w:r>
          </w:p>
        </w:tc>
        <w:tc>
          <w:tcPr>
            <w:tcW w:w="620" w:type="dxa"/>
            <w:vAlign w:val="bottom"/>
          </w:tcPr>
          <w:p>
            <w:pPr>
              <w:jc w:val="center"/>
              <w:ind w:right="55"/>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(5)</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4,364</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-2176780</wp:posOffset>
            </wp:positionV>
            <wp:extent cx="29210" cy="2181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818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340" w:firstLine="2"/>
        <w:spacing w:after="0" w:line="254"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par value $0.01 per share, of Wynn Resorts, Limited (the "Company") granted pursuant to the Company's Amended and Restated 2014 Omnibus Incentive Plan (the "Plan"), which shares vested immediately upon grant.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immediately vested stock granted on January 9, 2024.</w:t>
      </w:r>
    </w:p>
    <w:p>
      <w:pPr>
        <w:spacing w:after="0" w:line="43" w:lineRule="exact"/>
        <w:rPr>
          <w:rFonts w:ascii="Times New Roman" w:cs="Times New Roman" w:eastAsia="Times New Roman" w:hAnsi="Times New Roman"/>
          <w:sz w:val="13"/>
          <w:szCs w:val="13"/>
          <w:color w:val="008000"/>
        </w:rPr>
      </w:pPr>
    </w:p>
    <w:p>
      <w:pPr>
        <w:ind w:left="40" w:right="180" w:firstLine="2"/>
        <w:spacing w:after="0"/>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conditioned on continued service through January 9, 2027, with 1/3 of the shares vesting on each of the three consecutive anniversary dates from the date of grant; provided that if the reporting person's employment with the Company is terminated, certain accelerated vesting provisions may apply.</w:t>
      </w:r>
    </w:p>
    <w:p>
      <w:pPr>
        <w:spacing w:after="0" w:line="27" w:lineRule="exact"/>
        <w:rPr>
          <w:rFonts w:ascii="Times New Roman" w:cs="Times New Roman" w:eastAsia="Times New Roman" w:hAnsi="Times New Roman"/>
          <w:sz w:val="13"/>
          <w:szCs w:val="13"/>
          <w:color w:val="008000"/>
        </w:rPr>
      </w:pPr>
    </w:p>
    <w:p>
      <w:pPr>
        <w:ind w:left="40" w:right="140" w:firstLine="2"/>
        <w:spacing w:after="0"/>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based on achievement of pre-established financial performance goals in each of the years ended December 31, 2024, 2025 and 2026, and if met, 1/3 of the shares will vest on each of the dates of February 28, 2025, 2026 and 2027; provided that if the reporting person's employment with the Company is terminated, certain accelerated vesting provisions may apply.</w:t>
      </w:r>
    </w:p>
    <w:p>
      <w:pPr>
        <w:spacing w:after="0" w:line="27" w:lineRule="exact"/>
        <w:rPr>
          <w:rFonts w:ascii="Times New Roman" w:cs="Times New Roman" w:eastAsia="Times New Roman" w:hAnsi="Times New Roman"/>
          <w:sz w:val="13"/>
          <w:szCs w:val="13"/>
          <w:color w:val="008000"/>
        </w:rPr>
      </w:pPr>
    </w:p>
    <w:p>
      <w:pPr>
        <w:ind w:left="40" w:right="16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performance share units ("PSUs") pursuant to the Plan. Each PSU represents the right to receive between 0 and 1.6 shares of Company common stock depending on the performance of the common stock from January 1, 2024 to January 1, 2027 (the "Vesting Date"), with such performance determined as the multiple of the volume-weighted average closing price of Company common stock over the 60 trading days preceding the Vesting Date, as adjusted to include dividends paid during the term of the PSU, to the volume-weighted average closing price of Company common stock over the 60 trading days preceding January 1, 2024.</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Nicholas Pannucci, attorney- </w:t>
      </w:r>
      <w:r>
        <w:rPr>
          <w:rFonts w:ascii="Times New Roman" w:cs="Times New Roman" w:eastAsia="Times New Roman" w:hAnsi="Times New Roman"/>
          <w:sz w:val="33"/>
          <w:szCs w:val="33"/>
          <w:color w:val="0000FF"/>
          <w:vertAlign w:val="subscript"/>
        </w:rPr>
        <w:t>01/11/2024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Julie Cameron-Doe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28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270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494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2024-01-11T18:10:01Z</dcterms:created>
  <dcterms:modified xsi:type="dcterms:W3CDTF">2024-01-11T18:10:01Z</dcterms:modified>
</cp:coreProperties>
</file>