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5"/>
          <w:szCs w:val="25"/>
          <w:b w:val="1"/>
          <w:bCs w:val="1"/>
          <w:color w:val="auto"/>
        </w:rPr>
        <w:t>UNITED STATES</w:t>
      </w:r>
    </w:p>
    <w:p>
      <w:pPr>
        <w:spacing w:after="0" w:line="41" w:lineRule="exact"/>
        <w:rPr>
          <w:sz w:val="24"/>
          <w:szCs w:val="24"/>
          <w:color w:val="auto"/>
        </w:rPr>
      </w:pPr>
    </w:p>
    <w:p>
      <w:pPr>
        <w:jc w:val="center"/>
        <w:ind w:right="40"/>
        <w:spacing w:after="0"/>
        <w:rPr>
          <w:sz w:val="20"/>
          <w:szCs w:val="20"/>
          <w:color w:val="auto"/>
        </w:rPr>
      </w:pPr>
      <w:r>
        <w:rPr>
          <w:rFonts w:ascii="Arial" w:cs="Arial" w:eastAsia="Arial" w:hAnsi="Arial"/>
          <w:sz w:val="25"/>
          <w:szCs w:val="25"/>
          <w:b w:val="1"/>
          <w:bCs w:val="1"/>
          <w:color w:val="auto"/>
        </w:rPr>
        <w:t>SECURITIES AND EXCHANGE COMMISSION</w:t>
      </w:r>
    </w:p>
    <w:p>
      <w:pPr>
        <w:spacing w:after="0" w:line="1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25"/>
          <w:szCs w:val="25"/>
          <w:b w:val="1"/>
          <w:bCs w:val="1"/>
          <w:color w:val="auto"/>
        </w:rPr>
        <w:t>SCHEDULE 13D</w:t>
      </w:r>
    </w:p>
    <w:p>
      <w:pPr>
        <w:spacing w:after="0" w:line="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(Amendment No. 10)*</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-311785</wp:posOffset>
            </wp:positionH>
            <wp:positionV relativeFrom="paragraph">
              <wp:posOffset>5715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(Name of Issuer)</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-311785</wp:posOffset>
            </wp:positionH>
            <wp:positionV relativeFrom="paragraph">
              <wp:posOffset>5715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(Title of Class of Securities)</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983134 10 7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-311785</wp:posOffset>
            </wp:positionH>
            <wp:positionV relativeFrom="paragraph">
              <wp:posOffset>5715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(CUSIP Number)</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Barry Brooks</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Paul Hastings LLP</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75 East 55th Street</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(212) 318-6000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-311785</wp:posOffset>
            </wp:positionH>
            <wp:positionV relativeFrom="paragraph">
              <wp:posOffset>5715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(Name, Address and Telephone Number of Person Authorized to</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Receive Notices and Communications)</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October 19,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-311785</wp:posOffset>
            </wp:positionH>
            <wp:positionV relativeFrom="paragraph">
              <wp:posOffset>5715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(Date of Event which Requires Filing of this Statement)</w:t>
      </w:r>
    </w:p>
    <w:p>
      <w:pPr>
        <w:spacing w:after="0" w:line="23" w:lineRule="exact"/>
        <w:rPr>
          <w:sz w:val="24"/>
          <w:szCs w:val="24"/>
          <w:color w:val="auto"/>
        </w:rPr>
      </w:pPr>
    </w:p>
    <w:p>
      <w:pPr>
        <w:jc w:val="both"/>
        <w:spacing w:after="0" w:line="250"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§§240.13d-1(e), 240.13d-l(f) or 240.13d-l(g), check the following box.</w:t>
      </w:r>
    </w:p>
    <w:p>
      <w:pPr>
        <w:spacing w:after="0" w:line="1" w:lineRule="exact"/>
        <w:rPr>
          <w:sz w:val="24"/>
          <w:szCs w:val="24"/>
          <w:color w:val="auto"/>
        </w:rPr>
      </w:pPr>
    </w:p>
    <w:p>
      <w:pPr>
        <w:jc w:val="both"/>
        <w:spacing w:after="0" w:line="250"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parties to whom copies are to be sent.</w:t>
      </w:r>
    </w:p>
    <w:p>
      <w:pPr>
        <w:spacing w:after="0" w:line="1" w:lineRule="exact"/>
        <w:rPr>
          <w:sz w:val="24"/>
          <w:szCs w:val="24"/>
          <w:color w:val="auto"/>
        </w:rPr>
      </w:pPr>
    </w:p>
    <w:p>
      <w:pPr>
        <w:jc w:val="both"/>
        <w:spacing w:after="0" w:line="265"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jc w:val="both"/>
        <w:spacing w:after="0" w:line="255"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-311785</wp:posOffset>
            </wp:positionH>
            <wp:positionV relativeFrom="paragraph">
              <wp:posOffset>86995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530860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80"/>
          </w:cols>
          <w:pgMar w:left="740" w:top="481" w:right="679" w:bottom="1440" w:gutter="0" w:footer="0" w:header="0"/>
        </w:sectPr>
      </w:pPr>
    </w:p>
    <w:bookmarkStart w:id="1" w:name="page2"/>
    <w:bookmarkEnd w:id="1"/>
    <w:p>
      <w:pPr>
        <w:ind w:right="120"/>
        <w:spacing w:after="0" w:line="290" w:lineRule="auto"/>
        <w:rPr>
          <w:sz w:val="20"/>
          <w:szCs w:val="20"/>
          <w:color w:val="auto"/>
        </w:rPr>
      </w:pPr>
      <w:r>
        <w:rPr>
          <w:rFonts w:ascii="Arial" w:cs="Arial" w:eastAsia="Arial" w:hAnsi="Arial"/>
          <w:sz w:val="16"/>
          <w:szCs w:val="16"/>
          <w:color w:val="auto"/>
        </w:rPr>
        <w:t>This Amendment No. 10 to Schedule 13D (this “</w:t>
      </w:r>
      <w:r>
        <w:rPr>
          <w:rFonts w:ascii="Arial" w:cs="Arial" w:eastAsia="Arial" w:hAnsi="Arial"/>
          <w:sz w:val="16"/>
          <w:szCs w:val="16"/>
          <w:b w:val="1"/>
          <w:bCs w:val="1"/>
          <w:color w:val="auto"/>
        </w:rPr>
        <w:t>Amendment No. 10</w:t>
      </w:r>
      <w:r>
        <w:rPr>
          <w:rFonts w:ascii="Arial" w:cs="Arial" w:eastAsia="Arial" w:hAnsi="Arial"/>
          <w:sz w:val="16"/>
          <w:szCs w:val="16"/>
          <w:color w:val="auto"/>
        </w:rPr>
        <w:t>”) amends and supplements the statement on Schedule 13D initially filed with the Securities and Exchange Commission (the “SEC”) on November 13, 2002 (the “</w:t>
      </w:r>
      <w:r>
        <w:rPr>
          <w:rFonts w:ascii="Arial" w:cs="Arial" w:eastAsia="Arial" w:hAnsi="Arial"/>
          <w:sz w:val="16"/>
          <w:szCs w:val="16"/>
          <w:b w:val="1"/>
          <w:bCs w:val="1"/>
          <w:color w:val="auto"/>
        </w:rPr>
        <w:t>Original Filing</w:t>
      </w:r>
      <w:r>
        <w:rPr>
          <w:rFonts w:ascii="Arial" w:cs="Arial" w:eastAsia="Arial" w:hAnsi="Arial"/>
          <w:sz w:val="16"/>
          <w:szCs w:val="16"/>
          <w:color w:val="auto"/>
        </w:rPr>
        <w:t>”), as amended by Amendment No. 1 filed on November 14, 2006, by Amendment No. 2 filed on August 3, 2009, by Amendment No. 3 filed on August 18, 2009, by Amendment No. 4 filed on January 6, 2010, by Amendment No. 5 filed on December 3, 2010, by Amendment No. 6 filed on December 20, 2010, by Amendment No. 7 filed on January 11, 2012, by Amendment No. 8 filed on January 18, 2012, and by Amendment No. 9 filed on September 5, 2012, by Aruze, USA, Inc. (“</w:t>
      </w:r>
      <w:r>
        <w:rPr>
          <w:rFonts w:ascii="Arial" w:cs="Arial" w:eastAsia="Arial" w:hAnsi="Arial"/>
          <w:sz w:val="16"/>
          <w:szCs w:val="16"/>
          <w:b w:val="1"/>
          <w:bCs w:val="1"/>
          <w:color w:val="auto"/>
        </w:rPr>
        <w:t>Aruze USA</w:t>
      </w:r>
      <w:r>
        <w:rPr>
          <w:rFonts w:ascii="Arial" w:cs="Arial" w:eastAsia="Arial" w:hAnsi="Arial"/>
          <w:sz w:val="16"/>
          <w:szCs w:val="16"/>
          <w:color w:val="auto"/>
        </w:rPr>
        <w:t>”), Universal Entertainment Corporation and Kazuo Okada (collectively, the “</w:t>
      </w:r>
      <w:r>
        <w:rPr>
          <w:rFonts w:ascii="Arial" w:cs="Arial" w:eastAsia="Arial" w:hAnsi="Arial"/>
          <w:sz w:val="16"/>
          <w:szCs w:val="16"/>
          <w:b w:val="1"/>
          <w:bCs w:val="1"/>
          <w:color w:val="auto"/>
        </w:rPr>
        <w:t>Reporting Persons</w:t>
      </w:r>
      <w:r>
        <w:rPr>
          <w:rFonts w:ascii="Arial" w:cs="Arial" w:eastAsia="Arial" w:hAnsi="Arial"/>
          <w:sz w:val="16"/>
          <w:szCs w:val="16"/>
          <w:color w:val="auto"/>
        </w:rPr>
        <w:t>”). Information reported in the Original Filing, as amended, remains in effect except to the extent that it is expressly amended, restated or superseded by information contained in this Amendment No. 10. The title of the class of equity securities to which this statement relates to is the Common Stock, $0.01 par value per share of Wynn Resorts, Inc., a Nevada corporation (the “</w:t>
      </w:r>
      <w:r>
        <w:rPr>
          <w:rFonts w:ascii="Arial" w:cs="Arial" w:eastAsia="Arial" w:hAnsi="Arial"/>
          <w:sz w:val="16"/>
          <w:szCs w:val="16"/>
          <w:b w:val="1"/>
          <w:bCs w:val="1"/>
          <w:color w:val="auto"/>
        </w:rPr>
        <w:t>Issuer</w:t>
      </w:r>
      <w:r>
        <w:rPr>
          <w:rFonts w:ascii="Arial" w:cs="Arial" w:eastAsia="Arial" w:hAnsi="Arial"/>
          <w:sz w:val="16"/>
          <w:szCs w:val="16"/>
          <w:color w:val="auto"/>
        </w:rPr>
        <w:t>”). Capitalized terms used and not defined in this Amendment No. 10 have the meanings set forth in the Original Filing, as amended.</w:t>
      </w:r>
    </w:p>
    <w:p>
      <w:pPr>
        <w:spacing w:after="0" w:line="21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This Amendment No. 10 is being filed jointly pursuant to Rule 13d−1(k)(1) under the Securities Exchange Act of 1934, as amended, by the Reporting Persons.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Item 4 is hereby supplemented as follows:</w:t>
      </w:r>
    </w:p>
    <w:p>
      <w:pPr>
        <w:spacing w:after="0" w:line="2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October 2, 2012, District Court, Clark County, Nevada, denied Aruze USA’s motion for a preliminary injunction that would have prohibited the Issuer from barring or preventing Aruze USA from exercising rights as a stockholder, including the right to nominate directors and vote, at the 2012 Annual Meeting (the “</w:t>
      </w:r>
      <w:r>
        <w:rPr>
          <w:rFonts w:ascii="Arial" w:cs="Arial" w:eastAsia="Arial" w:hAnsi="Arial"/>
          <w:sz w:val="18"/>
          <w:szCs w:val="18"/>
          <w:b w:val="1"/>
          <w:bCs w:val="1"/>
          <w:color w:val="auto"/>
        </w:rPr>
        <w:t>October 2 Decision</w:t>
      </w:r>
      <w:r>
        <w:rPr>
          <w:rFonts w:ascii="Arial" w:cs="Arial" w:eastAsia="Arial" w:hAnsi="Arial"/>
          <w:sz w:val="18"/>
          <w:szCs w:val="18"/>
          <w:color w:val="auto"/>
        </w:rPr>
        <w:t>”).</w:t>
      </w:r>
    </w:p>
    <w:p>
      <w:pPr>
        <w:spacing w:after="0" w:line="23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On October 19, 2012, Aruze USA filed a notice of appeal to the Nevada Supreme Court asking for a reversal of the October 2 Decision. Also on October 19, 2012, Aruze USA announced that it recognized that any relief that may come from the Nevada Supreme Court will not be in time for the independent Nominees proposed by Aruze USA to be presented for election at the 2012 Annual Meeting of stockholders of the Issuer and, therefore, it is terminating its efforts to elect the Nominees to the Issuer’s board of directors and will not solicit proxies in connection with the 2012 Annual Meeting.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Item 7 is hereby amended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60" w:type="dxa"/>
            <w:vAlign w:val="bottom"/>
          </w:tcPr>
          <w:p>
            <w:pPr>
              <w:spacing w:after="0"/>
              <w:rPr>
                <w:sz w:val="20"/>
                <w:szCs w:val="20"/>
                <w:color w:val="auto"/>
              </w:rPr>
            </w:pPr>
            <w:r>
              <w:rPr>
                <w:rFonts w:ascii="Arial" w:cs="Arial" w:eastAsia="Arial" w:hAnsi="Arial"/>
                <w:sz w:val="18"/>
                <w:szCs w:val="18"/>
                <w:b w:val="1"/>
                <w:bCs w:val="1"/>
                <w:color w:val="auto"/>
                <w:w w:val="93"/>
              </w:rPr>
              <w:t>Exhibit Number</w:t>
            </w:r>
          </w:p>
        </w:tc>
        <w:tc>
          <w:tcPr>
            <w:tcW w:w="10160" w:type="dxa"/>
            <w:vAlign w:val="bottom"/>
            <w:gridSpan w:val="2"/>
          </w:tcPr>
          <w:p>
            <w:pPr>
              <w:ind w:left="200"/>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12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99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7"/>
              </w:rPr>
              <w:t>Joint Filing Agreement, dated January 11, 2012 among Aruze USA, Inc., Universal Entertainment Corporation and Kazuo Okada</w:t>
            </w:r>
          </w:p>
        </w:tc>
      </w:tr>
      <w:tr>
        <w:trPr>
          <w:trHeight w:val="230"/>
        </w:trPr>
        <w:tc>
          <w:tcPr>
            <w:tcW w:w="1260" w:type="dxa"/>
            <w:vAlign w:val="bottom"/>
          </w:tcPr>
          <w:p>
            <w:pPr>
              <w:spacing w:after="0"/>
              <w:rPr>
                <w:sz w:val="20"/>
                <w:szCs w:val="20"/>
                <w:color w:val="auto"/>
              </w:rPr>
            </w:pPr>
          </w:p>
        </w:tc>
        <w:tc>
          <w:tcPr>
            <w:tcW w:w="10160" w:type="dxa"/>
            <w:vAlign w:val="bottom"/>
            <w:gridSpan w:val="2"/>
          </w:tcPr>
          <w:p>
            <w:pPr>
              <w:ind w:left="200"/>
              <w:spacing w:after="0"/>
              <w:rPr>
                <w:sz w:val="20"/>
                <w:szCs w:val="20"/>
                <w:color w:val="auto"/>
              </w:rPr>
            </w:pPr>
            <w:r>
              <w:rPr>
                <w:rFonts w:ascii="Arial" w:cs="Arial" w:eastAsia="Arial" w:hAnsi="Arial"/>
                <w:sz w:val="18"/>
                <w:szCs w:val="18"/>
                <w:color w:val="auto"/>
              </w:rPr>
              <w:t>(incorporated by reference to Exhibit 2 to Amendment 7, filed on January 11, 2012).</w:t>
            </w:r>
          </w:p>
        </w:tc>
      </w:tr>
      <w:tr>
        <w:trPr>
          <w:trHeight w:val="686"/>
        </w:trPr>
        <w:tc>
          <w:tcPr>
            <w:tcW w:w="12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9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8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r>
              <w:rPr>
                <w:rFonts w:ascii="Arial" w:cs="Arial" w:eastAsia="Arial" w:hAnsi="Arial"/>
                <w:sz w:val="18"/>
                <w:szCs w:val="18"/>
                <w:color w:val="auto"/>
              </w:rPr>
              <w:t>Date: October 19, 2012</w:t>
            </w:r>
          </w:p>
        </w:tc>
        <w:tc>
          <w:tcPr>
            <w:tcW w:w="6160" w:type="dxa"/>
            <w:vAlign w:val="bottom"/>
            <w:gridSpan w:val="2"/>
          </w:tcPr>
          <w:p>
            <w:pPr>
              <w:ind w:left="1500"/>
              <w:spacing w:after="0"/>
              <w:rPr>
                <w:sz w:val="20"/>
                <w:szCs w:val="20"/>
                <w:color w:val="auto"/>
              </w:rPr>
            </w:pPr>
            <w:r>
              <w:rPr>
                <w:rFonts w:ascii="Arial" w:cs="Arial" w:eastAsia="Arial" w:hAnsi="Arial"/>
                <w:sz w:val="18"/>
                <w:szCs w:val="18"/>
                <w:b w:val="1"/>
                <w:bCs w:val="1"/>
                <w:color w:val="auto"/>
              </w:rPr>
              <w:t>ARUZE USA, INC.</w:t>
            </w:r>
          </w:p>
        </w:tc>
      </w:tr>
      <w:tr>
        <w:trPr>
          <w:trHeight w:val="372"/>
        </w:trPr>
        <w:tc>
          <w:tcPr>
            <w:tcW w:w="3180" w:type="dxa"/>
            <w:vAlign w:val="bottom"/>
          </w:tcPr>
          <w:p>
            <w:pPr>
              <w:spacing w:after="0"/>
              <w:rPr>
                <w:sz w:val="24"/>
                <w:szCs w:val="24"/>
                <w:color w:val="auto"/>
              </w:rPr>
            </w:pPr>
          </w:p>
        </w:tc>
        <w:tc>
          <w:tcPr>
            <w:tcW w:w="2180" w:type="dxa"/>
            <w:vAlign w:val="bottom"/>
          </w:tcPr>
          <w:p>
            <w:pPr>
              <w:ind w:left="150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Kazuo Okada</w:t>
            </w:r>
          </w:p>
        </w:tc>
      </w:tr>
      <w:tr>
        <w:trPr>
          <w:trHeight w:val="202"/>
        </w:trPr>
        <w:tc>
          <w:tcPr>
            <w:tcW w:w="3180" w:type="dxa"/>
            <w:vAlign w:val="bottom"/>
          </w:tcPr>
          <w:p>
            <w:pPr>
              <w:spacing w:after="0"/>
              <w:rPr>
                <w:sz w:val="17"/>
                <w:szCs w:val="17"/>
                <w:color w:val="auto"/>
              </w:rPr>
            </w:pPr>
          </w:p>
        </w:tc>
        <w:tc>
          <w:tcPr>
            <w:tcW w:w="2180" w:type="dxa"/>
            <w:vAlign w:val="bottom"/>
          </w:tcPr>
          <w:p>
            <w:pPr>
              <w:ind w:left="1500"/>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Kazuo Okada</w:t>
            </w:r>
          </w:p>
        </w:tc>
      </w:tr>
      <w:tr>
        <w:trPr>
          <w:trHeight w:val="230"/>
        </w:trPr>
        <w:tc>
          <w:tcPr>
            <w:tcW w:w="3180" w:type="dxa"/>
            <w:vAlign w:val="bottom"/>
          </w:tcPr>
          <w:p>
            <w:pPr>
              <w:spacing w:after="0"/>
              <w:rPr>
                <w:sz w:val="20"/>
                <w:szCs w:val="20"/>
                <w:color w:val="auto"/>
              </w:rPr>
            </w:pPr>
          </w:p>
        </w:tc>
        <w:tc>
          <w:tcPr>
            <w:tcW w:w="2180" w:type="dxa"/>
            <w:vAlign w:val="bottom"/>
          </w:tcPr>
          <w:p>
            <w:pPr>
              <w:ind w:left="150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79"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UNIVERSAL ENTERTAINMENT CORPORATION</w:t>
      </w:r>
    </w:p>
    <w:p>
      <w:pPr>
        <w:spacing w:after="0" w:line="162" w:lineRule="exact"/>
        <w:rPr>
          <w:sz w:val="20"/>
          <w:szCs w:val="20"/>
          <w:color w:val="auto"/>
        </w:rPr>
      </w:pPr>
    </w:p>
    <w:tbl>
      <w:tblPr>
        <w:tblLayout w:type="fixed"/>
        <w:tblInd w:w="4680" w:type="dxa"/>
        <w:tblCellMar>
          <w:top w:w="0" w:type="dxa"/>
          <w:left w:w="0" w:type="dxa"/>
          <w:bottom w:w="0" w:type="dxa"/>
          <w:right w:w="0" w:type="dxa"/>
        </w:tblCellMar>
      </w:tblPr>
      <w:tr>
        <w:trPr>
          <w:trHeight w:val="237"/>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Kazuo Okada</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Kazuo Okada</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Chairman and Director</w:t>
            </w:r>
          </w:p>
        </w:tc>
      </w:tr>
    </w:tbl>
    <w:p>
      <w:pPr>
        <w:spacing w:after="0" w:line="279"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 xml:space="preserve">/s/ </w:t>
      </w:r>
      <w:r>
        <w:rPr>
          <w:rFonts w:ascii="Arial" w:cs="Arial" w:eastAsia="Arial" w:hAnsi="Arial"/>
          <w:sz w:val="18"/>
          <w:szCs w:val="18"/>
          <w:color w:val="auto"/>
        </w:rPr>
        <w:t>Kazuo Okada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2976880</wp:posOffset>
            </wp:positionH>
            <wp:positionV relativeFrom="paragraph">
              <wp:posOffset>17145</wp:posOffset>
            </wp:positionV>
            <wp:extent cx="2958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58465" cy="17145"/>
                    </a:xfrm>
                    <a:prstGeom prst="rect">
                      <a:avLst/>
                    </a:prstGeom>
                    <a:noFill/>
                  </pic:spPr>
                </pic:pic>
              </a:graphicData>
            </a:graphic>
          </wp:anchor>
        </w:drawing>
      </w:r>
    </w:p>
    <w:p>
      <w:pPr>
        <w:spacing w:after="0" w:line="20"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Kazuo Okada,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535940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60" w:top="540"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60" w:type="dxa"/>
            <w:vAlign w:val="bottom"/>
          </w:tcPr>
          <w:p>
            <w:pPr>
              <w:ind w:left="3560"/>
              <w:spacing w:after="0"/>
              <w:rPr>
                <w:sz w:val="20"/>
                <w:szCs w:val="20"/>
                <w:color w:val="auto"/>
              </w:rPr>
            </w:pPr>
            <w:r>
              <w:rPr>
                <w:rFonts w:ascii="Arial" w:cs="Arial" w:eastAsia="Arial" w:hAnsi="Arial"/>
                <w:sz w:val="18"/>
                <w:szCs w:val="18"/>
                <w:b w:val="1"/>
                <w:bCs w:val="1"/>
                <w:color w:val="auto"/>
              </w:rPr>
              <w:t>EXHIBIT INDEX</w:t>
            </w:r>
          </w:p>
        </w:tc>
        <w:tc>
          <w:tcPr>
            <w:tcW w:w="20" w:type="dxa"/>
            <w:vAlign w:val="bottom"/>
          </w:tcPr>
          <w:p>
            <w:pPr>
              <w:spacing w:after="0"/>
              <w:rPr>
                <w:sz w:val="20"/>
                <w:szCs w:val="20"/>
                <w:color w:val="auto"/>
              </w:rPr>
            </w:pPr>
          </w:p>
        </w:tc>
      </w:tr>
      <w:tr>
        <w:trPr>
          <w:trHeight w:val="709"/>
        </w:trPr>
        <w:tc>
          <w:tcPr>
            <w:tcW w:w="1260" w:type="dxa"/>
            <w:vAlign w:val="bottom"/>
          </w:tcPr>
          <w:p>
            <w:pPr>
              <w:spacing w:after="0"/>
              <w:rPr>
                <w:sz w:val="20"/>
                <w:szCs w:val="20"/>
                <w:color w:val="auto"/>
              </w:rPr>
            </w:pPr>
            <w:r>
              <w:rPr>
                <w:rFonts w:ascii="Arial" w:cs="Arial" w:eastAsia="Arial" w:hAnsi="Arial"/>
                <w:sz w:val="18"/>
                <w:szCs w:val="18"/>
                <w:b w:val="1"/>
                <w:bCs w:val="1"/>
                <w:color w:val="auto"/>
                <w:w w:val="93"/>
              </w:rPr>
              <w:t>Exhibit Number</w:t>
            </w:r>
          </w:p>
        </w:tc>
        <w:tc>
          <w:tcPr>
            <w:tcW w:w="10160" w:type="dxa"/>
            <w:vAlign w:val="bottom"/>
            <w:gridSpan w:val="2"/>
          </w:tcPr>
          <w:p>
            <w:pPr>
              <w:ind w:left="200"/>
              <w:spacing w:after="0"/>
              <w:rPr>
                <w:sz w:val="20"/>
                <w:szCs w:val="20"/>
                <w:color w:val="auto"/>
              </w:rPr>
            </w:pPr>
            <w:r>
              <w:rPr>
                <w:rFonts w:ascii="Arial" w:cs="Arial" w:eastAsia="Arial" w:hAnsi="Arial"/>
                <w:sz w:val="18"/>
                <w:szCs w:val="18"/>
                <w:b w:val="1"/>
                <w:bCs w:val="1"/>
                <w:color w:val="auto"/>
              </w:rPr>
              <w:t>Description</w:t>
            </w:r>
          </w:p>
        </w:tc>
        <w:tc>
          <w:tcPr>
            <w:tcW w:w="20" w:type="dxa"/>
            <w:vAlign w:val="bottom"/>
          </w:tcPr>
          <w:p>
            <w:pPr>
              <w:spacing w:after="0"/>
              <w:rPr>
                <w:sz w:val="24"/>
                <w:szCs w:val="24"/>
                <w:color w:val="auto"/>
              </w:rPr>
            </w:pPr>
          </w:p>
        </w:tc>
      </w:tr>
      <w:tr>
        <w:trPr>
          <w:trHeight w:val="202"/>
        </w:trPr>
        <w:tc>
          <w:tcPr>
            <w:tcW w:w="12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99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7"/>
              </w:rPr>
              <w:t>Joint Filing Agreement, dated January 11, 2012 among Aruze USA, Inc., Universal Entertainment Corporation and Kazuo Okada</w:t>
            </w:r>
          </w:p>
        </w:tc>
        <w:tc>
          <w:tcPr>
            <w:tcW w:w="20" w:type="dxa"/>
            <w:vAlign w:val="bottom"/>
          </w:tcPr>
          <w:p>
            <w:pPr>
              <w:spacing w:after="0"/>
              <w:rPr>
                <w:sz w:val="17"/>
                <w:szCs w:val="17"/>
                <w:color w:val="auto"/>
              </w:rPr>
            </w:pPr>
          </w:p>
        </w:tc>
      </w:tr>
      <w:tr>
        <w:trPr>
          <w:trHeight w:val="230"/>
        </w:trPr>
        <w:tc>
          <w:tcPr>
            <w:tcW w:w="1260" w:type="dxa"/>
            <w:vAlign w:val="bottom"/>
          </w:tcPr>
          <w:p>
            <w:pPr>
              <w:spacing w:after="0"/>
              <w:rPr>
                <w:sz w:val="20"/>
                <w:szCs w:val="20"/>
                <w:color w:val="auto"/>
              </w:rPr>
            </w:pPr>
          </w:p>
        </w:tc>
        <w:tc>
          <w:tcPr>
            <w:tcW w:w="10160" w:type="dxa"/>
            <w:vAlign w:val="bottom"/>
            <w:gridSpan w:val="2"/>
          </w:tcPr>
          <w:p>
            <w:pPr>
              <w:ind w:left="200"/>
              <w:spacing w:after="0"/>
              <w:rPr>
                <w:sz w:val="20"/>
                <w:szCs w:val="20"/>
                <w:color w:val="auto"/>
              </w:rPr>
            </w:pPr>
            <w:r>
              <w:rPr>
                <w:rFonts w:ascii="Arial" w:cs="Arial" w:eastAsia="Arial" w:hAnsi="Arial"/>
                <w:sz w:val="18"/>
                <w:szCs w:val="18"/>
                <w:color w:val="auto"/>
              </w:rPr>
              <w:t>(incorporated by reference to Exhibit 2 to Amendment No. 7, filed on January 11, 2012).</w:t>
            </w:r>
          </w:p>
        </w:tc>
        <w:tc>
          <w:tcPr>
            <w:tcW w:w="20" w:type="dxa"/>
            <w:vAlign w:val="bottom"/>
          </w:tcPr>
          <w:p>
            <w:pPr>
              <w:spacing w:after="0"/>
              <w:rPr>
                <w:sz w:val="20"/>
                <w:szCs w:val="20"/>
                <w:color w:val="auto"/>
              </w:rPr>
            </w:pPr>
          </w:p>
        </w:tc>
      </w:tr>
      <w:tr>
        <w:trPr>
          <w:trHeight w:val="821"/>
        </w:trPr>
        <w:tc>
          <w:tcPr>
            <w:tcW w:w="12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9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54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2019-12-09T15:14:15Z</dcterms:created>
  <dcterms:modified xsi:type="dcterms:W3CDTF">2019-12-09T15:14:15Z</dcterms:modified>
</cp:coreProperties>
</file>