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March 9, 2006</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420"/>
            <w:col w:w="3899"/>
          </w:cols>
          <w:pgMar w:left="240" w:top="447" w:right="1440" w:bottom="0" w:gutter="0" w:footer="0" w:header="0"/>
          <w:type w:val="continuous"/>
        </w:sectPr>
      </w:pPr>
    </w:p>
    <w:p>
      <w:pPr>
        <w:spacing w:after="0" w:line="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88-0494878</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420"/>
            <w:col w:w="3899"/>
          </w:cols>
          <w:pgMar w:left="240" w:top="447" w:right="1440" w:bottom="0" w:gutter="0" w:footer="0" w:header="0"/>
          <w:type w:val="continuous"/>
        </w:sectPr>
      </w:pPr>
    </w:p>
    <w:p>
      <w:pPr>
        <w:spacing w:after="0" w:line="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3131 Las Vegas Boulevard South</w:t>
      </w:r>
    </w:p>
    <w:p>
      <w:pPr>
        <w:ind w:left="180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560" w:space="720"/>
            <w:col w:w="2939"/>
          </w:cols>
          <w:pgMar w:left="240" w:top="447"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 pursuant to Rule 425 under the Securities Act (17 CFR 230.425)</w:t>
      </w:r>
    </w:p>
    <w:p>
      <w:pPr>
        <w:spacing w:after="0" w:line="208" w:lineRule="exact"/>
        <w:rPr>
          <w:sz w:val="24"/>
          <w:szCs w:val="24"/>
          <w:color w:val="auto"/>
        </w:rPr>
      </w:pPr>
    </w:p>
    <w:p>
      <w:pPr>
        <w:ind w:left="540" w:right="273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5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March 15, 2006, Wynn Resorts, Limited ("WRL") issued a press release announcing that it and its subsidiary, Wynn Las Vegas, LLC ("WLV" and, together with WRL, the "Registrants"), will restate their historical financial statements for the years ended 2003 and 2004 and the first three quarters of 2005. Amounts for the fourth quarter and year ended December 31, 2005 previously reported in WRL's press release dated February 23, 2006 are also being revised. As described in Item 4.02 below, the restatement of this financial information is due to adjustments related to the application of Statement of Financial Accounting Standards No. 133, Accounting for Derivative Instruments and Hedging Activities, as amended ("SFAS 133").</w:t>
      </w:r>
    </w:p>
    <w:p>
      <w:pPr>
        <w:spacing w:after="0" w:line="215"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 copy of WRL's press release related to the revised financial results for the Registrants is attached hereto as Exhibit 99.1 and is incorporated herein by reference.</w:t>
      </w:r>
    </w:p>
    <w:p>
      <w:pPr>
        <w:spacing w:after="0" w:line="209"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4.02(a). Non-Reliance on Previously Issued Financial Statements or a Related Audit Report or Completed Interim Review.</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At a meeting on March 9, 2006, the Audit Committee of the Board of</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2520"/>
        <w:spacing w:after="0" w:line="237" w:lineRule="auto"/>
        <w:rPr>
          <w:sz w:val="20"/>
          <w:szCs w:val="20"/>
          <w:color w:val="auto"/>
        </w:rPr>
      </w:pPr>
      <w:r>
        <w:rPr>
          <w:rFonts w:ascii="Courier New" w:cs="Courier New" w:eastAsia="Courier New" w:hAnsi="Courier New"/>
          <w:sz w:val="18"/>
          <w:szCs w:val="18"/>
          <w:color w:val="auto"/>
        </w:rPr>
        <w:t>Directors of WRL, upon the recommendation of management, determined that the financial statements of the Registrants for the years ended December 31, 2003 and 2004 and the first three quarters of 2005, should be restated to eliminate hedge accounting treatment for its interest rate swaps and, as a result, that the financial statements of the Registrants and related auditors' reports for these periods should no longer be relied upon. The Registrants will include restated financial information for these periods in their Annual Reports on Form 10-K for the year ended December 31, 2005, and prospectively in its Fiscal 2006 10-Qs that reflect the proper accounting treatment.</w:t>
      </w:r>
    </w:p>
    <w:p>
      <w:pPr>
        <w:spacing w:after="0" w:line="214" w:lineRule="exact"/>
        <w:rPr>
          <w:sz w:val="20"/>
          <w:szCs w:val="20"/>
          <w:color w:val="auto"/>
        </w:rPr>
      </w:pPr>
    </w:p>
    <w:p>
      <w:pPr>
        <w:ind w:right="2520" w:firstLine="948"/>
        <w:spacing w:after="0" w:line="238" w:lineRule="auto"/>
        <w:rPr>
          <w:sz w:val="20"/>
          <w:szCs w:val="20"/>
          <w:color w:val="auto"/>
        </w:rPr>
      </w:pPr>
      <w:r>
        <w:rPr>
          <w:rFonts w:ascii="Courier New" w:cs="Courier New" w:eastAsia="Courier New" w:hAnsi="Courier New"/>
          <w:sz w:val="18"/>
          <w:szCs w:val="18"/>
          <w:color w:val="auto"/>
        </w:rPr>
        <w:t>The Registrants have interest rate swap arrangements relating to their floating-rate debt facilities. The Registrants recently determined that these interest rate swaps were not appropriately accounted for under the provisions of SFAS 133. The Registrants'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 for which an assessment was required and the Registrants recently determined that the repricing dates on the swap instruments did not match exactly the repricing dates on the floating rate debt. Although the swap arrangements were effective economic hedging instruments, documentation deficiencies cannot be corrected, and quarterly testing cannot be performed, retrospectively. As a result of the documentation deficiencies, hedge accounting should not have been used. Eliminating the application of cash flow hedge accounting results in recording the mark to market adjustments for the interest rate swaps as interest and other income, net and not in comprehensive income, as was previously reported.</w:t>
      </w:r>
    </w:p>
    <w:p>
      <w:pPr>
        <w:spacing w:after="0" w:line="209" w:lineRule="exact"/>
        <w:rPr>
          <w:sz w:val="20"/>
          <w:szCs w:val="20"/>
          <w:color w:val="auto"/>
        </w:rPr>
      </w:pPr>
    </w:p>
    <w:p>
      <w:pPr>
        <w:jc w:val="both"/>
        <w:ind w:right="2620" w:firstLine="948"/>
        <w:spacing w:after="0" w:line="236" w:lineRule="auto"/>
        <w:rPr>
          <w:sz w:val="20"/>
          <w:szCs w:val="20"/>
          <w:color w:val="auto"/>
        </w:rPr>
      </w:pPr>
      <w:r>
        <w:rPr>
          <w:rFonts w:ascii="Courier New" w:cs="Courier New" w:eastAsia="Courier New" w:hAnsi="Courier New"/>
          <w:sz w:val="18"/>
          <w:szCs w:val="18"/>
          <w:color w:val="auto"/>
        </w:rPr>
        <w:t>The cumulative effect of the restatement is a reduction in accumulated deficit at September 30, 2005 of $16.2 million. The restatements have no effect on cash flow from operating activities.</w:t>
      </w:r>
    </w:p>
    <w:p>
      <w:pPr>
        <w:spacing w:after="0" w:line="209" w:lineRule="exact"/>
        <w:rPr>
          <w:sz w:val="20"/>
          <w:szCs w:val="20"/>
          <w:color w:val="auto"/>
        </w:rPr>
      </w:pPr>
    </w:p>
    <w:p>
      <w:pPr>
        <w:ind w:right="2520" w:firstLine="948"/>
        <w:spacing w:after="0" w:line="236" w:lineRule="auto"/>
        <w:rPr>
          <w:sz w:val="20"/>
          <w:szCs w:val="20"/>
          <w:color w:val="auto"/>
        </w:rPr>
      </w:pPr>
      <w:r>
        <w:rPr>
          <w:rFonts w:ascii="Courier New" w:cs="Courier New" w:eastAsia="Courier New" w:hAnsi="Courier New"/>
          <w:sz w:val="18"/>
          <w:szCs w:val="18"/>
          <w:color w:val="auto"/>
        </w:rPr>
        <w:t>A summary of the effect of the restatements on WRL's previously reported net loss for each period is as follows (amounts in thousands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EPS Adjustment</w:t>
            </w: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Net Loss As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Net Loss As</w:t>
            </w:r>
          </w:p>
        </w:tc>
        <w:tc>
          <w:tcPr>
            <w:tcW w:w="3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2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Reported</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Adjustment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Restated</w:t>
            </w:r>
          </w:p>
        </w:tc>
        <w:tc>
          <w:tcPr>
            <w:tcW w:w="3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(Decrease)</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2003</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(48,892)</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8,793</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(40,099)</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2004:</w:t>
            </w: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Quarter</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(13,248)</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(11,904)</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(25,152)</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Second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18,190</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(23,729)</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Third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(22,706)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(31,931)</w:t>
            </w:r>
          </w:p>
        </w:tc>
        <w:tc>
          <w:tcPr>
            <w:tcW w:w="38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Fourth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(127,713)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4,354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(123,359)</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2004</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(205,586)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1,415</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(204,171)</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Quarter</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(37,627)</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7,701</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(29,926)</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Second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(35,162)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(41,778)</w:t>
            </w:r>
          </w:p>
        </w:tc>
        <w:tc>
          <w:tcPr>
            <w:tcW w:w="38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Third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(9,247)</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Fourth Quarter</w:t>
            </w:r>
          </w:p>
        </w:tc>
        <w:tc>
          <w:tcPr>
            <w:tcW w:w="74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(11,439)</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w:t>
            </w:r>
          </w:p>
        </w:tc>
        <w:tc>
          <w:tcPr>
            <w:tcW w:w="2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(9,885)</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2005</w:t>
            </w:r>
          </w:p>
        </w:tc>
        <w:tc>
          <w:tcPr>
            <w:tcW w:w="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(98,418)</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7,582</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(90,836)</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228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1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20" w:right="3060"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Wynn Resorts, Limited's press release dated February 23, 2006.</w:t>
      </w:r>
    </w:p>
    <w:p>
      <w:pPr>
        <w:spacing w:after="0" w:line="208" w:lineRule="exact"/>
        <w:rPr>
          <w:rFonts w:ascii="Courier New" w:cs="Courier New" w:eastAsia="Courier New" w:hAnsi="Courier New"/>
          <w:sz w:val="18"/>
          <w:szCs w:val="18"/>
          <w:color w:val="auto"/>
        </w:rPr>
      </w:pPr>
    </w:p>
    <w:p>
      <w:pPr>
        <w:ind w:left="420" w:right="2620" w:hanging="412"/>
        <w:spacing w:after="0" w:line="23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$1,084,000 increase to the net loss from swap accounting adjustments offset by a $2,638,000 reduction in net loss from other accrual adjustments.</w:t>
      </w:r>
    </w:p>
    <w:p>
      <w:pPr>
        <w:spacing w:after="0" w:line="209" w:lineRule="exact"/>
        <w:rPr>
          <w:sz w:val="20"/>
          <w:szCs w:val="20"/>
          <w:color w:val="auto"/>
        </w:rPr>
      </w:pPr>
    </w:p>
    <w:p>
      <w:pPr>
        <w:ind w:right="2620" w:firstLine="948"/>
        <w:spacing w:after="0" w:line="235" w:lineRule="auto"/>
        <w:rPr>
          <w:sz w:val="20"/>
          <w:szCs w:val="20"/>
          <w:color w:val="auto"/>
        </w:rPr>
      </w:pPr>
      <w:r>
        <w:rPr>
          <w:rFonts w:ascii="Courier New" w:cs="Courier New" w:eastAsia="Courier New" w:hAnsi="Courier New"/>
          <w:sz w:val="18"/>
          <w:szCs w:val="18"/>
          <w:color w:val="auto"/>
        </w:rPr>
        <w:t>A summary of the effect on WLV's previously reported net loss for each period is as follows (amounts in thousands):</w:t>
      </w:r>
    </w:p>
    <w:p>
      <w:pPr>
        <w:spacing w:after="0" w:line="203" w:lineRule="exact"/>
        <w:rPr>
          <w:sz w:val="20"/>
          <w:szCs w:val="20"/>
          <w:color w:val="auto"/>
        </w:rPr>
      </w:pPr>
    </w:p>
    <w:p>
      <w:pPr>
        <w:ind w:left="3060"/>
        <w:spacing w:after="0"/>
        <w:tabs>
          <w:tab w:leader="none" w:pos="6720" w:val="left"/>
        </w:tabs>
        <w:rPr>
          <w:sz w:val="20"/>
          <w:szCs w:val="20"/>
          <w:color w:val="auto"/>
        </w:rPr>
      </w:pPr>
      <w:r>
        <w:rPr>
          <w:rFonts w:ascii="Courier New" w:cs="Courier New" w:eastAsia="Courier New" w:hAnsi="Courier New"/>
          <w:sz w:val="18"/>
          <w:szCs w:val="18"/>
          <w:color w:val="auto"/>
        </w:rPr>
        <w:t>Net Income</w:t>
      </w:r>
      <w:r>
        <w:rPr>
          <w:sz w:val="20"/>
          <w:szCs w:val="20"/>
          <w:color w:val="auto"/>
        </w:rPr>
        <w:tab/>
      </w:r>
      <w:r>
        <w:rPr>
          <w:rFonts w:ascii="Courier New" w:cs="Courier New" w:eastAsia="Courier New" w:hAnsi="Courier New"/>
          <w:sz w:val="16"/>
          <w:szCs w:val="16"/>
          <w:color w:val="auto"/>
        </w:rPr>
        <w:t>Net Income</w:t>
      </w:r>
    </w:p>
    <w:p>
      <w:pPr>
        <w:ind w:left="3060"/>
        <w:spacing w:after="0"/>
        <w:tabs>
          <w:tab w:leader="none" w:pos="6720" w:val="left"/>
        </w:tabs>
        <w:rPr>
          <w:sz w:val="20"/>
          <w:szCs w:val="20"/>
          <w:color w:val="auto"/>
        </w:rPr>
      </w:pPr>
      <w:r>
        <w:rPr>
          <w:rFonts w:ascii="Courier New" w:cs="Courier New" w:eastAsia="Courier New" w:hAnsi="Courier New"/>
          <w:sz w:val="18"/>
          <w:szCs w:val="18"/>
          <w:color w:val="auto"/>
        </w:rPr>
        <w:t>(Loss) As</w:t>
      </w:r>
      <w:r>
        <w:rPr>
          <w:sz w:val="20"/>
          <w:szCs w:val="20"/>
          <w:color w:val="auto"/>
        </w:rPr>
        <w:tab/>
      </w:r>
      <w:r>
        <w:rPr>
          <w:rFonts w:ascii="Courier New" w:cs="Courier New" w:eastAsia="Courier New" w:hAnsi="Courier New"/>
          <w:sz w:val="16"/>
          <w:szCs w:val="16"/>
          <w:color w:val="auto"/>
        </w:rPr>
        <w:t>(Loss) As</w:t>
      </w:r>
    </w:p>
    <w:p>
      <w:pPr>
        <w:ind w:left="3160"/>
        <w:spacing w:after="0"/>
        <w:tabs>
          <w:tab w:leader="none" w:pos="4940" w:val="left"/>
          <w:tab w:leader="none" w:pos="6840" w:val="left"/>
        </w:tabs>
        <w:rPr>
          <w:sz w:val="20"/>
          <w:szCs w:val="20"/>
          <w:color w:val="auto"/>
        </w:rPr>
      </w:pPr>
      <w:r>
        <w:rPr>
          <w:rFonts w:ascii="Courier New" w:cs="Courier New" w:eastAsia="Courier New" w:hAnsi="Courier New"/>
          <w:sz w:val="18"/>
          <w:szCs w:val="18"/>
          <w:color w:val="auto"/>
        </w:rPr>
        <w:t>Reported</w:t>
      </w:r>
      <w:r>
        <w:rPr>
          <w:sz w:val="20"/>
          <w:szCs w:val="20"/>
          <w:color w:val="auto"/>
        </w:rPr>
        <w:tab/>
      </w: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6"/>
          <w:szCs w:val="16"/>
          <w:color w:val="auto"/>
        </w:rPr>
        <w:t>Restated</w:t>
      </w:r>
    </w:p>
    <w:p>
      <w:pPr>
        <w:ind w:left="28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ind w:left="640"/>
        <w:spacing w:after="0"/>
        <w:tabs>
          <w:tab w:leader="none" w:pos="3040" w:val="left"/>
          <w:tab w:leader="none" w:pos="3460" w:val="left"/>
          <w:tab w:leader="none" w:pos="4940" w:val="left"/>
          <w:tab w:leader="none" w:pos="5580" w:val="left"/>
          <w:tab w:leader="none" w:pos="6840" w:val="left"/>
          <w:tab w:leader="none" w:pos="7580" w:val="left"/>
        </w:tabs>
        <w:rPr>
          <w:sz w:val="20"/>
          <w:szCs w:val="20"/>
          <w:color w:val="auto"/>
        </w:rPr>
      </w:pPr>
      <w:r>
        <w:rPr>
          <w:rFonts w:ascii="Courier New" w:cs="Courier New" w:eastAsia="Courier New" w:hAnsi="Courier New"/>
          <w:sz w:val="18"/>
          <w:szCs w:val="18"/>
          <w:color w:val="auto"/>
        </w:rPr>
        <w:t>Total 2003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(15,973)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8,793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(7,180)</w:t>
      </w:r>
    </w:p>
    <w:p>
      <w:pPr>
        <w:ind w:left="286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960"/>
          </w:cols>
          <w:pgMar w:left="240" w:top="142" w:right="699"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2004:</w:t>
      </w:r>
    </w:p>
    <w:p>
      <w:pPr>
        <w:sectPr>
          <w:pgSz w:w="11900" w:h="16838" w:orient="portrait"/>
          <w:cols w:equalWidth="0" w:num="1">
            <w:col w:w="10960"/>
          </w:cols>
          <w:pgMar w:left="240" w:top="142" w:right="6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First Quarter</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(6,770)</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(11,904)</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(18,674)</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Second Quarter</w:t>
            </w:r>
          </w:p>
        </w:tc>
        <w:tc>
          <w:tcPr>
            <w:tcW w:w="8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(35,031)</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18,190</w:t>
            </w:r>
          </w:p>
        </w:tc>
        <w:tc>
          <w:tcPr>
            <w:tcW w:w="7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(16,841)</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Third Quarter</w:t>
            </w:r>
          </w:p>
        </w:tc>
        <w:tc>
          <w:tcPr>
            <w:tcW w:w="8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(12,470)</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(9,225)</w:t>
            </w:r>
          </w:p>
        </w:tc>
        <w:tc>
          <w:tcPr>
            <w:tcW w:w="7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(21,695)</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Fourth Quarter</w:t>
            </w:r>
          </w:p>
        </w:tc>
        <w:tc>
          <w:tcPr>
            <w:tcW w:w="8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(107,646)</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4,354</w:t>
            </w:r>
          </w:p>
        </w:tc>
        <w:tc>
          <w:tcPr>
            <w:tcW w:w="7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(103,292)</w:t>
            </w:r>
          </w:p>
        </w:tc>
      </w:tr>
      <w:tr>
        <w:trPr>
          <w:trHeight w:val="203"/>
        </w:trPr>
        <w:tc>
          <w:tcPr>
            <w:tcW w:w="248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2004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(161,917)</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1,415</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(160,502)</w:t>
            </w:r>
          </w:p>
        </w:tc>
      </w:tr>
      <w:tr>
        <w:trPr>
          <w:trHeight w:val="203"/>
        </w:trPr>
        <w:tc>
          <w:tcPr>
            <w:tcW w:w="248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First Quarter</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(26,908)</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7,701</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(19,207)</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Second Quarter</w:t>
            </w:r>
          </w:p>
        </w:tc>
        <w:tc>
          <w:tcPr>
            <w:tcW w:w="8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(24,962)</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(6,616)</w:t>
            </w:r>
          </w:p>
        </w:tc>
        <w:tc>
          <w:tcPr>
            <w:tcW w:w="7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(31,578)</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Third Quarter</w:t>
            </w:r>
          </w:p>
        </w:tc>
        <w:tc>
          <w:tcPr>
            <w:tcW w:w="8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(3,931)</w:t>
            </w:r>
          </w:p>
        </w:tc>
        <w:tc>
          <w:tcPr>
            <w:tcW w:w="62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4,943</w:t>
            </w:r>
          </w:p>
        </w:tc>
        <w:tc>
          <w:tcPr>
            <w:tcW w:w="7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1,012</w:t>
            </w:r>
          </w:p>
        </w:tc>
      </w:tr>
      <w:tr>
        <w:trPr>
          <w:trHeight w:val="405"/>
        </w:trPr>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Fourth Quarter</w:t>
            </w:r>
          </w:p>
        </w:tc>
        <w:tc>
          <w:tcPr>
            <w:tcW w:w="80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4,500</w:t>
            </w:r>
          </w:p>
        </w:tc>
        <w:tc>
          <w:tcPr>
            <w:tcW w:w="62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4,500</w:t>
            </w:r>
          </w:p>
        </w:tc>
      </w:tr>
      <w:tr>
        <w:trPr>
          <w:trHeight w:val="203"/>
        </w:trPr>
        <w:tc>
          <w:tcPr>
            <w:tcW w:w="248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2005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(51,301)</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6,028</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(45,273)</w:t>
            </w:r>
          </w:p>
        </w:tc>
      </w:tr>
      <w:tr>
        <w:trPr>
          <w:trHeight w:val="203"/>
        </w:trPr>
        <w:tc>
          <w:tcPr>
            <w:tcW w:w="248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management report on internal control over financial reporting, which will be included in each Registrant's Annual Report on Form 10-K for the year ended December 31, 2005, will indicate that management identified a material weakness related to the application of SFAS 133. The Registrants have adopted additional accounting policies and internal controls to address the issues raised by this material weakness.</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Management of the Registrants and the Audit Committee of WRL's Board of Directors have discussed the matters disclosed in this Current Report on Form</w:t>
      </w:r>
    </w:p>
    <w:p>
      <w:pPr>
        <w:ind w:right="1999"/>
        <w:spacing w:after="0" w:line="235" w:lineRule="auto"/>
        <w:rPr>
          <w:sz w:val="20"/>
          <w:szCs w:val="20"/>
          <w:color w:val="auto"/>
        </w:rPr>
      </w:pPr>
      <w:r>
        <w:rPr>
          <w:rFonts w:ascii="Courier New" w:cs="Courier New" w:eastAsia="Courier New" w:hAnsi="Courier New"/>
          <w:sz w:val="18"/>
          <w:szCs w:val="18"/>
          <w:color w:val="auto"/>
        </w:rPr>
        <w:t>8-K with Deloitte &amp; Touche LLP, the Registrants' independent registered public accounting firm.</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Number</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3300" w:space="720"/>
            <w:col w:w="6199"/>
          </w:cols>
          <w:pgMar w:left="240" w:top="136" w:right="1440" w:bottom="1440" w:gutter="0" w:footer="0" w:header="0"/>
          <w:type w:val="continuous"/>
        </w:sectPr>
      </w:pPr>
    </w:p>
    <w:p>
      <w:pPr>
        <w:spacing w:after="0" w:line="210"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Press Release, dated March 15, 2006, of Wynn Resorts, Limited</w:t>
      </w:r>
    </w:p>
    <w:p>
      <w:pPr>
        <w:sectPr>
          <w:pgSz w:w="11900" w:h="16838" w:orient="portrait"/>
          <w:cols w:equalWidth="0" w:num="2">
            <w:col w:w="3300" w:space="720"/>
            <w:col w:w="6199"/>
          </w:cols>
          <w:pgMar w:left="240" w:top="136" w:right="1440" w:bottom="1440" w:gutter="0" w:footer="0" w:header="0"/>
          <w:type w:val="continuous"/>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15, 2006</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John Strzemp</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15, 2006</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sole member</w:t>
      </w: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member</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John Strzemp</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9" w:lineRule="exact"/>
        <w:rPr>
          <w:sz w:val="20"/>
          <w:szCs w:val="20"/>
          <w:color w:val="auto"/>
        </w:rPr>
      </w:pPr>
    </w:p>
    <w:p>
      <w:pPr>
        <w:jc w:val="both"/>
        <w:ind w:right="1779" w:firstLine="211"/>
        <w:spacing w:after="0" w:line="290" w:lineRule="auto"/>
        <w:rPr>
          <w:sz w:val="20"/>
          <w:szCs w:val="20"/>
          <w:color w:val="auto"/>
        </w:rPr>
      </w:pPr>
      <w:r>
        <w:rPr>
          <w:rFonts w:ascii="Courier New" w:cs="Courier New" w:eastAsia="Courier New" w:hAnsi="Courier New"/>
          <w:sz w:val="16"/>
          <w:szCs w:val="16"/>
          <w:color w:val="auto"/>
        </w:rPr>
        <w:t>Wynn Resorts, Limited and Wynn Las Vegas, LLC to Restate Financial Statements for Hedge Accounting Adjustment Under SFAS 133, Reduction of Accumulated Deficit</w:t>
      </w:r>
    </w:p>
    <w:p>
      <w:pPr>
        <w:spacing w:after="0" w:line="372"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LAS VEGAS, March 15, 2006 (BUSINESS WIRE) -- Wynn Resorts, Limited (Nasdaq: WYNN) and its subsidiary, Wynn Las Vegas, LLC today announced that they would restate financial statements for the years ended 2003 and 2004 and the first three quarters of 2005, in order to adjust the accounting for their interest rate swap arrangements under Statement of Financial Accounting Standards (SFAS)</w:t>
      </w:r>
    </w:p>
    <w:p>
      <w:pPr>
        <w:spacing w:after="0" w:line="1" w:lineRule="exact"/>
        <w:rPr>
          <w:sz w:val="20"/>
          <w:szCs w:val="20"/>
          <w:color w:val="auto"/>
        </w:rPr>
      </w:pPr>
    </w:p>
    <w:p>
      <w:pPr>
        <w:ind w:right="177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restated financial information will be included in the Annual Reports on Form 10-K for the year ended December 31, 2005, and prospectively in their Fiscal 2006 10-Qs. The cumulative effect of the restatement results in a reduction in accumulated deficit of approximately $16.2 million at September 30, 2005. The restatements will have no effect on cash flow from operating activities.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CONTACT:</w:t>
      </w:r>
    </w:p>
    <w:p>
      <w:pPr>
        <w:spacing w:after="0" w:line="237" w:lineRule="auto"/>
        <w:rPr>
          <w:sz w:val="20"/>
          <w:szCs w:val="20"/>
          <w:color w:val="auto"/>
        </w:rPr>
      </w:pPr>
      <w:r>
        <w:rPr>
          <w:rFonts w:ascii="Courier New" w:cs="Courier New" w:eastAsia="Courier New" w:hAnsi="Courier New"/>
          <w:sz w:val="18"/>
          <w:szCs w:val="18"/>
          <w:color w:val="auto"/>
        </w:rPr>
        <w:t>Samanta Stewart, 702-770-7555</w:t>
      </w:r>
    </w:p>
    <w:p>
      <w:pPr>
        <w:spacing w:after="0" w:line="238"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www.wynnresorts.com</w:t>
      </w:r>
    </w:p>
    <w:p>
      <w:pPr>
        <w:spacing w:after="0" w:line="238" w:lineRule="auto"/>
        <w:rPr>
          <w:sz w:val="20"/>
          <w:szCs w:val="20"/>
          <w:color w:val="auto"/>
        </w:rPr>
      </w:pPr>
      <w:r>
        <w:rPr>
          <w:rFonts w:ascii="Courier New" w:cs="Courier New" w:eastAsia="Courier New" w:hAnsi="Courier New"/>
          <w:sz w:val="18"/>
          <w:szCs w:val="18"/>
          <w:color w:val="auto"/>
        </w:rPr>
        <w:t>www.wynnlasvegas.com</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3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2019-12-12T04:35:09Z</dcterms:created>
  <dcterms:modified xsi:type="dcterms:W3CDTF">2019-12-12T04:35:09Z</dcterms:modified>
</cp:coreProperties>
</file>