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ind w:left="1700"/>
        <w:spacing w:after="0"/>
        <w:rPr>
          <w:sz w:val="20"/>
          <w:szCs w:val="20"/>
          <w:color w:val="auto"/>
        </w:rPr>
      </w:pPr>
      <w:r>
        <w:rPr>
          <w:rFonts w:ascii="Arial" w:cs="Arial" w:eastAsia="Arial" w:hAnsi="Arial"/>
          <w:sz w:val="15"/>
          <w:szCs w:val="15"/>
          <w:color w:val="auto"/>
        </w:rPr>
        <w:t>Date of Report (Date of earliest event reported): December 9, 2005</w:t>
      </w:r>
    </w:p>
    <w:p>
      <w:pPr>
        <w:spacing w:after="0" w:line="200" w:lineRule="exact"/>
        <w:rPr>
          <w:sz w:val="24"/>
          <w:szCs w:val="24"/>
          <w:color w:val="auto"/>
        </w:rPr>
      </w:pPr>
    </w:p>
    <w:p>
      <w:pPr>
        <w:spacing w:after="0" w:line="27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06" w:orient="portrait"/>
          <w:cols w:equalWidth="0" w:num="1">
            <w:col w:w="10219"/>
          </w:cols>
          <w:pgMar w:left="240" w:top="233" w:right="1440" w:bottom="0" w:gutter="0" w:footer="0" w:header="0"/>
        </w:sectPr>
      </w:pPr>
    </w:p>
    <w:p>
      <w:pPr>
        <w:spacing w:after="0" w:line="145" w:lineRule="exact"/>
        <w:rPr>
          <w:sz w:val="24"/>
          <w:szCs w:val="24"/>
          <w:color w:val="auto"/>
        </w:rPr>
      </w:pPr>
    </w:p>
    <w:p>
      <w:pPr>
        <w:jc w:val="center"/>
        <w:ind w:left="24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left="2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000-50028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jc w:val="center"/>
        <w:ind w:right="2299"/>
        <w:spacing w:after="0"/>
        <w:rPr>
          <w:sz w:val="20"/>
          <w:szCs w:val="20"/>
          <w:color w:val="auto"/>
        </w:rPr>
      </w:pPr>
      <w:r>
        <w:rPr>
          <w:rFonts w:ascii="Arial" w:cs="Arial" w:eastAsia="Arial" w:hAnsi="Arial"/>
          <w:sz w:val="18"/>
          <w:szCs w:val="18"/>
          <w:b w:val="1"/>
          <w:bCs w:val="1"/>
          <w:color w:val="auto"/>
        </w:rPr>
        <w:t>46-0484987</w:t>
      </w:r>
    </w:p>
    <w:p>
      <w:pPr>
        <w:spacing w:after="0" w:line="21" w:lineRule="exact"/>
        <w:rPr>
          <w:sz w:val="24"/>
          <w:szCs w:val="24"/>
          <w:color w:val="auto"/>
        </w:rPr>
      </w:pPr>
    </w:p>
    <w:p>
      <w:pPr>
        <w:jc w:val="center"/>
        <w:ind w:right="2299"/>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906" w:orient="portrait"/>
          <w:cols w:equalWidth="0" w:num="3">
            <w:col w:w="2260" w:space="600"/>
            <w:col w:w="1940" w:space="560"/>
            <w:col w:w="4859"/>
          </w:cols>
          <w:pgMar w:left="240" w:top="233" w:right="1440" w:bottom="0" w:gutter="0" w:footer="0" w:header="0"/>
          <w:type w:val="continuous"/>
        </w:sectPr>
      </w:pPr>
    </w:p>
    <w:p>
      <w:pPr>
        <w:ind w:left="740"/>
        <w:spacing w:after="0"/>
        <w:rPr>
          <w:sz w:val="20"/>
          <w:szCs w:val="20"/>
          <w:color w:val="auto"/>
        </w:rPr>
      </w:pPr>
      <w:r>
        <w:rPr>
          <w:rFonts w:ascii="Arial" w:cs="Arial" w:eastAsia="Arial" w:hAnsi="Arial"/>
          <w:sz w:val="16"/>
          <w:szCs w:val="16"/>
          <w:color w:val="auto"/>
        </w:rPr>
        <w:t>incorporation)</w:t>
      </w:r>
    </w:p>
    <w:p>
      <w:pPr>
        <w:sectPr>
          <w:pgSz w:w="11900" w:h="16906" w:orient="portrait"/>
          <w:cols w:equalWidth="0" w:num="1">
            <w:col w:w="10219"/>
          </w:cols>
          <w:pgMar w:left="240" w:top="233" w:right="1440" w:bottom="0" w:gutter="0" w:footer="0" w:header="0"/>
          <w:type w:val="continuous"/>
        </w:sectPr>
      </w:pPr>
    </w:p>
    <w:p>
      <w:pPr>
        <w:spacing w:after="0" w:line="168"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906" w:orient="portrait"/>
          <w:cols w:equalWidth="0" w:num="1">
            <w:col w:w="10219"/>
          </w:cols>
          <w:pgMar w:left="240" w:top="233" w:right="1440" w:bottom="0" w:gutter="0" w:footer="0" w:header="0"/>
          <w:type w:val="continuous"/>
        </w:sectPr>
      </w:pPr>
    </w:p>
    <w:p>
      <w:pPr>
        <w:spacing w:after="0" w:line="180" w:lineRule="exact"/>
        <w:rPr>
          <w:sz w:val="24"/>
          <w:szCs w:val="24"/>
          <w:color w:val="auto"/>
        </w:rPr>
      </w:pPr>
    </w:p>
    <w:p>
      <w:pPr>
        <w:jc w:val="center"/>
        <w:ind w:left="24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left="2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333-98369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2299"/>
        <w:spacing w:after="0"/>
        <w:rPr>
          <w:sz w:val="20"/>
          <w:szCs w:val="20"/>
          <w:color w:val="auto"/>
        </w:rPr>
      </w:pPr>
      <w:r>
        <w:rPr>
          <w:rFonts w:ascii="Arial" w:cs="Arial" w:eastAsia="Arial" w:hAnsi="Arial"/>
          <w:sz w:val="18"/>
          <w:szCs w:val="18"/>
          <w:b w:val="1"/>
          <w:bCs w:val="1"/>
          <w:color w:val="auto"/>
        </w:rPr>
        <w:t>88-0494878</w:t>
      </w:r>
    </w:p>
    <w:p>
      <w:pPr>
        <w:spacing w:after="0" w:line="21" w:lineRule="exact"/>
        <w:rPr>
          <w:sz w:val="24"/>
          <w:szCs w:val="24"/>
          <w:color w:val="auto"/>
        </w:rPr>
      </w:pPr>
    </w:p>
    <w:p>
      <w:pPr>
        <w:jc w:val="center"/>
        <w:ind w:right="2299"/>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906" w:orient="portrait"/>
          <w:cols w:equalWidth="0" w:num="3">
            <w:col w:w="2260" w:space="600"/>
            <w:col w:w="1940" w:space="560"/>
            <w:col w:w="4859"/>
          </w:cols>
          <w:pgMar w:left="240" w:top="233" w:right="1440" w:bottom="0" w:gutter="0" w:footer="0" w:header="0"/>
          <w:type w:val="continuous"/>
        </w:sectPr>
      </w:pPr>
    </w:p>
    <w:p>
      <w:pPr>
        <w:ind w:left="740"/>
        <w:spacing w:after="0"/>
        <w:rPr>
          <w:sz w:val="20"/>
          <w:szCs w:val="20"/>
          <w:color w:val="auto"/>
        </w:rPr>
      </w:pPr>
      <w:r>
        <w:rPr>
          <w:rFonts w:ascii="Arial" w:cs="Arial" w:eastAsia="Arial" w:hAnsi="Arial"/>
          <w:sz w:val="16"/>
          <w:szCs w:val="16"/>
          <w:color w:val="auto"/>
        </w:rPr>
        <w:t>incorporation)</w:t>
      </w:r>
    </w:p>
    <w:p>
      <w:pPr>
        <w:sectPr>
          <w:pgSz w:w="11900" w:h="16906" w:orient="portrait"/>
          <w:cols w:equalWidth="0" w:num="1">
            <w:col w:w="10219"/>
          </w:cols>
          <w:pgMar w:left="240" w:top="233" w:right="1440" w:bottom="0" w:gutter="0" w:footer="0" w:header="0"/>
          <w:type w:val="continuous"/>
        </w:sectPr>
      </w:pPr>
    </w:p>
    <w:p>
      <w:pPr>
        <w:spacing w:after="0" w:line="200" w:lineRule="exact"/>
        <w:rPr>
          <w:sz w:val="24"/>
          <w:szCs w:val="24"/>
          <w:color w:val="auto"/>
        </w:rPr>
      </w:pPr>
    </w:p>
    <w:p>
      <w:pPr>
        <w:spacing w:after="0" w:line="33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Las Vegas, Nevada</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3199"/>
        <w:spacing w:after="0"/>
        <w:rPr>
          <w:sz w:val="20"/>
          <w:szCs w:val="20"/>
          <w:color w:val="auto"/>
        </w:rPr>
      </w:pPr>
      <w:r>
        <w:rPr>
          <w:rFonts w:ascii="Arial" w:cs="Arial" w:eastAsia="Arial" w:hAnsi="Arial"/>
          <w:sz w:val="18"/>
          <w:szCs w:val="18"/>
          <w:b w:val="1"/>
          <w:bCs w:val="1"/>
          <w:color w:val="auto"/>
        </w:rPr>
        <w:t>89109</w:t>
      </w:r>
    </w:p>
    <w:p>
      <w:pPr>
        <w:spacing w:after="0" w:line="21" w:lineRule="exact"/>
        <w:rPr>
          <w:sz w:val="24"/>
          <w:szCs w:val="24"/>
          <w:color w:val="auto"/>
        </w:rPr>
      </w:pPr>
    </w:p>
    <w:p>
      <w:pPr>
        <w:jc w:val="center"/>
        <w:ind w:right="3199"/>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906" w:orient="portrait"/>
          <w:cols w:equalWidth="0" w:num="2">
            <w:col w:w="5520" w:space="720"/>
            <w:col w:w="3979"/>
          </w:cols>
          <w:pgMar w:left="240" w:top="233" w:right="1440" w:bottom="0" w:gutter="0" w:footer="0" w:header="0"/>
          <w:type w:val="continuous"/>
        </w:sectPr>
      </w:pPr>
    </w:p>
    <w:p>
      <w:pPr>
        <w:spacing w:after="0" w:line="3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ind w:right="2099"/>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15" w:lineRule="exact"/>
        <w:rPr>
          <w:sz w:val="24"/>
          <w:szCs w:val="24"/>
          <w:color w:val="auto"/>
        </w:rPr>
      </w:pPr>
    </w:p>
    <w:p>
      <w:pPr>
        <w:ind w:left="200" w:hanging="192"/>
        <w:spacing w:after="0"/>
        <w:tabs>
          <w:tab w:leader="none" w:pos="20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 pursuant to Rule 425 under the Securities Act (17 CFR 230.425)</w:t>
      </w:r>
    </w:p>
    <w:p>
      <w:pPr>
        <w:spacing w:after="0" w:line="138" w:lineRule="exact"/>
        <w:rPr>
          <w:rFonts w:ascii="Arial" w:cs="Arial" w:eastAsia="Arial" w:hAnsi="Arial"/>
          <w:sz w:val="22"/>
          <w:szCs w:val="22"/>
          <w:color w:val="auto"/>
        </w:rPr>
      </w:pPr>
    </w:p>
    <w:p>
      <w:pPr>
        <w:ind w:left="200" w:hanging="192"/>
        <w:spacing w:after="0"/>
        <w:tabs>
          <w:tab w:leader="none" w:pos="20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142" w:lineRule="exact"/>
        <w:rPr>
          <w:rFonts w:ascii="Arial" w:cs="Arial" w:eastAsia="Arial" w:hAnsi="Arial"/>
          <w:sz w:val="22"/>
          <w:szCs w:val="22"/>
          <w:color w:val="auto"/>
        </w:rPr>
      </w:pPr>
    </w:p>
    <w:p>
      <w:pPr>
        <w:ind w:left="340" w:right="2119" w:hanging="332"/>
        <w:spacing w:after="0" w:line="228" w:lineRule="auto"/>
        <w:tabs>
          <w:tab w:leader="none" w:pos="3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170" w:lineRule="exact"/>
        <w:rPr>
          <w:rFonts w:ascii="Arial" w:cs="Arial" w:eastAsia="Arial" w:hAnsi="Arial"/>
          <w:sz w:val="22"/>
          <w:szCs w:val="22"/>
          <w:color w:val="auto"/>
        </w:rPr>
      </w:pPr>
    </w:p>
    <w:p>
      <w:pPr>
        <w:ind w:left="340" w:right="2439" w:hanging="332"/>
        <w:spacing w:after="0" w:line="228" w:lineRule="auto"/>
        <w:tabs>
          <w:tab w:leader="none" w:pos="212"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31" w:lineRule="exact"/>
        <w:rPr>
          <w:sz w:val="24"/>
          <w:szCs w:val="24"/>
          <w:color w:val="auto"/>
        </w:rPr>
      </w:pPr>
    </w:p>
    <w:p>
      <w:pPr>
        <w:jc w:val="both"/>
        <w:ind w:right="2179"/>
        <w:spacing w:after="0" w:line="256" w:lineRule="auto"/>
        <w:rPr>
          <w:sz w:val="20"/>
          <w:szCs w:val="20"/>
          <w:color w:val="auto"/>
        </w:rPr>
      </w:pPr>
      <w:r>
        <w:rPr>
          <w:rFonts w:ascii="Arial" w:cs="Arial" w:eastAsia="Arial" w:hAnsi="Arial"/>
          <w:sz w:val="18"/>
          <w:szCs w:val="18"/>
          <w:color w:val="auto"/>
        </w:rPr>
        <w:t>On December 9, 2005, as permitted under its credit agreement, Wynn Las Vegas, LLC, a wholly owned subsidiary of Wynn Resorts, Limited, received the necessary consents from its lenders to extend the deadline for approval of the budget, plans and specifications for the Encore at Wynn Las Vegas project from December 31, 2005 to March 31, 2006.</w:t>
      </w:r>
    </w:p>
    <w:p>
      <w:pPr>
        <w:spacing w:after="0" w:line="200" w:lineRule="exact"/>
        <w:rPr>
          <w:sz w:val="24"/>
          <w:szCs w:val="24"/>
          <w:color w:val="auto"/>
        </w:rPr>
      </w:pPr>
    </w:p>
    <w:p>
      <w:pPr>
        <w:spacing w:after="0" w:line="213"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right="211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906" w:orient="portrait"/>
          <w:cols w:equalWidth="0" w:num="1">
            <w:col w:w="10219"/>
          </w:cols>
          <w:pgMar w:left="240" w:top="233" w:right="1440" w:bottom="0" w:gutter="0" w:footer="0" w:header="0"/>
          <w:type w:val="continuous"/>
        </w:sectPr>
      </w:pPr>
    </w:p>
    <w:bookmarkStart w:id="1" w:name="page2"/>
    <w:bookmarkEnd w:id="1"/>
    <w:p>
      <w:pPr>
        <w:spacing w:after="0"/>
        <w:tabs>
          <w:tab w:leader="none" w:pos="560" w:val="left"/>
        </w:tabs>
        <w:rPr>
          <w:sz w:val="20"/>
          <w:szCs w:val="20"/>
          <w:color w:val="auto"/>
        </w:rPr>
      </w:pPr>
      <w:r>
        <w:rPr>
          <w:rFonts w:ascii="Arial" w:cs="Arial" w:eastAsia="Arial" w:hAnsi="Arial"/>
          <w:sz w:val="18"/>
          <w:szCs w:val="18"/>
          <w:color w:val="auto"/>
        </w:rPr>
        <w:t>Date:</w:t>
        <w:tab/>
        <w:t>December 12, 2005</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-13970</wp:posOffset>
            </wp:positionV>
            <wp:extent cx="12725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ind w:left="4640"/>
        <w:spacing w:after="0"/>
        <w:rPr>
          <w:sz w:val="20"/>
          <w:szCs w:val="20"/>
          <w:color w:val="auto"/>
        </w:rPr>
      </w:pPr>
      <w:r>
        <w:rPr>
          <w:rFonts w:ascii="Arial" w:cs="Arial" w:eastAsia="Arial" w:hAnsi="Arial"/>
          <w:sz w:val="18"/>
          <w:szCs w:val="18"/>
          <w:color w:val="auto"/>
        </w:rPr>
        <w:t>John Strzemp</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12, 2005</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 Wynn Resorts Holdings, LLC, its</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sole member</w:t>
      </w:r>
    </w:p>
    <w:p>
      <w:pPr>
        <w:spacing w:after="0" w:line="21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 Wynn Resorts, Limited, its sole member</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-13970</wp:posOffset>
            </wp:positionV>
            <wp:extent cx="1272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ind w:left="4640"/>
        <w:spacing w:after="0"/>
        <w:rPr>
          <w:sz w:val="20"/>
          <w:szCs w:val="20"/>
          <w:color w:val="auto"/>
        </w:rPr>
      </w:pPr>
      <w:r>
        <w:rPr>
          <w:rFonts w:ascii="Arial" w:cs="Arial" w:eastAsia="Arial" w:hAnsi="Arial"/>
          <w:sz w:val="18"/>
          <w:szCs w:val="18"/>
          <w:color w:val="auto"/>
        </w:rPr>
        <w:t>John Strzemp</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5</w:t>
      </w:r>
    </w:p>
    <w:sectPr>
      <w:pgSz w:w="11900" w:h="16838" w:orient="portrait"/>
      <w:cols w:equalWidth="0" w:num="1">
        <w:col w:w="10219"/>
      </w:cols>
      <w:pgMar w:left="240" w:top="3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2019-12-12T04:18:04Z</dcterms:created>
  <dcterms:modified xsi:type="dcterms:W3CDTF">2019-12-12T04:18:04Z</dcterms:modified>
</cp:coreProperties>
</file>